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BBB5B">
      <w:pPr>
        <w:ind w:left="3370" w:hanging="3370" w:hangingChars="1049"/>
        <w:jc w:val="left"/>
        <w:rPr>
          <w:rFonts w:cs="宋体"/>
          <w:b/>
          <w:sz w:val="32"/>
          <w:szCs w:val="36"/>
        </w:rPr>
      </w:pPr>
      <w:bookmarkStart w:id="0" w:name="_Toc416703361"/>
      <w:bookmarkStart w:id="1" w:name="_Toc417896502"/>
      <w:bookmarkStart w:id="2" w:name="_Toc417895952"/>
      <w:bookmarkStart w:id="3" w:name="_Toc416702955"/>
      <w:bookmarkStart w:id="4" w:name="_Toc417896685"/>
      <w:r>
        <w:rPr>
          <w:rFonts w:hint="eastAsia" w:cs="宋体"/>
          <w:b/>
          <w:sz w:val="32"/>
          <w:szCs w:val="36"/>
        </w:rPr>
        <w:t>项目名称：年产3600万米高频高速电子布项目（迁建）低压开关柜母线及开关改造服务</w:t>
      </w:r>
    </w:p>
    <w:p w14:paraId="6BFF91F8">
      <w:pPr>
        <w:ind w:left="2860" w:hanging="2860" w:hangingChars="1300"/>
        <w:jc w:val="center"/>
        <w:rPr>
          <w:rFonts w:cs="宋体"/>
          <w:kern w:val="0"/>
          <w:sz w:val="22"/>
        </w:rPr>
      </w:pPr>
    </w:p>
    <w:p w14:paraId="68AF4A3A">
      <w:pPr>
        <w:ind w:left="2860" w:hanging="2860" w:hangingChars="1300"/>
        <w:jc w:val="center"/>
        <w:rPr>
          <w:rFonts w:cs="宋体"/>
          <w:kern w:val="0"/>
          <w:sz w:val="22"/>
        </w:rPr>
      </w:pPr>
    </w:p>
    <w:bookmarkEnd w:id="0"/>
    <w:bookmarkEnd w:id="1"/>
    <w:bookmarkEnd w:id="2"/>
    <w:bookmarkEnd w:id="3"/>
    <w:bookmarkEnd w:id="4"/>
    <w:p w14:paraId="01AB426D">
      <w:pPr>
        <w:autoSpaceDE w:val="0"/>
        <w:autoSpaceDN w:val="0"/>
        <w:adjustRightInd w:val="0"/>
        <w:snapToGrid w:val="0"/>
        <w:spacing w:line="360" w:lineRule="auto"/>
        <w:rPr>
          <w:rFonts w:hint="eastAsia" w:cs="宋体"/>
          <w:b/>
          <w:kern w:val="0"/>
          <w:sz w:val="32"/>
          <w:szCs w:val="32"/>
        </w:rPr>
      </w:pPr>
      <w:r>
        <w:rPr>
          <w:rFonts w:hint="eastAsia" w:cs="宋体"/>
          <w:b/>
          <w:kern w:val="0"/>
          <w:sz w:val="32"/>
          <w:szCs w:val="32"/>
        </w:rPr>
        <w:t>询比采购编号：CPIC-GCFWCG-2026-009</w:t>
      </w:r>
    </w:p>
    <w:p w14:paraId="7C1C2181">
      <w:pPr>
        <w:ind w:firstLine="556"/>
        <w:rPr>
          <w:rFonts w:cs="宋体"/>
        </w:rPr>
      </w:pPr>
    </w:p>
    <w:p w14:paraId="198E30C6">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6E104E6A">
      <w:pPr>
        <w:autoSpaceDE w:val="0"/>
        <w:autoSpaceDN w:val="0"/>
        <w:adjustRightInd w:val="0"/>
        <w:snapToGrid w:val="0"/>
        <w:spacing w:line="360" w:lineRule="auto"/>
        <w:ind w:firstLine="265"/>
        <w:rPr>
          <w:rFonts w:cs="宋体"/>
          <w:kern w:val="0"/>
          <w:sz w:val="10"/>
          <w:szCs w:val="10"/>
        </w:rPr>
      </w:pPr>
    </w:p>
    <w:p w14:paraId="7733C29B">
      <w:pPr>
        <w:autoSpaceDE w:val="0"/>
        <w:autoSpaceDN w:val="0"/>
        <w:adjustRightInd w:val="0"/>
        <w:snapToGrid w:val="0"/>
        <w:spacing w:line="360" w:lineRule="auto"/>
        <w:ind w:firstLine="265"/>
        <w:jc w:val="center"/>
        <w:rPr>
          <w:rFonts w:cs="宋体"/>
          <w:kern w:val="0"/>
          <w:sz w:val="10"/>
          <w:szCs w:val="10"/>
        </w:rPr>
      </w:pPr>
    </w:p>
    <w:p w14:paraId="2F55DCA6">
      <w:pPr>
        <w:autoSpaceDE w:val="0"/>
        <w:autoSpaceDN w:val="0"/>
        <w:adjustRightInd w:val="0"/>
        <w:snapToGrid w:val="0"/>
        <w:spacing w:line="360" w:lineRule="auto"/>
        <w:ind w:firstLine="265"/>
        <w:jc w:val="center"/>
        <w:rPr>
          <w:rFonts w:cs="宋体"/>
          <w:kern w:val="0"/>
          <w:sz w:val="10"/>
          <w:szCs w:val="10"/>
        </w:rPr>
      </w:pPr>
    </w:p>
    <w:p w14:paraId="51FF1D08">
      <w:pPr>
        <w:autoSpaceDE w:val="0"/>
        <w:autoSpaceDN w:val="0"/>
        <w:adjustRightInd w:val="0"/>
        <w:snapToGrid w:val="0"/>
        <w:spacing w:line="360" w:lineRule="auto"/>
        <w:ind w:firstLine="265"/>
        <w:jc w:val="center"/>
        <w:rPr>
          <w:rFonts w:cs="宋体"/>
          <w:kern w:val="0"/>
          <w:sz w:val="10"/>
          <w:szCs w:val="10"/>
        </w:rPr>
      </w:pPr>
    </w:p>
    <w:p w14:paraId="2096CA4A">
      <w:pPr>
        <w:autoSpaceDE w:val="0"/>
        <w:autoSpaceDN w:val="0"/>
        <w:adjustRightInd w:val="0"/>
        <w:snapToGrid w:val="0"/>
        <w:spacing w:line="360" w:lineRule="auto"/>
        <w:ind w:firstLine="265"/>
        <w:jc w:val="center"/>
        <w:rPr>
          <w:rFonts w:cs="宋体"/>
          <w:kern w:val="0"/>
          <w:sz w:val="10"/>
          <w:szCs w:val="10"/>
        </w:rPr>
      </w:pPr>
    </w:p>
    <w:p w14:paraId="38BC8556">
      <w:pPr>
        <w:autoSpaceDE w:val="0"/>
        <w:autoSpaceDN w:val="0"/>
        <w:adjustRightInd w:val="0"/>
        <w:snapToGrid w:val="0"/>
        <w:spacing w:line="360" w:lineRule="auto"/>
        <w:ind w:firstLine="265"/>
        <w:jc w:val="center"/>
        <w:rPr>
          <w:rFonts w:cs="宋体"/>
          <w:kern w:val="0"/>
          <w:sz w:val="10"/>
          <w:szCs w:val="10"/>
        </w:rPr>
      </w:pPr>
    </w:p>
    <w:p w14:paraId="03938B00">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询比采购文件</w:t>
      </w:r>
    </w:p>
    <w:p w14:paraId="3A15C776">
      <w:pPr>
        <w:autoSpaceDE w:val="0"/>
        <w:autoSpaceDN w:val="0"/>
        <w:adjustRightInd w:val="0"/>
        <w:snapToGrid w:val="0"/>
        <w:spacing w:line="360" w:lineRule="auto"/>
        <w:ind w:firstLine="530"/>
        <w:jc w:val="left"/>
        <w:rPr>
          <w:rFonts w:cs="宋体"/>
          <w:kern w:val="0"/>
          <w:sz w:val="20"/>
          <w:szCs w:val="20"/>
        </w:rPr>
      </w:pPr>
    </w:p>
    <w:p w14:paraId="39265DFB">
      <w:pPr>
        <w:autoSpaceDE w:val="0"/>
        <w:autoSpaceDN w:val="0"/>
        <w:adjustRightInd w:val="0"/>
        <w:snapToGrid w:val="0"/>
        <w:spacing w:line="360" w:lineRule="auto"/>
        <w:ind w:firstLine="530"/>
        <w:jc w:val="left"/>
        <w:rPr>
          <w:rFonts w:cs="宋体"/>
          <w:kern w:val="0"/>
          <w:sz w:val="20"/>
          <w:szCs w:val="20"/>
        </w:rPr>
      </w:pPr>
    </w:p>
    <w:p w14:paraId="798A0E2C">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2D325C3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70FB3A2D">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二〇二六年四月</w:t>
      </w:r>
    </w:p>
    <w:p w14:paraId="3B1CB862">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020BDBF6">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079060E1">
      <w:pPr>
        <w:pStyle w:val="8"/>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37882062">
      <w:pPr>
        <w:jc w:val="center"/>
        <w:rPr>
          <w:rFonts w:cs="宋体"/>
          <w:sz w:val="36"/>
          <w:szCs w:val="36"/>
          <w:u w:val="single"/>
        </w:rPr>
      </w:pPr>
    </w:p>
    <w:p w14:paraId="788813C1">
      <w:pPr>
        <w:jc w:val="center"/>
        <w:rPr>
          <w:rFonts w:cs="宋体"/>
          <w:sz w:val="36"/>
          <w:szCs w:val="36"/>
          <w:u w:val="single"/>
        </w:rPr>
      </w:pPr>
    </w:p>
    <w:p w14:paraId="289AE513">
      <w:pPr>
        <w:jc w:val="center"/>
        <w:rPr>
          <w:rFonts w:cs="宋体"/>
          <w:sz w:val="36"/>
          <w:szCs w:val="36"/>
          <w:u w:val="single"/>
        </w:rPr>
      </w:pPr>
    </w:p>
    <w:p w14:paraId="0EB5C49F">
      <w:pPr>
        <w:jc w:val="center"/>
        <w:rPr>
          <w:rFonts w:cs="宋体"/>
          <w:sz w:val="36"/>
          <w:szCs w:val="36"/>
          <w:u w:val="single"/>
        </w:rPr>
      </w:pPr>
    </w:p>
    <w:p w14:paraId="20F4EA8F">
      <w:pPr>
        <w:jc w:val="center"/>
        <w:rPr>
          <w:rFonts w:hint="eastAsia" w:ascii="宋体" w:hAnsi="宋体"/>
          <w:b/>
          <w:bCs/>
          <w:sz w:val="40"/>
          <w:szCs w:val="40"/>
        </w:rPr>
      </w:pPr>
    </w:p>
    <w:p w14:paraId="1F8460F4">
      <w:pPr>
        <w:jc w:val="center"/>
        <w:rPr>
          <w:rFonts w:hint="eastAsia" w:ascii="宋体" w:hAnsi="宋体"/>
          <w:b/>
          <w:bCs/>
          <w:sz w:val="40"/>
          <w:szCs w:val="40"/>
        </w:rPr>
      </w:pPr>
      <w:bookmarkStart w:id="5" w:name="_GoBack"/>
      <w:r>
        <w:rPr>
          <w:rFonts w:hint="eastAsia" w:ascii="宋体" w:hAnsi="宋体"/>
          <w:b/>
          <w:bCs/>
          <w:sz w:val="40"/>
          <w:szCs w:val="40"/>
        </w:rPr>
        <w:t>询比采购文件</w:t>
      </w:r>
    </w:p>
    <w:p w14:paraId="57F8694E">
      <w:pPr>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年产3600万米高频高速电子布项目（迁建）低压开关柜母线及开关改造服务</w:t>
      </w:r>
      <w:r>
        <w:rPr>
          <w:rFonts w:hint="eastAsia" w:ascii="宋体" w:hAnsi="宋体"/>
          <w:sz w:val="24"/>
        </w:rPr>
        <w:t>项目进行国内外询比采购，邀请潜在供应商进行报价。</w:t>
      </w:r>
    </w:p>
    <w:p w14:paraId="25D7A377">
      <w:pPr>
        <w:numPr>
          <w:ilvl w:val="0"/>
          <w:numId w:val="1"/>
        </w:numPr>
        <w:rPr>
          <w:rFonts w:hint="eastAsia" w:ascii="宋体" w:hAnsi="宋体"/>
          <w:sz w:val="24"/>
        </w:rPr>
      </w:pPr>
      <w:r>
        <w:rPr>
          <w:rFonts w:hint="eastAsia" w:ascii="宋体" w:hAnsi="宋体"/>
          <w:sz w:val="24"/>
        </w:rPr>
        <w:t>询比采购项目编号：</w:t>
      </w:r>
      <w:r>
        <w:rPr>
          <w:rFonts w:hint="eastAsia" w:ascii="宋体" w:hAnsi="宋体"/>
          <w:sz w:val="24"/>
          <w:u w:val="single"/>
        </w:rPr>
        <w:t>年产3600万米高频高速电子布项目（迁建）低压开关柜母线及开关改造服务</w:t>
      </w:r>
    </w:p>
    <w:p w14:paraId="2B9EF47E">
      <w:pPr>
        <w:numPr>
          <w:ilvl w:val="0"/>
          <w:numId w:val="1"/>
        </w:numPr>
        <w:rPr>
          <w:rFonts w:hint="eastAsia" w:ascii="宋体" w:hAnsi="宋体"/>
          <w:sz w:val="24"/>
        </w:rPr>
      </w:pPr>
      <w:r>
        <w:rPr>
          <w:rFonts w:hint="eastAsia" w:ascii="宋体" w:hAnsi="宋体"/>
          <w:sz w:val="24"/>
        </w:rPr>
        <w:t>项目名称：</w:t>
      </w:r>
      <w:r>
        <w:rPr>
          <w:rFonts w:hint="eastAsia" w:ascii="宋体" w:hAnsi="宋体"/>
          <w:sz w:val="24"/>
          <w:u w:val="single"/>
        </w:rPr>
        <w:t>CPIC-GCFWCG-2026-009</w:t>
      </w:r>
    </w:p>
    <w:p w14:paraId="5311A603">
      <w:pPr>
        <w:numPr>
          <w:ilvl w:val="0"/>
          <w:numId w:val="1"/>
        </w:numPr>
        <w:rPr>
          <w:rFonts w:ascii="宋体" w:hAnsi="宋体"/>
          <w:sz w:val="24"/>
        </w:rPr>
      </w:pPr>
      <w:r>
        <w:rPr>
          <w:rFonts w:hint="eastAsia" w:ascii="宋体" w:hAnsi="宋体"/>
          <w:sz w:val="24"/>
        </w:rPr>
        <w:t>询比采购内容：</w:t>
      </w:r>
    </w:p>
    <w:p w14:paraId="10946904">
      <w:pPr>
        <w:ind w:firstLine="480"/>
        <w:rPr>
          <w:rFonts w:hint="eastAsia" w:ascii="宋体" w:hAnsi="宋体"/>
          <w:sz w:val="24"/>
          <w:u w:val="single"/>
        </w:rPr>
      </w:pPr>
      <w:r>
        <w:rPr>
          <w:rFonts w:hint="eastAsia" w:ascii="宋体" w:hAnsi="宋体"/>
          <w:sz w:val="24"/>
        </w:rPr>
        <w:t>提供服务：</w:t>
      </w:r>
      <w:r>
        <w:rPr>
          <w:rFonts w:hint="eastAsia" w:ascii="宋体" w:hAnsi="宋体"/>
          <w:sz w:val="24"/>
          <w:u w:val="single"/>
        </w:rPr>
        <w:t>重庆国际复合材料股份有限公司一批低电压开关柜因搬迁后，不能满足负荷需求，特对该批次低压开关柜母线槽、母线及馈线开关进行改造，部分母线槽及母线利旧。低压开关柜型GGD柜，母线为TMY-3［2（125*10）］+125*10，需要改造为TMY-3［3（125*10）］+2*（125*10）母线和母线槽、更换开关9只、更换互感器。供应商负责本次改造安装施工、低压开关柜所有母线、变压器到低压进线总路开关母线槽、低压馈线开关改造、调试，配合送电完成。</w:t>
      </w:r>
    </w:p>
    <w:p w14:paraId="5F8496FB">
      <w:pPr>
        <w:widowControl/>
        <w:spacing w:line="360" w:lineRule="auto"/>
        <w:rPr>
          <w:rFonts w:hint="eastAsia"/>
          <w:b/>
          <w:bCs/>
          <w:sz w:val="24"/>
        </w:rPr>
      </w:pPr>
      <w:r>
        <w:rPr>
          <w:rFonts w:hint="eastAsia" w:ascii="宋体" w:hAnsi="宋体" w:cs="宋体"/>
          <w:b/>
          <w:bCs/>
          <w:sz w:val="24"/>
        </w:rPr>
        <w:t>若</w:t>
      </w:r>
      <w:r>
        <w:rPr>
          <w:rFonts w:ascii="宋体" w:hAnsi="宋体" w:cs="宋体"/>
          <w:b/>
          <w:bCs/>
          <w:sz w:val="24"/>
        </w:rPr>
        <w:t>内容有偏差，以现场实际测量数据为准，图纸见附件</w:t>
      </w:r>
      <w:r>
        <w:rPr>
          <w:rFonts w:hint="eastAsia" w:ascii="宋体" w:hAnsi="宋体" w:cs="宋体"/>
          <w:b/>
          <w:bCs/>
          <w:sz w:val="24"/>
        </w:rPr>
        <w:t>1</w:t>
      </w:r>
      <w:r>
        <w:rPr>
          <w:rFonts w:ascii="宋体" w:hAnsi="宋体" w:cs="宋体"/>
          <w:b/>
          <w:bCs/>
          <w:sz w:val="24"/>
        </w:rPr>
        <w:t>，不含开关柜安装。</w:t>
      </w:r>
    </w:p>
    <w:tbl>
      <w:tblPr>
        <w:tblStyle w:val="12"/>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1"/>
        <w:gridCol w:w="2911"/>
        <w:gridCol w:w="641"/>
        <w:gridCol w:w="1252"/>
        <w:gridCol w:w="1165"/>
      </w:tblGrid>
      <w:tr w14:paraId="757A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435" w:type="pct"/>
            <w:noWrap w:val="0"/>
            <w:vAlign w:val="center"/>
          </w:tcPr>
          <w:p w14:paraId="30F2E2D8">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序号</w:t>
            </w:r>
          </w:p>
        </w:tc>
        <w:tc>
          <w:tcPr>
            <w:tcW w:w="942" w:type="pct"/>
            <w:noWrap w:val="0"/>
            <w:vAlign w:val="center"/>
          </w:tcPr>
          <w:p w14:paraId="49EEC2ED">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工作内容</w:t>
            </w:r>
          </w:p>
        </w:tc>
        <w:tc>
          <w:tcPr>
            <w:tcW w:w="1767" w:type="pct"/>
            <w:noWrap w:val="0"/>
            <w:vAlign w:val="center"/>
          </w:tcPr>
          <w:p w14:paraId="025A68B9">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主要附属项目</w:t>
            </w:r>
          </w:p>
        </w:tc>
        <w:tc>
          <w:tcPr>
            <w:tcW w:w="389" w:type="pct"/>
            <w:noWrap w:val="0"/>
            <w:vAlign w:val="center"/>
          </w:tcPr>
          <w:p w14:paraId="70E19AEC">
            <w:pPr>
              <w:widowControl/>
              <w:spacing w:line="360" w:lineRule="auto"/>
              <w:jc w:val="center"/>
              <w:rPr>
                <w:rFonts w:ascii="宋体" w:hAnsi="宋体" w:cs="宋体"/>
                <w:b/>
                <w:bCs/>
                <w:kern w:val="0"/>
                <w:szCs w:val="21"/>
                <w:lang w:eastAsia="en-US"/>
              </w:rPr>
            </w:pPr>
            <w:r>
              <w:rPr>
                <w:rFonts w:hint="eastAsia" w:ascii="宋体" w:hAnsi="宋体" w:cs="宋体"/>
                <w:b/>
                <w:bCs/>
                <w:kern w:val="0"/>
                <w:szCs w:val="21"/>
                <w:lang w:eastAsia="en-US"/>
              </w:rPr>
              <w:t>数量</w:t>
            </w:r>
          </w:p>
        </w:tc>
        <w:tc>
          <w:tcPr>
            <w:tcW w:w="760" w:type="pct"/>
            <w:noWrap w:val="0"/>
            <w:vAlign w:val="top"/>
          </w:tcPr>
          <w:p w14:paraId="10236DE1">
            <w:pPr>
              <w:widowControl/>
              <w:spacing w:line="360" w:lineRule="auto"/>
              <w:rPr>
                <w:rFonts w:ascii="宋体" w:hAnsi="宋体" w:cs="宋体"/>
                <w:b/>
                <w:bCs/>
                <w:kern w:val="0"/>
                <w:szCs w:val="21"/>
                <w:lang w:eastAsia="en-US"/>
              </w:rPr>
            </w:pPr>
          </w:p>
          <w:p w14:paraId="3C917B28">
            <w:pPr>
              <w:widowControl/>
              <w:spacing w:line="360" w:lineRule="auto"/>
              <w:ind w:right="844"/>
              <w:rPr>
                <w:rFonts w:ascii="宋体" w:hAnsi="宋体" w:cs="宋体"/>
                <w:b/>
                <w:bCs/>
                <w:kern w:val="0"/>
                <w:szCs w:val="21"/>
                <w:lang w:eastAsia="en-US"/>
              </w:rPr>
            </w:pPr>
            <w:r>
              <w:rPr>
                <w:rFonts w:hint="eastAsia" w:ascii="宋体" w:hAnsi="宋体" w:cs="宋体"/>
                <w:b/>
                <w:bCs/>
                <w:kern w:val="0"/>
                <w:szCs w:val="21"/>
                <w:lang w:eastAsia="en-US"/>
              </w:rPr>
              <w:t>含税单价</w:t>
            </w:r>
          </w:p>
        </w:tc>
        <w:tc>
          <w:tcPr>
            <w:tcW w:w="707" w:type="pct"/>
            <w:noWrap w:val="0"/>
            <w:vAlign w:val="top"/>
          </w:tcPr>
          <w:p w14:paraId="13E155A9">
            <w:pPr>
              <w:widowControl/>
              <w:spacing w:line="360" w:lineRule="auto"/>
              <w:rPr>
                <w:rFonts w:ascii="宋体" w:hAnsi="宋体" w:cs="宋体"/>
                <w:b/>
                <w:bCs/>
                <w:kern w:val="0"/>
                <w:szCs w:val="21"/>
                <w:lang w:eastAsia="en-US"/>
              </w:rPr>
            </w:pPr>
          </w:p>
          <w:p w14:paraId="40550C89">
            <w:pPr>
              <w:widowControl/>
              <w:wordWrap w:val="0"/>
              <w:spacing w:line="360" w:lineRule="auto"/>
              <w:ind w:right="633"/>
              <w:rPr>
                <w:rFonts w:ascii="宋体" w:hAnsi="宋体" w:cs="宋体"/>
                <w:b/>
                <w:bCs/>
                <w:kern w:val="0"/>
                <w:szCs w:val="21"/>
                <w:lang w:eastAsia="en-US"/>
              </w:rPr>
            </w:pPr>
            <w:r>
              <w:rPr>
                <w:rFonts w:hint="eastAsia" w:ascii="宋体" w:hAnsi="宋体" w:cs="宋体"/>
                <w:b/>
                <w:bCs/>
                <w:kern w:val="0"/>
                <w:szCs w:val="21"/>
                <w:lang w:eastAsia="en-US"/>
              </w:rPr>
              <w:t>含税总价</w:t>
            </w:r>
          </w:p>
        </w:tc>
      </w:tr>
      <w:tr w14:paraId="48CC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35" w:type="pct"/>
            <w:noWrap w:val="0"/>
            <w:vAlign w:val="center"/>
          </w:tcPr>
          <w:p w14:paraId="069F0ADF">
            <w:pPr>
              <w:widowControl/>
              <w:spacing w:line="360" w:lineRule="auto"/>
              <w:jc w:val="center"/>
              <w:rPr>
                <w:rFonts w:ascii="宋体" w:hAnsi="宋体" w:cs="宋体"/>
                <w:bCs/>
                <w:kern w:val="0"/>
                <w:szCs w:val="21"/>
              </w:rPr>
            </w:pPr>
            <w:r>
              <w:rPr>
                <w:rFonts w:hint="eastAsia" w:ascii="宋体" w:hAnsi="宋体" w:cs="宋体"/>
                <w:bCs/>
                <w:kern w:val="0"/>
                <w:szCs w:val="21"/>
              </w:rPr>
              <w:t>1</w:t>
            </w:r>
          </w:p>
        </w:tc>
        <w:tc>
          <w:tcPr>
            <w:tcW w:w="942" w:type="pct"/>
            <w:noWrap w:val="0"/>
            <w:vAlign w:val="center"/>
          </w:tcPr>
          <w:p w14:paraId="3C0B23BD">
            <w:pPr>
              <w:widowControl/>
              <w:spacing w:line="360" w:lineRule="auto"/>
              <w:jc w:val="left"/>
              <w:rPr>
                <w:rFonts w:ascii="宋体" w:hAnsi="宋体" w:cs="宋体"/>
                <w:bCs/>
                <w:kern w:val="0"/>
                <w:szCs w:val="21"/>
              </w:rPr>
            </w:pPr>
            <w:r>
              <w:rPr>
                <w:rFonts w:hint="eastAsia" w:ascii="宋体" w:hAnsi="宋体" w:cs="宋体"/>
                <w:bCs/>
                <w:kern w:val="0"/>
                <w:szCs w:val="21"/>
              </w:rPr>
              <w:t>低压母线改造</w:t>
            </w:r>
          </w:p>
        </w:tc>
        <w:tc>
          <w:tcPr>
            <w:tcW w:w="1767" w:type="pct"/>
            <w:noWrap w:val="0"/>
            <w:vAlign w:val="center"/>
          </w:tcPr>
          <w:p w14:paraId="6FFE5E2E">
            <w:pPr>
              <w:widowControl/>
              <w:spacing w:line="360" w:lineRule="auto"/>
              <w:jc w:val="left"/>
              <w:rPr>
                <w:rFonts w:ascii="宋体" w:hAnsi="宋体" w:cs="宋体"/>
                <w:bCs/>
                <w:kern w:val="0"/>
                <w:szCs w:val="21"/>
              </w:rPr>
            </w:pPr>
            <w:r>
              <w:rPr>
                <w:rFonts w:hint="eastAsia" w:ascii="宋体" w:hAnsi="宋体" w:cs="宋体"/>
                <w:bCs/>
                <w:kern w:val="0"/>
                <w:szCs w:val="21"/>
              </w:rPr>
              <w:t>从变压器出线到低压开关母线槽、母线，含各类附属件及耗材，包含拆卸、安装工作。甲方测量后的母线数量总计约4</w:t>
            </w:r>
            <w:r>
              <w:rPr>
                <w:rFonts w:ascii="宋体" w:hAnsi="宋体" w:cs="宋体"/>
                <w:bCs/>
                <w:kern w:val="0"/>
                <w:szCs w:val="21"/>
              </w:rPr>
              <w:t>2米，</w:t>
            </w:r>
            <w:r>
              <w:rPr>
                <w:rFonts w:hint="eastAsia" w:ascii="宋体" w:hAnsi="宋体" w:cs="宋体"/>
                <w:bCs/>
                <w:kern w:val="0"/>
                <w:szCs w:val="21"/>
              </w:rPr>
              <w:t>以实际使用数量结算。</w:t>
            </w:r>
          </w:p>
        </w:tc>
        <w:tc>
          <w:tcPr>
            <w:tcW w:w="389" w:type="pct"/>
            <w:noWrap w:val="0"/>
            <w:vAlign w:val="center"/>
          </w:tcPr>
          <w:p w14:paraId="6998D61A">
            <w:pPr>
              <w:widowControl/>
              <w:spacing w:line="360" w:lineRule="auto"/>
              <w:rPr>
                <w:rFonts w:hint="eastAsia" w:ascii="宋体" w:hAnsi="宋体" w:cs="宋体"/>
                <w:bCs/>
                <w:kern w:val="0"/>
                <w:szCs w:val="21"/>
              </w:rPr>
            </w:pPr>
            <w:r>
              <w:rPr>
                <w:rFonts w:ascii="宋体" w:hAnsi="宋体" w:cs="宋体"/>
                <w:bCs/>
                <w:kern w:val="0"/>
                <w:szCs w:val="21"/>
                <w:lang w:eastAsia="en-US"/>
              </w:rPr>
              <w:t>约</w:t>
            </w:r>
            <w:r>
              <w:rPr>
                <w:rFonts w:ascii="宋体" w:hAnsi="宋体" w:cs="宋体"/>
                <w:bCs/>
                <w:kern w:val="0"/>
                <w:szCs w:val="21"/>
              </w:rPr>
              <w:t>42米</w:t>
            </w:r>
          </w:p>
        </w:tc>
        <w:tc>
          <w:tcPr>
            <w:tcW w:w="760" w:type="pct"/>
            <w:noWrap w:val="0"/>
            <w:vAlign w:val="top"/>
          </w:tcPr>
          <w:p w14:paraId="26C485C2">
            <w:pPr>
              <w:widowControl/>
              <w:spacing w:line="360" w:lineRule="auto"/>
              <w:jc w:val="center"/>
              <w:rPr>
                <w:rFonts w:ascii="宋体" w:hAnsi="宋体" w:cs="宋体"/>
                <w:bCs/>
                <w:kern w:val="0"/>
                <w:szCs w:val="21"/>
                <w:lang w:eastAsia="en-US"/>
              </w:rPr>
            </w:pPr>
            <w:r>
              <w:rPr>
                <w:rFonts w:ascii="宋体" w:hAnsi="宋体" w:cs="宋体"/>
                <w:bCs/>
                <w:kern w:val="0"/>
                <w:szCs w:val="21"/>
              </w:rPr>
              <w:t>元</w:t>
            </w:r>
            <w:r>
              <w:rPr>
                <w:rFonts w:hint="eastAsia" w:ascii="宋体" w:hAnsi="宋体" w:cs="宋体"/>
                <w:bCs/>
                <w:kern w:val="0"/>
                <w:szCs w:val="21"/>
              </w:rPr>
              <w:t>/</w:t>
            </w:r>
            <w:r>
              <w:rPr>
                <w:rFonts w:ascii="宋体" w:hAnsi="宋体" w:cs="宋体"/>
                <w:bCs/>
                <w:kern w:val="0"/>
                <w:szCs w:val="21"/>
                <w:lang w:eastAsia="en-US"/>
              </w:rPr>
              <w:t>米</w:t>
            </w:r>
          </w:p>
        </w:tc>
        <w:tc>
          <w:tcPr>
            <w:tcW w:w="707" w:type="pct"/>
            <w:noWrap w:val="0"/>
            <w:vAlign w:val="top"/>
          </w:tcPr>
          <w:p w14:paraId="4BBE31F4">
            <w:pPr>
              <w:widowControl/>
              <w:spacing w:line="360" w:lineRule="auto"/>
              <w:jc w:val="center"/>
              <w:rPr>
                <w:rFonts w:ascii="宋体" w:hAnsi="宋体" w:cs="宋体"/>
                <w:bCs/>
                <w:kern w:val="0"/>
                <w:szCs w:val="21"/>
                <w:lang w:eastAsia="en-US"/>
              </w:rPr>
            </w:pPr>
          </w:p>
        </w:tc>
      </w:tr>
      <w:tr w14:paraId="6569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35" w:type="pct"/>
            <w:noWrap w:val="0"/>
            <w:vAlign w:val="center"/>
          </w:tcPr>
          <w:p w14:paraId="7A2A7FCC">
            <w:pPr>
              <w:widowControl/>
              <w:spacing w:line="360" w:lineRule="auto"/>
              <w:jc w:val="center"/>
              <w:rPr>
                <w:rFonts w:hint="eastAsia" w:ascii="宋体" w:hAnsi="宋体" w:cs="宋体"/>
                <w:bCs/>
                <w:kern w:val="0"/>
                <w:szCs w:val="21"/>
              </w:rPr>
            </w:pPr>
            <w:r>
              <w:rPr>
                <w:rFonts w:hint="eastAsia" w:ascii="宋体" w:hAnsi="宋体" w:cs="宋体"/>
                <w:bCs/>
                <w:kern w:val="0"/>
                <w:szCs w:val="21"/>
              </w:rPr>
              <w:t>2</w:t>
            </w:r>
          </w:p>
        </w:tc>
        <w:tc>
          <w:tcPr>
            <w:tcW w:w="942" w:type="pct"/>
            <w:noWrap w:val="0"/>
            <w:vAlign w:val="center"/>
          </w:tcPr>
          <w:p w14:paraId="5AC4D832">
            <w:pPr>
              <w:widowControl/>
              <w:spacing w:line="360" w:lineRule="auto"/>
              <w:jc w:val="left"/>
              <w:rPr>
                <w:rFonts w:hint="eastAsia" w:ascii="宋体" w:hAnsi="宋体" w:cs="宋体"/>
                <w:bCs/>
                <w:kern w:val="0"/>
                <w:szCs w:val="21"/>
              </w:rPr>
            </w:pPr>
            <w:r>
              <w:rPr>
                <w:rFonts w:hint="eastAsia" w:ascii="宋体" w:hAnsi="宋体" w:cs="宋体"/>
                <w:bCs/>
                <w:kern w:val="0"/>
                <w:szCs w:val="21"/>
              </w:rPr>
              <w:t>低压负荷开关改造</w:t>
            </w:r>
          </w:p>
        </w:tc>
        <w:tc>
          <w:tcPr>
            <w:tcW w:w="1767" w:type="pct"/>
            <w:noWrap w:val="0"/>
            <w:vAlign w:val="center"/>
          </w:tcPr>
          <w:p w14:paraId="58EF0E1D">
            <w:pPr>
              <w:widowControl/>
              <w:spacing w:line="360" w:lineRule="auto"/>
              <w:jc w:val="left"/>
              <w:rPr>
                <w:rFonts w:hint="eastAsia" w:ascii="宋体" w:hAnsi="宋体" w:cs="宋体"/>
                <w:bCs/>
                <w:kern w:val="0"/>
                <w:szCs w:val="21"/>
              </w:rPr>
            </w:pPr>
            <w:r>
              <w:rPr>
                <w:rFonts w:hint="eastAsia" w:ascii="宋体" w:hAnsi="宋体" w:cs="宋体"/>
                <w:bCs/>
                <w:kern w:val="0"/>
                <w:szCs w:val="21"/>
              </w:rPr>
              <w:t>改造低压开关及分支母线，见图纸</w:t>
            </w:r>
          </w:p>
        </w:tc>
        <w:tc>
          <w:tcPr>
            <w:tcW w:w="389" w:type="pct"/>
            <w:noWrap w:val="0"/>
            <w:vAlign w:val="center"/>
          </w:tcPr>
          <w:p w14:paraId="6252ED57">
            <w:pPr>
              <w:widowControl/>
              <w:spacing w:line="360" w:lineRule="auto"/>
              <w:jc w:val="center"/>
              <w:rPr>
                <w:rFonts w:hint="eastAsia" w:ascii="宋体" w:hAnsi="宋体" w:cs="宋体"/>
                <w:bCs/>
                <w:kern w:val="0"/>
                <w:szCs w:val="21"/>
              </w:rPr>
            </w:pPr>
            <w:r>
              <w:rPr>
                <w:rFonts w:hint="eastAsia" w:ascii="宋体" w:hAnsi="宋体" w:cs="宋体"/>
                <w:bCs/>
                <w:kern w:val="0"/>
                <w:szCs w:val="21"/>
              </w:rPr>
              <w:t>9只</w:t>
            </w:r>
          </w:p>
        </w:tc>
        <w:tc>
          <w:tcPr>
            <w:tcW w:w="760" w:type="pct"/>
            <w:noWrap w:val="0"/>
            <w:vAlign w:val="top"/>
          </w:tcPr>
          <w:p w14:paraId="77E8D42F">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r>
              <w:rPr>
                <w:rFonts w:hint="eastAsia" w:ascii="宋体" w:hAnsi="宋体" w:cs="宋体"/>
                <w:bCs/>
                <w:kern w:val="0"/>
                <w:szCs w:val="21"/>
              </w:rPr>
              <w:t>/</w:t>
            </w:r>
            <w:r>
              <w:rPr>
                <w:rFonts w:ascii="宋体" w:hAnsi="宋体" w:cs="宋体"/>
                <w:bCs/>
                <w:kern w:val="0"/>
                <w:szCs w:val="21"/>
                <w:lang w:eastAsia="en-US"/>
              </w:rPr>
              <w:t>只</w:t>
            </w:r>
          </w:p>
        </w:tc>
        <w:tc>
          <w:tcPr>
            <w:tcW w:w="707" w:type="pct"/>
            <w:noWrap w:val="0"/>
            <w:vAlign w:val="top"/>
          </w:tcPr>
          <w:p w14:paraId="7B5D7494">
            <w:pPr>
              <w:widowControl/>
              <w:spacing w:line="360" w:lineRule="auto"/>
              <w:jc w:val="center"/>
              <w:rPr>
                <w:rFonts w:ascii="宋体" w:hAnsi="宋体" w:cs="宋体"/>
                <w:bCs/>
                <w:kern w:val="0"/>
                <w:szCs w:val="21"/>
                <w:lang w:eastAsia="en-US"/>
              </w:rPr>
            </w:pPr>
          </w:p>
        </w:tc>
      </w:tr>
      <w:tr w14:paraId="51BC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35" w:type="pct"/>
            <w:noWrap w:val="0"/>
            <w:vAlign w:val="center"/>
          </w:tcPr>
          <w:p w14:paraId="72CB0847">
            <w:pPr>
              <w:widowControl/>
              <w:spacing w:line="360" w:lineRule="auto"/>
              <w:jc w:val="center"/>
              <w:rPr>
                <w:rFonts w:ascii="宋体" w:hAnsi="宋体" w:cs="宋体"/>
                <w:bCs/>
                <w:kern w:val="0"/>
                <w:szCs w:val="21"/>
                <w:lang w:eastAsia="en-US"/>
              </w:rPr>
            </w:pPr>
            <w:r>
              <w:rPr>
                <w:rFonts w:ascii="宋体" w:hAnsi="宋体" w:cs="宋体"/>
                <w:bCs/>
                <w:kern w:val="0"/>
                <w:szCs w:val="21"/>
              </w:rPr>
              <w:t>3</w:t>
            </w:r>
          </w:p>
        </w:tc>
        <w:tc>
          <w:tcPr>
            <w:tcW w:w="942" w:type="pct"/>
            <w:noWrap w:val="0"/>
            <w:vAlign w:val="center"/>
          </w:tcPr>
          <w:p w14:paraId="3D66C190">
            <w:pPr>
              <w:widowControl/>
              <w:spacing w:line="360" w:lineRule="auto"/>
              <w:jc w:val="center"/>
              <w:rPr>
                <w:rFonts w:ascii="宋体" w:hAnsi="宋体" w:cs="宋体"/>
                <w:bCs/>
                <w:kern w:val="0"/>
                <w:szCs w:val="21"/>
              </w:rPr>
            </w:pPr>
            <w:r>
              <w:rPr>
                <w:rFonts w:hint="eastAsia" w:ascii="宋体" w:hAnsi="宋体" w:cs="宋体"/>
                <w:bCs/>
                <w:kern w:val="0"/>
                <w:szCs w:val="21"/>
              </w:rPr>
              <w:t>低压总进线柜互感器改造</w:t>
            </w:r>
          </w:p>
        </w:tc>
        <w:tc>
          <w:tcPr>
            <w:tcW w:w="1767" w:type="pct"/>
            <w:noWrap w:val="0"/>
            <w:vAlign w:val="center"/>
          </w:tcPr>
          <w:p w14:paraId="7364A616">
            <w:pPr>
              <w:widowControl/>
              <w:spacing w:line="360" w:lineRule="auto"/>
              <w:jc w:val="left"/>
              <w:rPr>
                <w:rFonts w:ascii="宋体" w:hAnsi="宋体" w:cs="宋体"/>
                <w:bCs/>
                <w:kern w:val="0"/>
                <w:szCs w:val="21"/>
              </w:rPr>
            </w:pPr>
            <w:r>
              <w:rPr>
                <w:rFonts w:hint="eastAsia" w:ascii="宋体" w:hAnsi="宋体" w:cs="宋体"/>
                <w:bCs/>
                <w:kern w:val="0"/>
                <w:szCs w:val="21"/>
              </w:rPr>
              <w:t>母线增大后，穿心互感器改造，以实际使用数量结算。</w:t>
            </w:r>
          </w:p>
        </w:tc>
        <w:tc>
          <w:tcPr>
            <w:tcW w:w="389" w:type="pct"/>
            <w:noWrap w:val="0"/>
            <w:vAlign w:val="center"/>
          </w:tcPr>
          <w:p w14:paraId="7B245B0E">
            <w:pPr>
              <w:widowControl/>
              <w:spacing w:line="360" w:lineRule="auto"/>
              <w:jc w:val="center"/>
              <w:rPr>
                <w:rFonts w:hint="eastAsia" w:ascii="宋体" w:hAnsi="宋体" w:cs="宋体"/>
                <w:bCs/>
                <w:kern w:val="0"/>
                <w:szCs w:val="21"/>
              </w:rPr>
            </w:pPr>
            <w:r>
              <w:rPr>
                <w:rFonts w:ascii="宋体" w:hAnsi="宋体" w:cs="宋体"/>
                <w:bCs/>
                <w:kern w:val="0"/>
                <w:szCs w:val="21"/>
                <w:lang w:eastAsia="en-US"/>
              </w:rPr>
              <w:t>4</w:t>
            </w:r>
            <w:r>
              <w:rPr>
                <w:rFonts w:hint="eastAsia" w:ascii="宋体" w:hAnsi="宋体" w:cs="宋体"/>
                <w:bCs/>
                <w:kern w:val="0"/>
                <w:szCs w:val="21"/>
              </w:rPr>
              <w:t>只</w:t>
            </w:r>
          </w:p>
        </w:tc>
        <w:tc>
          <w:tcPr>
            <w:tcW w:w="760" w:type="pct"/>
            <w:noWrap w:val="0"/>
            <w:vAlign w:val="top"/>
          </w:tcPr>
          <w:p w14:paraId="2EE49872">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r>
              <w:rPr>
                <w:rFonts w:hint="eastAsia" w:ascii="宋体" w:hAnsi="宋体" w:cs="宋体"/>
                <w:bCs/>
                <w:kern w:val="0"/>
                <w:szCs w:val="21"/>
              </w:rPr>
              <w:t>/</w:t>
            </w:r>
            <w:r>
              <w:rPr>
                <w:rFonts w:ascii="宋体" w:hAnsi="宋体" w:cs="宋体"/>
                <w:bCs/>
                <w:kern w:val="0"/>
                <w:szCs w:val="21"/>
                <w:lang w:eastAsia="en-US"/>
              </w:rPr>
              <w:t>只</w:t>
            </w:r>
          </w:p>
        </w:tc>
        <w:tc>
          <w:tcPr>
            <w:tcW w:w="707" w:type="pct"/>
            <w:noWrap w:val="0"/>
            <w:vAlign w:val="top"/>
          </w:tcPr>
          <w:p w14:paraId="35E9F070">
            <w:pPr>
              <w:widowControl/>
              <w:spacing w:line="360" w:lineRule="auto"/>
              <w:jc w:val="center"/>
              <w:rPr>
                <w:rFonts w:ascii="宋体" w:hAnsi="宋体" w:cs="宋体"/>
                <w:bCs/>
                <w:kern w:val="0"/>
                <w:szCs w:val="21"/>
                <w:lang w:eastAsia="en-US"/>
              </w:rPr>
            </w:pPr>
          </w:p>
        </w:tc>
      </w:tr>
      <w:tr w14:paraId="7775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35" w:type="pct"/>
            <w:noWrap w:val="0"/>
            <w:vAlign w:val="center"/>
          </w:tcPr>
          <w:p w14:paraId="2CE3AA43">
            <w:pPr>
              <w:widowControl/>
              <w:spacing w:line="360" w:lineRule="auto"/>
              <w:jc w:val="center"/>
              <w:rPr>
                <w:rFonts w:ascii="宋体" w:hAnsi="宋体" w:cs="宋体"/>
                <w:bCs/>
                <w:kern w:val="0"/>
                <w:szCs w:val="21"/>
              </w:rPr>
            </w:pPr>
            <w:r>
              <w:rPr>
                <w:rFonts w:ascii="宋体" w:hAnsi="宋体" w:cs="宋体"/>
                <w:bCs/>
                <w:kern w:val="0"/>
                <w:szCs w:val="21"/>
              </w:rPr>
              <w:t>4</w:t>
            </w:r>
          </w:p>
        </w:tc>
        <w:tc>
          <w:tcPr>
            <w:tcW w:w="942" w:type="pct"/>
            <w:noWrap w:val="0"/>
            <w:vAlign w:val="center"/>
          </w:tcPr>
          <w:p w14:paraId="5DE283FA">
            <w:pPr>
              <w:widowControl/>
              <w:spacing w:line="360" w:lineRule="auto"/>
              <w:jc w:val="left"/>
              <w:rPr>
                <w:rFonts w:ascii="宋体" w:hAnsi="宋体" w:cs="宋体"/>
                <w:bCs/>
                <w:kern w:val="0"/>
                <w:szCs w:val="21"/>
              </w:rPr>
            </w:pPr>
            <w:r>
              <w:rPr>
                <w:rFonts w:ascii="宋体" w:hAnsi="宋体" w:cs="宋体"/>
                <w:bCs/>
                <w:kern w:val="0"/>
                <w:szCs w:val="21"/>
              </w:rPr>
              <w:t>调试</w:t>
            </w:r>
          </w:p>
        </w:tc>
        <w:tc>
          <w:tcPr>
            <w:tcW w:w="1767" w:type="pct"/>
            <w:noWrap w:val="0"/>
            <w:vAlign w:val="center"/>
          </w:tcPr>
          <w:p w14:paraId="74773AB9">
            <w:pPr>
              <w:widowControl/>
              <w:spacing w:line="360" w:lineRule="auto"/>
              <w:jc w:val="left"/>
              <w:rPr>
                <w:rFonts w:hint="eastAsia" w:ascii="宋体" w:hAnsi="宋体" w:cs="宋体"/>
                <w:bCs/>
                <w:kern w:val="0"/>
                <w:szCs w:val="21"/>
              </w:rPr>
            </w:pPr>
            <w:r>
              <w:rPr>
                <w:rFonts w:ascii="宋体" w:hAnsi="宋体" w:cs="宋体"/>
                <w:bCs/>
                <w:kern w:val="0"/>
                <w:szCs w:val="21"/>
              </w:rPr>
              <w:t>改造完成后，测试母线的可靠性和电气绝缘间隙，需满足要求。</w:t>
            </w:r>
          </w:p>
        </w:tc>
        <w:tc>
          <w:tcPr>
            <w:tcW w:w="389" w:type="pct"/>
            <w:noWrap w:val="0"/>
            <w:vAlign w:val="center"/>
          </w:tcPr>
          <w:p w14:paraId="39980660">
            <w:pPr>
              <w:widowControl/>
              <w:spacing w:line="360" w:lineRule="auto"/>
              <w:jc w:val="center"/>
              <w:rPr>
                <w:rFonts w:ascii="宋体" w:hAnsi="宋体" w:cs="宋体"/>
                <w:bCs/>
                <w:kern w:val="0"/>
                <w:szCs w:val="21"/>
                <w:lang w:eastAsia="en-US"/>
              </w:rPr>
            </w:pPr>
            <w:r>
              <w:rPr>
                <w:rFonts w:hint="eastAsia" w:ascii="宋体" w:hAnsi="宋体" w:cs="宋体"/>
                <w:bCs/>
                <w:kern w:val="0"/>
                <w:szCs w:val="21"/>
              </w:rPr>
              <w:t>-</w:t>
            </w:r>
          </w:p>
        </w:tc>
        <w:tc>
          <w:tcPr>
            <w:tcW w:w="760" w:type="pct"/>
            <w:noWrap w:val="0"/>
            <w:vAlign w:val="top"/>
          </w:tcPr>
          <w:p w14:paraId="33DC4869">
            <w:pPr>
              <w:widowControl/>
              <w:spacing w:line="360" w:lineRule="auto"/>
              <w:jc w:val="center"/>
              <w:rPr>
                <w:rFonts w:ascii="宋体" w:hAnsi="宋体" w:cs="宋体"/>
                <w:bCs/>
                <w:kern w:val="0"/>
                <w:szCs w:val="21"/>
                <w:lang w:eastAsia="en-US"/>
              </w:rPr>
            </w:pPr>
            <w:r>
              <w:rPr>
                <w:rFonts w:ascii="宋体" w:hAnsi="宋体" w:cs="宋体"/>
                <w:bCs/>
                <w:kern w:val="0"/>
                <w:szCs w:val="21"/>
                <w:lang w:eastAsia="en-US"/>
              </w:rPr>
              <w:t>元</w:t>
            </w:r>
            <w:r>
              <w:rPr>
                <w:rFonts w:hint="eastAsia" w:ascii="宋体" w:hAnsi="宋体" w:cs="宋体"/>
                <w:bCs/>
                <w:kern w:val="0"/>
                <w:szCs w:val="21"/>
              </w:rPr>
              <w:t>/</w:t>
            </w:r>
            <w:r>
              <w:rPr>
                <w:rFonts w:ascii="宋体" w:hAnsi="宋体" w:cs="宋体"/>
                <w:bCs/>
                <w:kern w:val="0"/>
                <w:szCs w:val="21"/>
                <w:lang w:eastAsia="en-US"/>
              </w:rPr>
              <w:t>套</w:t>
            </w:r>
          </w:p>
        </w:tc>
        <w:tc>
          <w:tcPr>
            <w:tcW w:w="707" w:type="pct"/>
            <w:noWrap w:val="0"/>
            <w:vAlign w:val="top"/>
          </w:tcPr>
          <w:p w14:paraId="02D5DCD9">
            <w:pPr>
              <w:widowControl/>
              <w:spacing w:line="360" w:lineRule="auto"/>
              <w:jc w:val="center"/>
              <w:rPr>
                <w:rFonts w:ascii="宋体" w:hAnsi="宋体" w:cs="宋体"/>
                <w:bCs/>
                <w:kern w:val="0"/>
                <w:szCs w:val="21"/>
                <w:lang w:eastAsia="en-US"/>
              </w:rPr>
            </w:pPr>
          </w:p>
        </w:tc>
      </w:tr>
      <w:tr w14:paraId="23D8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5" w:type="pct"/>
            <w:noWrap w:val="0"/>
            <w:vAlign w:val="center"/>
          </w:tcPr>
          <w:p w14:paraId="1E98F167">
            <w:pPr>
              <w:widowControl/>
              <w:spacing w:line="360" w:lineRule="auto"/>
              <w:jc w:val="center"/>
              <w:rPr>
                <w:rFonts w:ascii="宋体" w:hAnsi="宋体" w:cs="宋体"/>
                <w:bCs/>
                <w:kern w:val="0"/>
                <w:szCs w:val="21"/>
              </w:rPr>
            </w:pPr>
            <w:r>
              <w:rPr>
                <w:rFonts w:hint="eastAsia" w:ascii="宋体" w:hAnsi="宋体" w:cs="宋体"/>
                <w:bCs/>
                <w:kern w:val="0"/>
                <w:szCs w:val="21"/>
              </w:rPr>
              <w:t>5</w:t>
            </w:r>
          </w:p>
        </w:tc>
        <w:tc>
          <w:tcPr>
            <w:tcW w:w="942" w:type="pct"/>
            <w:noWrap w:val="0"/>
            <w:vAlign w:val="center"/>
          </w:tcPr>
          <w:p w14:paraId="2CB0FE50">
            <w:pPr>
              <w:widowControl/>
              <w:spacing w:line="360" w:lineRule="auto"/>
              <w:jc w:val="center"/>
              <w:rPr>
                <w:rFonts w:ascii="宋体" w:hAnsi="宋体" w:cs="宋体"/>
                <w:bCs/>
                <w:kern w:val="0"/>
                <w:szCs w:val="21"/>
                <w:lang w:eastAsia="en-US"/>
              </w:rPr>
            </w:pPr>
          </w:p>
        </w:tc>
        <w:tc>
          <w:tcPr>
            <w:tcW w:w="1767" w:type="pct"/>
            <w:noWrap w:val="0"/>
            <w:vAlign w:val="center"/>
          </w:tcPr>
          <w:p w14:paraId="130D0652">
            <w:pPr>
              <w:widowControl/>
              <w:spacing w:line="360" w:lineRule="auto"/>
              <w:jc w:val="center"/>
              <w:rPr>
                <w:rFonts w:ascii="宋体" w:hAnsi="宋体" w:cs="宋体"/>
                <w:bCs/>
                <w:kern w:val="0"/>
                <w:szCs w:val="21"/>
              </w:rPr>
            </w:pPr>
            <w:r>
              <w:rPr>
                <w:rFonts w:hint="eastAsia" w:ascii="宋体" w:hAnsi="宋体" w:cs="宋体"/>
                <w:bCs/>
                <w:kern w:val="0"/>
                <w:szCs w:val="21"/>
              </w:rPr>
              <w:t>含税合计：</w:t>
            </w:r>
          </w:p>
        </w:tc>
        <w:tc>
          <w:tcPr>
            <w:tcW w:w="389" w:type="pct"/>
            <w:noWrap w:val="0"/>
            <w:vAlign w:val="center"/>
          </w:tcPr>
          <w:p w14:paraId="21493AEC">
            <w:pPr>
              <w:widowControl/>
              <w:spacing w:line="360" w:lineRule="auto"/>
              <w:jc w:val="center"/>
              <w:rPr>
                <w:rFonts w:ascii="宋体" w:hAnsi="宋体" w:cs="宋体"/>
                <w:bCs/>
                <w:kern w:val="0"/>
                <w:szCs w:val="21"/>
              </w:rPr>
            </w:pPr>
          </w:p>
        </w:tc>
        <w:tc>
          <w:tcPr>
            <w:tcW w:w="760" w:type="pct"/>
            <w:noWrap w:val="0"/>
            <w:vAlign w:val="top"/>
          </w:tcPr>
          <w:p w14:paraId="0756A5F5">
            <w:pPr>
              <w:widowControl/>
              <w:spacing w:line="360" w:lineRule="auto"/>
              <w:jc w:val="center"/>
              <w:rPr>
                <w:rFonts w:ascii="宋体" w:hAnsi="宋体" w:cs="宋体"/>
                <w:bCs/>
                <w:kern w:val="0"/>
                <w:szCs w:val="21"/>
              </w:rPr>
            </w:pPr>
          </w:p>
        </w:tc>
        <w:tc>
          <w:tcPr>
            <w:tcW w:w="707" w:type="pct"/>
            <w:noWrap w:val="0"/>
            <w:vAlign w:val="top"/>
          </w:tcPr>
          <w:p w14:paraId="6E542994">
            <w:pPr>
              <w:widowControl/>
              <w:spacing w:line="360" w:lineRule="auto"/>
              <w:jc w:val="center"/>
              <w:rPr>
                <w:rFonts w:ascii="宋体" w:hAnsi="宋体" w:cs="宋体"/>
                <w:bCs/>
                <w:kern w:val="0"/>
                <w:szCs w:val="21"/>
              </w:rPr>
            </w:pPr>
          </w:p>
        </w:tc>
      </w:tr>
    </w:tbl>
    <w:p w14:paraId="401AAB9A">
      <w:pPr>
        <w:ind w:firstLine="480"/>
        <w:rPr>
          <w:rFonts w:hint="eastAsia" w:ascii="宋体" w:hAnsi="宋体"/>
          <w:sz w:val="24"/>
          <w:u w:val="single"/>
        </w:rPr>
      </w:pPr>
    </w:p>
    <w:p w14:paraId="26BF9F2F">
      <w:pPr>
        <w:rPr>
          <w:rFonts w:ascii="宋体" w:hAnsi="宋体"/>
          <w:sz w:val="24"/>
        </w:rPr>
      </w:pPr>
      <w:r>
        <w:rPr>
          <w:rFonts w:hint="eastAsia" w:ascii="宋体" w:hAnsi="宋体"/>
          <w:sz w:val="24"/>
        </w:rPr>
        <w:t>　　服务时间/工期：</w:t>
      </w:r>
      <w:r>
        <w:rPr>
          <w:rFonts w:hint="eastAsia" w:ascii="宋体" w:hAnsi="宋体"/>
          <w:sz w:val="24"/>
          <w:u w:val="single"/>
        </w:rPr>
        <w:t>合同签订后5日历天内完成全部改造项目</w:t>
      </w:r>
    </w:p>
    <w:p w14:paraId="03938EB8">
      <w:pPr>
        <w:ind w:firstLine="480" w:firstLineChars="200"/>
        <w:rPr>
          <w:rFonts w:hint="eastAsia" w:ascii="宋体" w:hAnsi="宋体"/>
          <w:sz w:val="24"/>
        </w:rPr>
      </w:pPr>
      <w:r>
        <w:rPr>
          <w:rFonts w:hint="eastAsia" w:ascii="宋体" w:hAnsi="宋体"/>
          <w:sz w:val="24"/>
        </w:rPr>
        <w:t>服务/施工地点：</w:t>
      </w:r>
      <w:r>
        <w:rPr>
          <w:rFonts w:hint="eastAsia" w:ascii="宋体" w:hAnsi="宋体"/>
          <w:sz w:val="24"/>
          <w:szCs w:val="21"/>
        </w:rPr>
        <w:t>重庆国际复合材料股份有限公司长寿生产基地</w:t>
      </w:r>
    </w:p>
    <w:p w14:paraId="36FD2AD2">
      <w:pPr>
        <w:numPr>
          <w:ilvl w:val="0"/>
          <w:numId w:val="2"/>
        </w:numPr>
        <w:rPr>
          <w:rFonts w:hint="eastAsia" w:ascii="宋体" w:hAnsi="宋体"/>
          <w:sz w:val="24"/>
        </w:rPr>
      </w:pPr>
      <w:r>
        <w:rPr>
          <w:rFonts w:hint="eastAsia" w:ascii="宋体" w:hAnsi="宋体"/>
          <w:sz w:val="24"/>
        </w:rPr>
        <w:t>报价人资格</w:t>
      </w:r>
    </w:p>
    <w:p w14:paraId="1151657D">
      <w:pPr>
        <w:ind w:firstLine="480" w:firstLineChars="200"/>
        <w:rPr>
          <w:rFonts w:hint="eastAsia" w:ascii="宋体" w:hAnsi="宋体"/>
          <w:sz w:val="24"/>
        </w:rPr>
      </w:pPr>
      <w:r>
        <w:rPr>
          <w:rFonts w:hint="eastAsia" w:ascii="宋体" w:hAnsi="宋体"/>
          <w:sz w:val="24"/>
        </w:rPr>
        <w:t>本次询比采购实行资格后审，报价人应满足下列资格条件</w:t>
      </w:r>
    </w:p>
    <w:p w14:paraId="04505444">
      <w:pPr>
        <w:rPr>
          <w:rFonts w:hint="eastAsia" w:ascii="宋体" w:hAnsi="宋体"/>
          <w:sz w:val="24"/>
        </w:rPr>
      </w:pPr>
      <w:r>
        <w:rPr>
          <w:rFonts w:hint="eastAsia" w:ascii="宋体" w:hAnsi="宋体"/>
          <w:sz w:val="24"/>
        </w:rPr>
        <w:t>　　（</w:t>
      </w:r>
      <w:r>
        <w:rPr>
          <w:rFonts w:ascii="宋体" w:hAnsi="宋体"/>
          <w:sz w:val="24"/>
        </w:rPr>
        <w:t>1</w:t>
      </w:r>
      <w:r>
        <w:rPr>
          <w:rFonts w:hint="eastAsia" w:ascii="宋体" w:hAnsi="宋体"/>
          <w:sz w:val="24"/>
        </w:rPr>
        <w:t>）具备中华人民共和国境内注册、合法经营的独立企业法人，具备工商行政主管部门颁发的经营期限内的营业执照（统一社会信用代码）。</w:t>
      </w:r>
    </w:p>
    <w:p w14:paraId="74534255">
      <w:pPr>
        <w:topLinePunct/>
        <w:adjustRightInd w:val="0"/>
        <w:snapToGrid w:val="0"/>
        <w:spacing w:line="440" w:lineRule="exact"/>
        <w:ind w:firstLine="480"/>
        <w:rPr>
          <w:rFonts w:hint="eastAsia" w:ascii="宋体" w:hAnsi="宋体"/>
          <w:sz w:val="24"/>
          <w:szCs w:val="21"/>
        </w:rPr>
      </w:pPr>
      <w:r>
        <w:rPr>
          <w:rFonts w:hint="eastAsia" w:ascii="宋体" w:hAnsi="宋体"/>
          <w:sz w:val="24"/>
        </w:rPr>
        <w:t>（2）具备有效期内的安全生产许可证。</w:t>
      </w:r>
      <w:r>
        <w:rPr>
          <w:rFonts w:hint="eastAsia" w:ascii="宋体" w:hAnsi="宋体"/>
          <w:sz w:val="24"/>
          <w:szCs w:val="21"/>
        </w:rPr>
        <w:t>　　</w:t>
      </w:r>
    </w:p>
    <w:p w14:paraId="59F2ADD6">
      <w:pPr>
        <w:topLinePunct/>
        <w:adjustRightInd w:val="0"/>
        <w:snapToGrid w:val="0"/>
        <w:spacing w:line="440" w:lineRule="exact"/>
        <w:ind w:firstLine="480"/>
        <w:rPr>
          <w:rFonts w:hint="eastAsia" w:ascii="宋体" w:hAnsi="宋体"/>
          <w:sz w:val="24"/>
          <w:szCs w:val="21"/>
        </w:rPr>
      </w:pPr>
      <w:r>
        <w:rPr>
          <w:rFonts w:hint="eastAsia" w:ascii="宋体" w:hAnsi="宋体"/>
          <w:sz w:val="24"/>
          <w:szCs w:val="21"/>
        </w:rPr>
        <w:t>（3）供应商是低压开关柜设备成套厂家，或机电施工（三级）资质单位联合成套柜设备厂家、或承装修试(三级)资质单位联合成套柜设备厂家。注：机电施工（三级）和承装修试(三级)须联合成套柜厂家，投标时提供成套柜厂家的相应资质。</w:t>
      </w:r>
    </w:p>
    <w:p w14:paraId="343A657B">
      <w:pPr>
        <w:rPr>
          <w:rFonts w:hint="eastAsia" w:ascii="宋体" w:hAnsi="宋体"/>
          <w:sz w:val="24"/>
        </w:rPr>
      </w:pPr>
      <w:r>
        <w:rPr>
          <w:rFonts w:hint="eastAsia" w:ascii="宋体" w:hAnsi="宋体"/>
          <w:sz w:val="24"/>
        </w:rPr>
        <w:t>五、报价文件要求：</w:t>
      </w:r>
    </w:p>
    <w:p w14:paraId="3D6ADBB5">
      <w:pPr>
        <w:numPr>
          <w:ilvl w:val="0"/>
          <w:numId w:val="3"/>
        </w:numPr>
        <w:rPr>
          <w:rFonts w:hint="eastAsia" w:ascii="宋体" w:hAnsi="宋体"/>
          <w:sz w:val="24"/>
        </w:rPr>
      </w:pPr>
      <w:r>
        <w:rPr>
          <w:rFonts w:hint="eastAsia" w:ascii="宋体" w:hAnsi="宋体"/>
          <w:sz w:val="24"/>
        </w:rPr>
        <w:t>报价文件加盖公章，除法定代表人和委托代理人签字外，其余手填无效。</w:t>
      </w:r>
    </w:p>
    <w:p w14:paraId="1B9F6D26">
      <w:pPr>
        <w:numPr>
          <w:ilvl w:val="0"/>
          <w:numId w:val="3"/>
        </w:numPr>
        <w:rPr>
          <w:rFonts w:hint="eastAsia" w:ascii="宋体" w:hAnsi="宋体"/>
          <w:sz w:val="24"/>
        </w:rPr>
      </w:pPr>
      <w:r>
        <w:rPr>
          <w:rFonts w:hint="eastAsia" w:ascii="宋体" w:hAnsi="宋体"/>
          <w:sz w:val="24"/>
        </w:rPr>
        <w:t>报价文件应密封，封皮注明询比采购项目、报价单位及报价日期并加盖公章，并提供PDF电子文件一份（签字盖章的扫描件）。</w:t>
      </w:r>
    </w:p>
    <w:p w14:paraId="7941B313">
      <w:pPr>
        <w:numPr>
          <w:ilvl w:val="0"/>
          <w:numId w:val="3"/>
        </w:numPr>
        <w:rPr>
          <w:rFonts w:hint="eastAsia" w:ascii="宋体" w:hAnsi="宋体"/>
          <w:sz w:val="24"/>
        </w:rPr>
      </w:pPr>
      <w:r>
        <w:rPr>
          <w:rFonts w:hint="eastAsia" w:ascii="宋体" w:hAnsi="宋体"/>
          <w:sz w:val="24"/>
        </w:rPr>
        <w:t>有效期：报价文件及有关承诺文件有效期为报价文件投递截止之日起90天。</w:t>
      </w:r>
    </w:p>
    <w:p w14:paraId="37D51915">
      <w:pPr>
        <w:numPr>
          <w:ilvl w:val="0"/>
          <w:numId w:val="3"/>
        </w:numPr>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292DC2E3">
      <w:pPr>
        <w:rPr>
          <w:rFonts w:hint="eastAsia" w:ascii="宋体" w:hAnsi="宋体"/>
          <w:sz w:val="24"/>
        </w:rPr>
      </w:pPr>
      <w:r>
        <w:rPr>
          <w:rFonts w:hint="eastAsia" w:ascii="宋体" w:hAnsi="宋体"/>
          <w:sz w:val="24"/>
        </w:rPr>
        <w:t>六、报价要求：</w:t>
      </w:r>
    </w:p>
    <w:p w14:paraId="2AE55BFD">
      <w:pPr>
        <w:rPr>
          <w:rFonts w:hint="eastAsia" w:ascii="宋体" w:hAnsi="宋体"/>
          <w:sz w:val="24"/>
        </w:rPr>
      </w:pPr>
      <w:r>
        <w:rPr>
          <w:rFonts w:hint="eastAsia" w:ascii="宋体" w:hAnsi="宋体"/>
          <w:sz w:val="24"/>
        </w:rPr>
        <w:t>1、为完成合同范围内的所有支出费用以及合理利润，应承担的一切成本（包括但不限于）管理费、保险费、安全措施费、机械使用费、调试费、工作设施、设备、仪器、消耗性材料在实施期间价格变化、人工工资调价、与工作有关的协调费用，以及所能预见的为保障配电室及配电设施正常运行而采用的各种临时措施而增加的各种费用等。</w:t>
      </w:r>
    </w:p>
    <w:p w14:paraId="60454E1D">
      <w:pPr>
        <w:rPr>
          <w:rFonts w:hint="eastAsia" w:ascii="宋体" w:hAnsi="宋体"/>
          <w:sz w:val="24"/>
        </w:rPr>
      </w:pPr>
      <w:r>
        <w:rPr>
          <w:rFonts w:hint="eastAsia" w:ascii="宋体" w:hAnsi="宋体"/>
          <w:sz w:val="24"/>
        </w:rPr>
        <w:t>2、乙方提供服务维护检修过程中所有材料，母线槽、母线及更换的开关实际结算为准。</w:t>
      </w:r>
    </w:p>
    <w:p w14:paraId="453A2F04">
      <w:pPr>
        <w:rPr>
          <w:rFonts w:hint="eastAsia" w:ascii="宋体" w:hAnsi="宋体"/>
          <w:sz w:val="24"/>
        </w:rPr>
      </w:pPr>
      <w:r>
        <w:rPr>
          <w:rFonts w:hint="eastAsia" w:ascii="宋体" w:hAnsi="宋体"/>
          <w:sz w:val="24"/>
        </w:rPr>
        <w:t>3、乙方施工过程，作业前必须由甲乙双方共同现场确认。甲方交出设备后方可作业，如果乙方私自作业造成一切损失由乙方自行承担。</w:t>
      </w:r>
    </w:p>
    <w:p w14:paraId="37E54122">
      <w:pPr>
        <w:rPr>
          <w:rFonts w:hint="eastAsia" w:ascii="宋体" w:hAnsi="宋体"/>
          <w:sz w:val="24"/>
        </w:rPr>
      </w:pPr>
      <w:r>
        <w:rPr>
          <w:rFonts w:hint="eastAsia" w:ascii="宋体" w:hAnsi="宋体"/>
          <w:sz w:val="24"/>
        </w:rPr>
        <w:t>4、乙方需自行现场踏勘，实际确认数量为准，费用自理。投标人未踏勘现场或未响应关键技术要求将作废标处理。</w:t>
      </w:r>
    </w:p>
    <w:p w14:paraId="2D331A3B">
      <w:pPr>
        <w:rPr>
          <w:rFonts w:hint="eastAsia" w:ascii="宋体" w:hAnsi="宋体"/>
          <w:sz w:val="24"/>
        </w:rPr>
      </w:pPr>
      <w:r>
        <w:rPr>
          <w:rFonts w:hint="eastAsia" w:ascii="宋体" w:hAnsi="宋体"/>
          <w:sz w:val="24"/>
        </w:rPr>
        <w:t>七、履约保证金与付款方式：</w:t>
      </w:r>
    </w:p>
    <w:p w14:paraId="388446E3">
      <w:pPr>
        <w:rPr>
          <w:rFonts w:hint="eastAsia" w:ascii="宋体" w:hAnsi="宋体"/>
          <w:sz w:val="24"/>
        </w:rPr>
      </w:pPr>
      <w:r>
        <w:rPr>
          <w:rFonts w:hint="eastAsia" w:ascii="宋体" w:hAnsi="宋体"/>
          <w:sz w:val="24"/>
        </w:rPr>
        <w:t>1、履约保证金缴纳：在合同签订后3日内向甲方缴纳本项目合同总价5%价款作为履约保证金（最低不能少于1万）。自提交履约担保至项目验收合格之日止。以现金形式缴纳的履约担保的必须从其基本账户缴纳履约保证金，通过银行汇入甲方专用账号；不接受现金缴纳履约保证金；不得以分公司、办事处或其它机构的名义缴纳。项目验收合格15个工作日内，甲方向乙方无息退还。</w:t>
      </w:r>
    </w:p>
    <w:p w14:paraId="4E105172">
      <w:pPr>
        <w:rPr>
          <w:rFonts w:hint="eastAsia" w:ascii="宋体" w:hAnsi="宋体"/>
          <w:sz w:val="24"/>
        </w:rPr>
      </w:pPr>
      <w:r>
        <w:rPr>
          <w:rFonts w:hint="eastAsia" w:ascii="宋体" w:hAnsi="宋体"/>
          <w:sz w:val="24"/>
        </w:rPr>
        <w:t>2、合同款支付方式：现金电汇。完成验收合格后并收到全额发票，支付对应合同金额。</w:t>
      </w:r>
    </w:p>
    <w:p w14:paraId="3B1285F8">
      <w:pPr>
        <w:rPr>
          <w:rFonts w:hint="eastAsia" w:ascii="宋体" w:hAnsi="宋体"/>
          <w:sz w:val="24"/>
        </w:rPr>
      </w:pPr>
      <w:r>
        <w:rPr>
          <w:rFonts w:hint="eastAsia" w:ascii="宋体" w:hAnsi="宋体"/>
          <w:sz w:val="24"/>
        </w:rPr>
        <w:t>八、询比采购公告时间</w:t>
      </w:r>
    </w:p>
    <w:p w14:paraId="4D35B121">
      <w:pPr>
        <w:numPr>
          <w:ilvl w:val="0"/>
          <w:numId w:val="4"/>
        </w:numPr>
        <w:rPr>
          <w:rFonts w:ascii="宋体" w:hAnsi="宋体" w:cs="宋体"/>
          <w:sz w:val="24"/>
          <w:szCs w:val="21"/>
        </w:rPr>
      </w:pPr>
      <w:r>
        <w:rPr>
          <w:rFonts w:hint="eastAsia" w:ascii="宋体" w:hAnsi="宋体"/>
          <w:sz w:val="24"/>
        </w:rPr>
        <w:t>本次询比采购公告开始时间</w:t>
      </w:r>
      <w:r>
        <w:rPr>
          <w:rFonts w:hint="eastAsia" w:ascii="宋体" w:hAnsi="宋体"/>
          <w:sz w:val="24"/>
          <w:u w:val="single"/>
        </w:rPr>
        <w:t>2026</w:t>
      </w:r>
      <w:r>
        <w:rPr>
          <w:rFonts w:hint="eastAsia" w:ascii="宋体" w:hAnsi="宋体"/>
          <w:sz w:val="24"/>
        </w:rPr>
        <w:t>年</w:t>
      </w:r>
      <w:r>
        <w:rPr>
          <w:rFonts w:hint="eastAsia" w:ascii="宋体" w:hAnsi="宋体"/>
          <w:sz w:val="24"/>
          <w:u w:val="single"/>
        </w:rPr>
        <w:t>4</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日，公告结束时间</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8</w:t>
      </w:r>
      <w:r>
        <w:rPr>
          <w:rFonts w:hint="eastAsia" w:ascii="宋体" w:hAnsi="宋体"/>
          <w:sz w:val="24"/>
        </w:rPr>
        <w:t>日。</w:t>
      </w:r>
    </w:p>
    <w:p w14:paraId="29DE3C43">
      <w:pPr>
        <w:numPr>
          <w:ilvl w:val="0"/>
          <w:numId w:val="4"/>
        </w:numPr>
        <w:rPr>
          <w:rFonts w:hint="eastAsia" w:ascii="宋体" w:hAnsi="宋体"/>
          <w:sz w:val="24"/>
        </w:rPr>
      </w:pPr>
      <w:r>
        <w:rPr>
          <w:rFonts w:hint="eastAsia" w:ascii="宋体" w:hAnsi="宋体"/>
          <w:sz w:val="24"/>
        </w:rPr>
        <w:t xml:space="preserve">取得询比采购文件的联系方式： </w:t>
      </w:r>
    </w:p>
    <w:p w14:paraId="3A0DD630">
      <w:pPr>
        <w:ind w:firstLine="480" w:firstLineChars="200"/>
        <w:rPr>
          <w:rFonts w:hint="eastAsia" w:ascii="宋体" w:hAnsi="宋体"/>
          <w:sz w:val="24"/>
        </w:rPr>
      </w:pPr>
      <w:r>
        <w:rPr>
          <w:rFonts w:hint="eastAsia" w:ascii="宋体" w:hAnsi="宋体"/>
          <w:sz w:val="24"/>
        </w:rPr>
        <w:t>采   购   人：重庆国际复合材料股份有限公司</w:t>
      </w:r>
    </w:p>
    <w:p w14:paraId="11A35B40">
      <w:pPr>
        <w:ind w:firstLine="480" w:firstLineChars="200"/>
        <w:rPr>
          <w:rFonts w:hint="eastAsia" w:ascii="宋体" w:hAnsi="宋体"/>
          <w:sz w:val="24"/>
        </w:rPr>
      </w:pPr>
      <w:r>
        <w:rPr>
          <w:rFonts w:hint="eastAsia" w:ascii="宋体" w:hAnsi="宋体"/>
          <w:sz w:val="24"/>
        </w:rPr>
        <w:t>办  公 地 址：重庆市大渡口区建桥工业园B区</w:t>
      </w:r>
    </w:p>
    <w:p w14:paraId="059176AD">
      <w:pPr>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20F6DA7E">
      <w:pPr>
        <w:ind w:firstLine="480" w:firstLineChars="200"/>
        <w:rPr>
          <w:rFonts w:hint="eastAsia" w:ascii="宋体" w:hAnsi="宋体"/>
          <w:color w:val="FF0000"/>
          <w:sz w:val="24"/>
        </w:rPr>
      </w:pPr>
      <w:r>
        <w:rPr>
          <w:rFonts w:hint="eastAsia" w:ascii="宋体" w:hAnsi="宋体"/>
          <w:sz w:val="24"/>
        </w:rPr>
        <w:t>技术 联 系人：</w:t>
      </w:r>
      <w:r>
        <w:rPr>
          <w:rFonts w:hint="eastAsia" w:ascii="宋体" w:hAnsi="宋体"/>
          <w:sz w:val="24"/>
          <w:u w:val="single"/>
        </w:rPr>
        <w:t xml:space="preserve"> 王安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r>
        <w:rPr>
          <w:rFonts w:hint="eastAsia" w:ascii="宋体" w:hAnsi="宋体"/>
          <w:sz w:val="24"/>
          <w:u w:val="single"/>
        </w:rPr>
        <w:t xml:space="preserve"> </w:t>
      </w:r>
      <w:r>
        <w:rPr>
          <w:rFonts w:ascii="宋体" w:hAnsi="宋体"/>
          <w:sz w:val="24"/>
          <w:u w:val="single"/>
        </w:rPr>
        <w:t>18996014203</w:t>
      </w:r>
      <w:r>
        <w:rPr>
          <w:rFonts w:hint="eastAsia" w:ascii="宋体" w:hAnsi="宋体"/>
          <w:sz w:val="24"/>
          <w:u w:val="single"/>
        </w:rPr>
        <w:t xml:space="preserve">   </w:t>
      </w:r>
    </w:p>
    <w:p w14:paraId="24C255A1">
      <w:pPr>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07D7AC22">
      <w:pPr>
        <w:ind w:firstLine="480"/>
        <w:rPr>
          <w:rFonts w:hint="eastAsia" w:ascii="宋体" w:hAnsi="宋体"/>
          <w:sz w:val="24"/>
        </w:rPr>
      </w:pPr>
      <w:r>
        <w:rPr>
          <w:rFonts w:hint="eastAsia" w:ascii="宋体" w:hAnsi="宋体"/>
          <w:sz w:val="24"/>
        </w:rPr>
        <w:t>监督人：重庆国际复合材料股份有限</w:t>
      </w:r>
    </w:p>
    <w:p w14:paraId="6222F1A1">
      <w:pPr>
        <w:ind w:firstLine="480"/>
        <w:rPr>
          <w:rFonts w:hint="eastAsia" w:ascii="宋体" w:hAnsi="宋体"/>
          <w:sz w:val="24"/>
        </w:rPr>
      </w:pPr>
      <w:r>
        <w:rPr>
          <w:rFonts w:hint="eastAsia" w:ascii="宋体" w:hAnsi="宋体"/>
          <w:sz w:val="24"/>
        </w:rPr>
        <w:t>地址：重庆市大渡口区建桥工业园B区</w:t>
      </w:r>
    </w:p>
    <w:p w14:paraId="5E0959AB">
      <w:pPr>
        <w:ind w:firstLine="480"/>
        <w:rPr>
          <w:rFonts w:ascii="宋体" w:hAnsi="宋体"/>
          <w:sz w:val="24"/>
        </w:rPr>
      </w:pPr>
      <w:r>
        <w:rPr>
          <w:rFonts w:hint="eastAsia" w:ascii="宋体" w:hAnsi="宋体"/>
          <w:sz w:val="24"/>
        </w:rPr>
        <w:t>联系人：付老师</w:t>
      </w:r>
    </w:p>
    <w:p w14:paraId="63F77B54">
      <w:pPr>
        <w:ind w:firstLine="480"/>
        <w:rPr>
          <w:rFonts w:hint="eastAsia" w:ascii="宋体" w:hAnsi="宋体"/>
          <w:sz w:val="24"/>
        </w:rPr>
      </w:pPr>
      <w:r>
        <w:rPr>
          <w:rFonts w:hint="eastAsia" w:ascii="宋体" w:hAnsi="宋体"/>
          <w:sz w:val="24"/>
        </w:rPr>
        <w:t>联系电话：023-68536643</w:t>
      </w:r>
    </w:p>
    <w:p w14:paraId="213FD8A2">
      <w:pPr>
        <w:ind w:firstLine="480"/>
        <w:rPr>
          <w:rFonts w:ascii="宋体" w:hAnsi="宋体"/>
          <w:sz w:val="24"/>
        </w:rPr>
      </w:pPr>
      <w:r>
        <w:rPr>
          <w:rFonts w:hint="eastAsia" w:ascii="宋体" w:hAnsi="宋体"/>
          <w:sz w:val="24"/>
        </w:rPr>
        <w:t>邮箱：</w:t>
      </w:r>
      <w:r>
        <w:rPr>
          <w:rFonts w:ascii="宋体" w:hAnsi="宋体" w:cs="宋体"/>
          <w:sz w:val="24"/>
        </w:rPr>
        <w:t>fuwei4253@cpicfiber.com</w:t>
      </w:r>
    </w:p>
    <w:p w14:paraId="4C07F996">
      <w:pPr>
        <w:rPr>
          <w:rFonts w:hint="eastAsia" w:ascii="宋体" w:hAnsi="宋体"/>
          <w:sz w:val="24"/>
        </w:rPr>
      </w:pPr>
      <w:r>
        <w:rPr>
          <w:rFonts w:hint="eastAsia" w:ascii="宋体" w:hAnsi="宋体"/>
          <w:sz w:val="24"/>
        </w:rPr>
        <w:t>十、文件递交：</w:t>
      </w:r>
    </w:p>
    <w:p w14:paraId="14B0CBD3">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lang w:val="en-US" w:eastAsia="zh-CN"/>
        </w:rPr>
        <w:t>2026</w:t>
      </w:r>
      <w:r>
        <w:rPr>
          <w:rFonts w:hint="eastAsia" w:ascii="宋体" w:hAnsi="宋体" w:cs="宋体"/>
          <w:sz w:val="24"/>
          <w:szCs w:val="21"/>
        </w:rPr>
        <w:t>年</w:t>
      </w:r>
      <w:r>
        <w:rPr>
          <w:rFonts w:hint="eastAsia" w:ascii="宋体" w:hAnsi="宋体" w:cs="宋体"/>
          <w:sz w:val="24"/>
          <w:szCs w:val="21"/>
          <w:u w:val="single"/>
          <w:lang w:val="en-US" w:eastAsia="zh-CN"/>
        </w:rPr>
        <w:t>5</w:t>
      </w:r>
      <w:r>
        <w:rPr>
          <w:rFonts w:hint="eastAsia" w:ascii="宋体" w:hAnsi="宋体" w:cs="宋体"/>
          <w:sz w:val="24"/>
          <w:szCs w:val="21"/>
        </w:rPr>
        <w:t xml:space="preserve">月 </w:t>
      </w:r>
      <w:r>
        <w:rPr>
          <w:rFonts w:hint="eastAsia" w:ascii="宋体" w:hAnsi="宋体" w:cs="宋体"/>
          <w:sz w:val="24"/>
          <w:szCs w:val="21"/>
          <w:u w:val="single"/>
          <w:lang w:val="en-US" w:eastAsia="zh-CN"/>
        </w:rPr>
        <w:t>9</w:t>
      </w:r>
      <w:r>
        <w:rPr>
          <w:rFonts w:hint="eastAsia" w:ascii="宋体" w:hAnsi="宋体" w:cs="宋体"/>
          <w:sz w:val="24"/>
          <w:szCs w:val="21"/>
        </w:rPr>
        <w:t>日上午</w:t>
      </w:r>
      <w:r>
        <w:rPr>
          <w:rFonts w:hint="eastAsia" w:ascii="宋体" w:hAnsi="宋体" w:cs="宋体"/>
          <w:sz w:val="24"/>
          <w:szCs w:val="21"/>
          <w:u w:val="single"/>
          <w:lang w:val="en-US" w:eastAsia="zh-CN"/>
        </w:rPr>
        <w:t>10</w:t>
      </w:r>
      <w:r>
        <w:rPr>
          <w:rFonts w:ascii="宋体" w:hAnsi="宋体" w:cs="宋体"/>
          <w:sz w:val="24"/>
          <w:szCs w:val="21"/>
        </w:rPr>
        <w:t>时</w:t>
      </w:r>
      <w:r>
        <w:rPr>
          <w:rFonts w:hint="eastAsia" w:ascii="宋体" w:hAnsi="宋体" w:cs="宋体"/>
          <w:sz w:val="24"/>
          <w:szCs w:val="21"/>
          <w:u w:val="single"/>
          <w:lang w:val="en-US" w:eastAsia="zh-CN"/>
        </w:rPr>
        <w:t>00</w:t>
      </w:r>
      <w:r>
        <w:rPr>
          <w:rFonts w:hint="eastAsia" w:ascii="宋体" w:hAnsi="宋体" w:cs="宋体"/>
          <w:sz w:val="24"/>
          <w:szCs w:val="21"/>
        </w:rPr>
        <w:t>分；递交地点为：重庆市大渡口区重庆国际复合材料股份有限公司。</w:t>
      </w:r>
    </w:p>
    <w:p w14:paraId="48AA5A0A">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比价时间：报价文件递交截止之日起3个工作日内。</w:t>
      </w:r>
    </w:p>
    <w:p w14:paraId="2A1EDD83">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比价地点：重庆市大渡口区重庆国际复合材料股份有限公司大渡口本部。</w:t>
      </w:r>
    </w:p>
    <w:p w14:paraId="53242EAD">
      <w:pPr>
        <w:numPr>
          <w:ilvl w:val="0"/>
          <w:numId w:val="5"/>
        </w:numPr>
        <w:tabs>
          <w:tab w:val="left" w:pos="1425"/>
        </w:tabs>
        <w:spacing w:line="440" w:lineRule="exact"/>
        <w:rPr>
          <w:rFonts w:hint="eastAsia" w:ascii="宋体" w:hAnsi="宋体" w:cs="宋体"/>
          <w:sz w:val="24"/>
          <w:szCs w:val="21"/>
        </w:rPr>
      </w:pPr>
      <w:r>
        <w:rPr>
          <w:rFonts w:hint="eastAsia" w:ascii="宋体" w:hAnsi="宋体" w:cs="宋体"/>
          <w:sz w:val="24"/>
          <w:szCs w:val="21"/>
        </w:rPr>
        <w:t>逾期送达的、未送达指定地点或不按照要求密封</w:t>
      </w:r>
      <w:r>
        <w:rPr>
          <w:rFonts w:hint="eastAsia" w:ascii="宋体" w:hAnsi="宋体" w:cs="宋体"/>
          <w:color w:val="000000"/>
          <w:sz w:val="24"/>
          <w:szCs w:val="21"/>
        </w:rPr>
        <w:t>的</w:t>
      </w:r>
      <w:r>
        <w:rPr>
          <w:rFonts w:hint="eastAsia" w:ascii="宋体" w:hAnsi="宋体" w:cs="宋体"/>
          <w:sz w:val="24"/>
          <w:szCs w:val="21"/>
        </w:rPr>
        <w:t>报价文件，采购人不予受理。</w:t>
      </w:r>
    </w:p>
    <w:p w14:paraId="376F3622">
      <w:pPr>
        <w:spacing w:line="440" w:lineRule="exact"/>
        <w:jc w:val="left"/>
        <w:rPr>
          <w:rFonts w:hint="eastAsia" w:ascii="宋体" w:hAnsi="宋体"/>
          <w:snapToGrid w:val="0"/>
          <w:kern w:val="0"/>
          <w:sz w:val="24"/>
          <w:szCs w:val="21"/>
        </w:rPr>
      </w:pPr>
      <w:r>
        <w:rPr>
          <w:rFonts w:ascii="宋体" w:hAnsi="宋体"/>
          <w:snapToGrid w:val="0"/>
          <w:kern w:val="0"/>
          <w:sz w:val="24"/>
          <w:szCs w:val="21"/>
        </w:rPr>
        <w:t>十一</w:t>
      </w:r>
      <w:r>
        <w:rPr>
          <w:rFonts w:hint="eastAsia" w:ascii="宋体" w:hAnsi="宋体"/>
          <w:snapToGrid w:val="0"/>
          <w:kern w:val="0"/>
          <w:sz w:val="24"/>
          <w:szCs w:val="21"/>
        </w:rPr>
        <w:t>、比价方式：本次比价采取经评审</w:t>
      </w:r>
      <w:r>
        <w:rPr>
          <w:rFonts w:hint="eastAsia" w:ascii="宋体" w:hAnsi="宋体"/>
          <w:snapToGrid w:val="0"/>
          <w:kern w:val="0"/>
          <w:sz w:val="24"/>
          <w:szCs w:val="21"/>
          <w:lang w:eastAsia="zh-CN"/>
        </w:rPr>
        <w:t>的</w:t>
      </w:r>
      <w:r>
        <w:rPr>
          <w:rFonts w:hint="eastAsia" w:ascii="宋体" w:hAnsi="宋体"/>
          <w:snapToGrid w:val="0"/>
          <w:kern w:val="0"/>
          <w:sz w:val="24"/>
          <w:szCs w:val="21"/>
          <w:lang w:val="en-US" w:eastAsia="zh-CN"/>
        </w:rPr>
        <w:t>最低价法</w:t>
      </w:r>
      <w:r>
        <w:rPr>
          <w:rFonts w:hint="eastAsia" w:ascii="宋体" w:hAnsi="宋体"/>
          <w:snapToGrid w:val="0"/>
          <w:kern w:val="0"/>
          <w:sz w:val="24"/>
          <w:szCs w:val="21"/>
        </w:rPr>
        <w:t>。</w:t>
      </w:r>
    </w:p>
    <w:p w14:paraId="4589FA19">
      <w:pPr>
        <w:spacing w:line="440" w:lineRule="exact"/>
        <w:jc w:val="left"/>
        <w:rPr>
          <w:rFonts w:hint="eastAsia" w:ascii="宋体" w:hAnsi="宋体"/>
          <w:snapToGrid w:val="0"/>
          <w:kern w:val="0"/>
          <w:sz w:val="24"/>
          <w:szCs w:val="21"/>
        </w:rPr>
      </w:pPr>
      <w:r>
        <w:rPr>
          <w:rFonts w:hint="eastAsia" w:ascii="宋体" w:hAnsi="宋体"/>
          <w:snapToGrid w:val="0"/>
          <w:kern w:val="0"/>
          <w:sz w:val="24"/>
          <w:szCs w:val="21"/>
        </w:rPr>
        <w:t>（1）对报价不高于最高限价（若有）的所有报价人的报价文件，按照报价由低到高的顺序排序。</w:t>
      </w:r>
    </w:p>
    <w:p w14:paraId="696AF488">
      <w:pPr>
        <w:spacing w:line="440" w:lineRule="exact"/>
        <w:jc w:val="left"/>
        <w:rPr>
          <w:rFonts w:hint="eastAsia" w:ascii="宋体" w:hAnsi="宋体"/>
          <w:snapToGrid w:val="0"/>
          <w:kern w:val="0"/>
          <w:sz w:val="24"/>
          <w:szCs w:val="21"/>
        </w:rPr>
      </w:pPr>
      <w:r>
        <w:rPr>
          <w:rFonts w:hint="eastAsia" w:ascii="宋体" w:hAnsi="宋体"/>
          <w:snapToGrid w:val="0"/>
          <w:kern w:val="0"/>
          <w:sz w:val="24"/>
          <w:szCs w:val="21"/>
        </w:rPr>
        <w:t>（2）符合性审查合格的报价人中，报价最低的成为第一成交候选人，报价次低的成为第二成交候选人，依次类推。</w:t>
      </w:r>
      <w:r>
        <w:rPr>
          <w:rFonts w:hint="eastAsia" w:ascii="宋体" w:hAnsi="宋体" w:cs="宋体"/>
          <w:sz w:val="24"/>
        </w:rPr>
        <w:t>若成交</w:t>
      </w:r>
      <w:r>
        <w:rPr>
          <w:rFonts w:ascii="宋体" w:hAnsi="宋体" w:cs="宋体"/>
          <w:sz w:val="24"/>
        </w:rPr>
        <w:t>单位放弃，采购人有权从其它报价单位按照最低报价原则重新选择或重新询价。</w:t>
      </w:r>
    </w:p>
    <w:p w14:paraId="1D2718AA">
      <w:pPr>
        <w:spacing w:line="440" w:lineRule="exact"/>
        <w:jc w:val="left"/>
        <w:rPr>
          <w:rFonts w:ascii="宋体" w:hAnsi="宋体"/>
          <w:snapToGrid w:val="0"/>
          <w:kern w:val="0"/>
          <w:sz w:val="24"/>
          <w:szCs w:val="21"/>
        </w:rPr>
      </w:pPr>
      <w:r>
        <w:rPr>
          <w:rFonts w:hint="eastAsia" w:ascii="宋体" w:hAnsi="宋体"/>
          <w:snapToGrid w:val="0"/>
          <w:kern w:val="0"/>
          <w:sz w:val="24"/>
          <w:szCs w:val="21"/>
        </w:rPr>
        <w:t>（3）因谈判小组作否决处理，导致有效供应商不足三个的，谈判小组应当否决所有谈判文件。</w:t>
      </w:r>
    </w:p>
    <w:p w14:paraId="23C6E7E8">
      <w:pPr>
        <w:spacing w:line="440" w:lineRule="exact"/>
        <w:ind w:firstLine="480" w:firstLineChars="200"/>
        <w:jc w:val="left"/>
        <w:rPr>
          <w:rFonts w:hint="eastAsia" w:ascii="宋体" w:hAnsi="宋体" w:cs="宋体"/>
          <w:sz w:val="24"/>
          <w:szCs w:val="21"/>
        </w:rPr>
      </w:pPr>
    </w:p>
    <w:p w14:paraId="72DDEBC2">
      <w:pPr>
        <w:spacing w:line="440" w:lineRule="exact"/>
        <w:jc w:val="right"/>
        <w:rPr>
          <w:rFonts w:hint="eastAsia" w:ascii="宋体" w:hAnsi="宋体"/>
          <w:color w:val="0000FF"/>
          <w:kern w:val="0"/>
          <w:sz w:val="24"/>
          <w:szCs w:val="21"/>
        </w:rPr>
      </w:pPr>
      <w:r>
        <w:rPr>
          <w:rFonts w:hint="eastAsia" w:ascii="宋体" w:hAnsi="宋体"/>
          <w:color w:val="0000FF"/>
          <w:kern w:val="0"/>
          <w:sz w:val="24"/>
          <w:szCs w:val="21"/>
        </w:rPr>
        <w:t xml:space="preserve">  </w:t>
      </w:r>
    </w:p>
    <w:p w14:paraId="710885D9">
      <w:pPr>
        <w:spacing w:line="440" w:lineRule="exact"/>
        <w:jc w:val="right"/>
        <w:rPr>
          <w:rFonts w:hint="eastAsia" w:ascii="宋体" w:hAnsi="宋体" w:cs="宋体"/>
          <w:sz w:val="24"/>
          <w:szCs w:val="21"/>
        </w:rPr>
      </w:pPr>
      <w:r>
        <w:rPr>
          <w:rFonts w:hint="eastAsia" w:ascii="宋体" w:hAnsi="宋体" w:cs="宋体"/>
          <w:sz w:val="24"/>
          <w:szCs w:val="21"/>
        </w:rPr>
        <w:t>重庆国际复合材料股份有限公司</w:t>
      </w:r>
    </w:p>
    <w:p w14:paraId="49473A57">
      <w:pPr>
        <w:wordWrap w:val="0"/>
        <w:spacing w:line="440" w:lineRule="exact"/>
        <w:jc w:val="right"/>
        <w:rPr>
          <w:rFonts w:ascii="宋体" w:hAnsi="宋体" w:cs="宋体"/>
          <w:sz w:val="24"/>
          <w:szCs w:val="21"/>
        </w:rPr>
      </w:pPr>
      <w:r>
        <w:rPr>
          <w:rFonts w:hint="eastAsia" w:ascii="宋体" w:hAnsi="宋体" w:cs="宋体"/>
          <w:sz w:val="24"/>
          <w:szCs w:val="21"/>
        </w:rPr>
        <w:t>2</w:t>
      </w:r>
      <w:r>
        <w:rPr>
          <w:rFonts w:ascii="宋体" w:hAnsi="宋体" w:cs="宋体"/>
          <w:sz w:val="24"/>
          <w:szCs w:val="21"/>
        </w:rPr>
        <w:t>026</w:t>
      </w:r>
      <w:r>
        <w:rPr>
          <w:rFonts w:hint="eastAsia" w:ascii="宋体" w:hAnsi="宋体" w:cs="宋体"/>
          <w:sz w:val="24"/>
          <w:szCs w:val="21"/>
        </w:rPr>
        <w:t xml:space="preserve">年  </w:t>
      </w:r>
      <w:r>
        <w:rPr>
          <w:rFonts w:ascii="宋体" w:hAnsi="宋体" w:cs="宋体"/>
          <w:sz w:val="24"/>
          <w:szCs w:val="21"/>
        </w:rPr>
        <w:t>4</w:t>
      </w:r>
      <w:r>
        <w:rPr>
          <w:rFonts w:hint="eastAsia" w:ascii="宋体" w:hAnsi="宋体" w:cs="宋体"/>
          <w:sz w:val="24"/>
          <w:szCs w:val="21"/>
        </w:rPr>
        <w:t xml:space="preserve"> 月  </w:t>
      </w:r>
      <w:r>
        <w:rPr>
          <w:rFonts w:ascii="宋体" w:hAnsi="宋体" w:cs="宋体"/>
          <w:sz w:val="24"/>
          <w:szCs w:val="21"/>
        </w:rPr>
        <w:t>30</w:t>
      </w:r>
      <w:r>
        <w:rPr>
          <w:rFonts w:hint="eastAsia" w:ascii="宋体" w:hAnsi="宋体" w:cs="宋体"/>
          <w:sz w:val="24"/>
          <w:szCs w:val="21"/>
        </w:rPr>
        <w:t xml:space="preserve"> 日</w:t>
      </w:r>
    </w:p>
    <w:p w14:paraId="7500FA1B">
      <w:pPr>
        <w:rPr>
          <w:rFonts w:ascii="宋体" w:hAnsi="宋体"/>
          <w:sz w:val="24"/>
        </w:rPr>
        <w:sectPr>
          <w:pgSz w:w="11906" w:h="16838"/>
          <w:pgMar w:top="1440" w:right="1800" w:bottom="1440" w:left="1800" w:header="851" w:footer="992" w:gutter="0"/>
          <w:cols w:space="720" w:num="1"/>
          <w:docGrid w:type="lines" w:linePitch="312" w:charSpace="0"/>
        </w:sectPr>
      </w:pPr>
    </w:p>
    <w:bookmarkEnd w:id="5"/>
    <w:p w14:paraId="3BB2D2EE">
      <w:pPr>
        <w:spacing w:before="180" w:beforeLines="75" w:after="240"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2B1FF23B">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询比采购，以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21400223">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41A4E961">
      <w:pPr>
        <w:spacing w:line="480" w:lineRule="auto"/>
        <w:rPr>
          <w:rFonts w:ascii="宋体" w:hAnsi="宋体"/>
          <w:color w:val="000000"/>
          <w:sz w:val="24"/>
        </w:rPr>
      </w:pPr>
    </w:p>
    <w:p w14:paraId="6126A91F">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165E9EE2">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08906A71">
      <w:pPr>
        <w:rPr>
          <w:rFonts w:ascii="宋体" w:hAnsi="宋体"/>
          <w:color w:val="000000"/>
        </w:rPr>
      </w:pPr>
    </w:p>
    <w:p w14:paraId="6AF49F70">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5B1B3D1C">
      <w:pPr>
        <w:spacing w:line="360" w:lineRule="auto"/>
        <w:rPr>
          <w:rFonts w:hint="eastAsia" w:ascii="宋体" w:hAnsi="宋体"/>
          <w:color w:val="000000"/>
          <w:sz w:val="24"/>
        </w:rPr>
      </w:pPr>
    </w:p>
    <w:p w14:paraId="5C2D7BAC">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680E774">
      <w:pPr>
        <w:spacing w:line="360" w:lineRule="auto"/>
        <w:rPr>
          <w:rFonts w:hint="eastAsia" w:ascii="宋体" w:hAnsi="宋体"/>
          <w:sz w:val="24"/>
        </w:rPr>
        <w:sectPr>
          <w:headerReference r:id="rId3" w:type="default"/>
          <w:pgSz w:w="11907" w:h="16839"/>
          <w:pgMar w:top="1134" w:right="1134" w:bottom="1134" w:left="1134" w:header="567" w:footer="567" w:gutter="0"/>
          <w:cols w:space="720" w:num="1"/>
          <w:docGrid w:linePitch="312" w:charSpace="0"/>
        </w:sectPr>
      </w:pPr>
    </w:p>
    <w:p w14:paraId="14A78355">
      <w:pPr>
        <w:pStyle w:val="2"/>
        <w:rPr>
          <w:b w:val="0"/>
          <w:szCs w:val="22"/>
        </w:rPr>
      </w:pPr>
      <w:r>
        <w:rPr>
          <w:b w:val="0"/>
          <w:szCs w:val="22"/>
        </w:rPr>
        <w:t>附件1</w:t>
      </w:r>
    </w:p>
    <w:p w14:paraId="27D68692">
      <w:r>
        <w:drawing>
          <wp:inline distT="0" distB="0" distL="114300" distR="114300">
            <wp:extent cx="5274310" cy="3131820"/>
            <wp:effectExtent l="0" t="0" r="889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3131820"/>
                    </a:xfrm>
                    <a:prstGeom prst="rect">
                      <a:avLst/>
                    </a:prstGeom>
                    <a:noFill/>
                    <a:ln>
                      <a:noFill/>
                    </a:ln>
                  </pic:spPr>
                </pic:pic>
              </a:graphicData>
            </a:graphic>
          </wp:inline>
        </w:drawing>
      </w:r>
    </w:p>
    <w:p w14:paraId="0818D1B1">
      <w:pPr>
        <w:pStyle w:val="2"/>
      </w:pPr>
    </w:p>
    <w:p w14:paraId="131B4D80"/>
    <w:p w14:paraId="3448ED02">
      <w:pPr>
        <w:pStyle w:val="2"/>
      </w:pPr>
    </w:p>
    <w:p w14:paraId="461CA119"/>
    <w:p w14:paraId="7BFA5A33">
      <w:pPr>
        <w:pStyle w:val="2"/>
      </w:pPr>
      <w:r>
        <w:drawing>
          <wp:inline distT="0" distB="0" distL="114300" distR="114300">
            <wp:extent cx="5273040" cy="3246755"/>
            <wp:effectExtent l="0" t="0" r="10160" b="444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273040" cy="3246755"/>
                    </a:xfrm>
                    <a:prstGeom prst="rect">
                      <a:avLst/>
                    </a:prstGeom>
                    <a:noFill/>
                    <a:ln>
                      <a:noFill/>
                    </a:ln>
                  </pic:spPr>
                </pic:pic>
              </a:graphicData>
            </a:graphic>
          </wp:inline>
        </w:drawing>
      </w:r>
    </w:p>
    <w:p w14:paraId="467B54F4">
      <w:r>
        <w:drawing>
          <wp:inline distT="0" distB="0" distL="114300" distR="114300">
            <wp:extent cx="5273040" cy="3045460"/>
            <wp:effectExtent l="0" t="0" r="10160" b="25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273040" cy="3045460"/>
                    </a:xfrm>
                    <a:prstGeom prst="rect">
                      <a:avLst/>
                    </a:prstGeom>
                    <a:noFill/>
                    <a:ln>
                      <a:noFill/>
                    </a:ln>
                  </pic:spPr>
                </pic:pic>
              </a:graphicData>
            </a:graphic>
          </wp:inline>
        </w:drawing>
      </w:r>
    </w:p>
    <w:p w14:paraId="1E29E8EC">
      <w:pPr>
        <w:pStyle w:val="2"/>
      </w:pPr>
    </w:p>
    <w:p w14:paraId="711C9C94"/>
    <w:p w14:paraId="1F51E192">
      <w:pPr>
        <w:pStyle w:val="2"/>
      </w:pPr>
    </w:p>
    <w:p w14:paraId="0D0C2CC0"/>
    <w:p w14:paraId="55A498B2">
      <w:pPr>
        <w:pStyle w:val="9"/>
        <w:widowControl/>
        <w:shd w:val="clear" w:color="auto" w:fill="FFFFFF"/>
        <w:spacing w:line="360" w:lineRule="auto"/>
        <w:rPr>
          <w:rFonts w:hint="default" w:cs="宋体"/>
          <w:b/>
          <w:bCs/>
          <w:sz w:val="21"/>
          <w:szCs w:val="21"/>
        </w:rPr>
      </w:pPr>
      <w:r>
        <w:t>附件</w:t>
      </w:r>
      <w:r>
        <w:rPr>
          <w:rFonts w:hint="default"/>
        </w:rPr>
        <w:t>2</w:t>
      </w:r>
      <w:r>
        <w:t xml:space="preserve">            </w:t>
      </w:r>
      <w:r>
        <w:rPr>
          <w:rFonts w:hint="default"/>
        </w:rPr>
        <w:t xml:space="preserve">          </w:t>
      </w:r>
      <w:r>
        <w:rPr>
          <w:rFonts w:hint="default" w:cs="宋体"/>
          <w:b/>
          <w:bCs/>
          <w:sz w:val="28"/>
          <w:szCs w:val="28"/>
        </w:rPr>
        <w:t>施工安全</w:t>
      </w:r>
      <w:r>
        <w:rPr>
          <w:rFonts w:cs="宋体"/>
          <w:b/>
          <w:bCs/>
          <w:sz w:val="28"/>
          <w:szCs w:val="28"/>
        </w:rPr>
        <w:t>技术要求</w:t>
      </w:r>
    </w:p>
    <w:p w14:paraId="7FDEEA45">
      <w:pPr>
        <w:pStyle w:val="9"/>
        <w:widowControl/>
        <w:shd w:val="clear" w:color="auto" w:fill="FFFFFF"/>
        <w:spacing w:line="360" w:lineRule="auto"/>
        <w:rPr>
          <w:rFonts w:hint="default" w:cs="宋体"/>
          <w:b/>
          <w:bCs/>
          <w:sz w:val="21"/>
          <w:szCs w:val="21"/>
        </w:rPr>
      </w:pPr>
      <w:r>
        <w:rPr>
          <w:rFonts w:cs="宋体"/>
          <w:b/>
          <w:bCs/>
          <w:sz w:val="21"/>
          <w:szCs w:val="21"/>
        </w:rPr>
        <w:t>1、检修前准备工作</w:t>
      </w:r>
    </w:p>
    <w:p w14:paraId="0C736029">
      <w:pPr>
        <w:spacing w:line="360" w:lineRule="auto"/>
        <w:rPr>
          <w:rFonts w:ascii="宋体" w:hAnsi="宋体" w:cs="宋体"/>
          <w:szCs w:val="21"/>
        </w:rPr>
      </w:pPr>
      <w:r>
        <w:rPr>
          <w:rFonts w:ascii="宋体" w:hAnsi="宋体" w:cs="宋体"/>
          <w:szCs w:val="21"/>
        </w:rPr>
        <w:t>1</w:t>
      </w:r>
      <w:r>
        <w:rPr>
          <w:rFonts w:hint="eastAsia" w:ascii="宋体" w:hAnsi="宋体" w:cs="宋体"/>
          <w:szCs w:val="21"/>
        </w:rPr>
        <w:t>.1.1熟悉施工方案及相关检修规程和标准。</w:t>
      </w:r>
    </w:p>
    <w:p w14:paraId="7500AB6B">
      <w:pPr>
        <w:spacing w:line="360" w:lineRule="auto"/>
        <w:rPr>
          <w:rFonts w:ascii="宋体" w:hAnsi="宋体" w:cs="宋体"/>
          <w:szCs w:val="21"/>
        </w:rPr>
      </w:pPr>
      <w:r>
        <w:rPr>
          <w:rFonts w:ascii="宋体" w:hAnsi="宋体" w:cs="宋体"/>
          <w:szCs w:val="21"/>
        </w:rPr>
        <w:t>1</w:t>
      </w:r>
      <w:r>
        <w:rPr>
          <w:rFonts w:hint="eastAsia" w:ascii="宋体" w:hAnsi="宋体" w:cs="宋体"/>
          <w:szCs w:val="21"/>
        </w:rPr>
        <w:t>.1.2熟悉现场。</w:t>
      </w:r>
    </w:p>
    <w:p w14:paraId="77DB8447">
      <w:pPr>
        <w:spacing w:line="360" w:lineRule="auto"/>
        <w:rPr>
          <w:rFonts w:ascii="宋体" w:hAnsi="宋体" w:cs="宋体"/>
          <w:szCs w:val="21"/>
        </w:rPr>
      </w:pPr>
      <w:r>
        <w:rPr>
          <w:rFonts w:ascii="宋体" w:hAnsi="宋体" w:cs="宋体"/>
          <w:szCs w:val="21"/>
        </w:rPr>
        <w:t>1</w:t>
      </w:r>
      <w:r>
        <w:rPr>
          <w:rFonts w:hint="eastAsia" w:ascii="宋体" w:hAnsi="宋体" w:cs="宋体"/>
          <w:szCs w:val="21"/>
        </w:rPr>
        <w:t>.1.3办理好相关安全许可证。</w:t>
      </w:r>
    </w:p>
    <w:p w14:paraId="773A583F">
      <w:pPr>
        <w:spacing w:line="360" w:lineRule="auto"/>
        <w:rPr>
          <w:rFonts w:ascii="宋体" w:hAnsi="宋体" w:cs="宋体"/>
          <w:szCs w:val="21"/>
        </w:rPr>
      </w:pPr>
      <w:r>
        <w:rPr>
          <w:rFonts w:ascii="宋体" w:hAnsi="宋体" w:cs="宋体"/>
          <w:szCs w:val="21"/>
        </w:rPr>
        <w:t>1</w:t>
      </w:r>
      <w:r>
        <w:rPr>
          <w:rFonts w:hint="eastAsia" w:ascii="宋体" w:hAnsi="宋体" w:cs="宋体"/>
          <w:szCs w:val="21"/>
        </w:rPr>
        <w:t>.1.4检修施工区域做好防护工作。</w:t>
      </w:r>
    </w:p>
    <w:p w14:paraId="40811245">
      <w:pPr>
        <w:spacing w:line="360" w:lineRule="auto"/>
        <w:ind w:left="315" w:hanging="315" w:hangingChars="150"/>
        <w:rPr>
          <w:rFonts w:ascii="宋体" w:hAnsi="宋体" w:cs="宋体"/>
          <w:szCs w:val="21"/>
        </w:rPr>
      </w:pPr>
      <w:r>
        <w:rPr>
          <w:rFonts w:ascii="宋体" w:hAnsi="宋体" w:cs="宋体"/>
          <w:szCs w:val="21"/>
        </w:rPr>
        <w:t>1</w:t>
      </w:r>
      <w:r>
        <w:rPr>
          <w:rFonts w:hint="eastAsia" w:ascii="宋体" w:hAnsi="宋体" w:cs="宋体"/>
          <w:szCs w:val="21"/>
        </w:rPr>
        <w:t>.1.5现场配备相应的消防器材。</w:t>
      </w:r>
    </w:p>
    <w:p w14:paraId="26C0840F">
      <w:pPr>
        <w:spacing w:line="360" w:lineRule="auto"/>
        <w:ind w:left="315" w:hanging="315" w:hangingChars="150"/>
        <w:rPr>
          <w:rFonts w:ascii="宋体" w:hAnsi="宋体" w:cs="宋体"/>
          <w:szCs w:val="21"/>
        </w:rPr>
      </w:pPr>
      <w:r>
        <w:rPr>
          <w:rFonts w:ascii="宋体" w:hAnsi="宋体" w:cs="宋体"/>
          <w:szCs w:val="21"/>
        </w:rPr>
        <w:t>1</w:t>
      </w:r>
      <w:r>
        <w:rPr>
          <w:rFonts w:hint="eastAsia" w:ascii="宋体" w:hAnsi="宋体" w:cs="宋体"/>
          <w:szCs w:val="21"/>
        </w:rPr>
        <w:t>.1.6作业前需由各生产中心车间人员落实停电、票据、作业安全确认，并与相关生产车间沟通落实后方能进行作业。</w:t>
      </w:r>
    </w:p>
    <w:p w14:paraId="573C599D">
      <w:pPr>
        <w:spacing w:line="360" w:lineRule="auto"/>
        <w:ind w:left="316" w:hanging="316" w:hangingChars="150"/>
        <w:rPr>
          <w:rFonts w:ascii="宋体" w:hAnsi="宋体" w:cs="宋体"/>
          <w:b/>
          <w:bCs/>
          <w:szCs w:val="21"/>
        </w:rPr>
      </w:pPr>
      <w:r>
        <w:rPr>
          <w:rFonts w:hint="eastAsia" w:ascii="宋体" w:hAnsi="宋体" w:cs="宋体"/>
          <w:b/>
          <w:bCs/>
          <w:szCs w:val="21"/>
        </w:rPr>
        <w:t>2、检修服务要求及步骤</w:t>
      </w:r>
    </w:p>
    <w:p w14:paraId="49A93922">
      <w:pPr>
        <w:spacing w:line="360" w:lineRule="auto"/>
        <w:rPr>
          <w:rFonts w:ascii="宋体" w:hAnsi="宋体" w:cs="宋体"/>
          <w:szCs w:val="21"/>
        </w:rPr>
      </w:pPr>
      <w:r>
        <w:rPr>
          <w:rFonts w:ascii="宋体" w:hAnsi="宋体" w:cs="宋体"/>
          <w:szCs w:val="21"/>
        </w:rPr>
        <w:t>2</w:t>
      </w:r>
      <w:r>
        <w:rPr>
          <w:rFonts w:hint="eastAsia" w:ascii="宋体" w:hAnsi="宋体" w:cs="宋体"/>
          <w:szCs w:val="21"/>
        </w:rPr>
        <w:t>.2.1确认安装位置及相关参数；</w:t>
      </w:r>
    </w:p>
    <w:p w14:paraId="0685B882">
      <w:pPr>
        <w:spacing w:line="360" w:lineRule="auto"/>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2</w:t>
      </w:r>
      <w:r>
        <w:rPr>
          <w:rFonts w:hint="eastAsia" w:ascii="宋体" w:hAnsi="宋体" w:cs="宋体"/>
          <w:szCs w:val="21"/>
        </w:rPr>
        <w:t>复核数据，预制，现场安装。</w:t>
      </w:r>
    </w:p>
    <w:p w14:paraId="3B54E0A8">
      <w:pPr>
        <w:pStyle w:val="11"/>
        <w:spacing w:line="360" w:lineRule="auto"/>
        <w:ind w:left="0" w:leftChars="0" w:firstLine="0" w:firstLineChars="0"/>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3</w:t>
      </w:r>
      <w:r>
        <w:rPr>
          <w:rFonts w:hint="eastAsia" w:ascii="宋体" w:hAnsi="宋体" w:cs="宋体"/>
          <w:szCs w:val="21"/>
        </w:rPr>
        <w:t>做好密封、检查。</w:t>
      </w:r>
    </w:p>
    <w:p w14:paraId="51330CC5">
      <w:pPr>
        <w:pStyle w:val="11"/>
        <w:spacing w:line="360" w:lineRule="auto"/>
        <w:ind w:left="0" w:leftChars="0" w:firstLine="0" w:firstLineChars="0"/>
        <w:rPr>
          <w:rFonts w:ascii="宋体" w:hAnsi="宋体" w:cs="宋体"/>
          <w:szCs w:val="21"/>
        </w:rPr>
      </w:pPr>
      <w:r>
        <w:rPr>
          <w:rFonts w:hint="eastAsia" w:ascii="宋体" w:hAnsi="宋体" w:cs="宋体"/>
          <w:szCs w:val="21"/>
        </w:rPr>
        <w:t>2</w:t>
      </w:r>
      <w:r>
        <w:rPr>
          <w:rFonts w:ascii="宋体" w:hAnsi="宋体" w:cs="宋体"/>
          <w:szCs w:val="21"/>
        </w:rPr>
        <w:t>.2.4调试、</w:t>
      </w:r>
      <w:r>
        <w:rPr>
          <w:rFonts w:hint="eastAsia" w:ascii="宋体" w:hAnsi="宋体" w:cs="宋体"/>
          <w:szCs w:val="21"/>
        </w:rPr>
        <w:t>送电测试，测试各电气参数，做好记录，</w:t>
      </w:r>
      <w:r>
        <w:rPr>
          <w:rFonts w:hint="eastAsia" w:ascii="宋体" w:hAnsi="宋体" w:cs="宋体"/>
          <w:b/>
          <w:bCs/>
          <w:szCs w:val="21"/>
        </w:rPr>
        <w:t>有调试记录表</w:t>
      </w:r>
      <w:r>
        <w:rPr>
          <w:rFonts w:hint="eastAsia" w:ascii="宋体" w:hAnsi="宋体" w:cs="宋体"/>
          <w:szCs w:val="21"/>
        </w:rPr>
        <w:t>。</w:t>
      </w:r>
    </w:p>
    <w:p w14:paraId="102A4875">
      <w:pPr>
        <w:pStyle w:val="10"/>
        <w:widowControl/>
        <w:spacing w:beforeAutospacing="0" w:afterAutospacing="0" w:line="360" w:lineRule="auto"/>
        <w:rPr>
          <w:rFonts w:ascii="宋体" w:hAnsi="宋体" w:cs="宋体"/>
          <w:b/>
          <w:bCs/>
          <w:sz w:val="21"/>
          <w:szCs w:val="21"/>
        </w:rPr>
      </w:pPr>
      <w:r>
        <w:rPr>
          <w:rFonts w:ascii="宋体" w:hAnsi="宋体" w:cs="宋体"/>
          <w:b/>
          <w:bCs/>
          <w:sz w:val="21"/>
          <w:szCs w:val="21"/>
        </w:rPr>
        <w:t>3</w:t>
      </w:r>
      <w:r>
        <w:rPr>
          <w:rFonts w:hint="eastAsia" w:ascii="宋体" w:hAnsi="宋体" w:cs="宋体"/>
          <w:b/>
          <w:bCs/>
          <w:sz w:val="21"/>
          <w:szCs w:val="21"/>
        </w:rPr>
        <w:t>、验收</w:t>
      </w:r>
    </w:p>
    <w:p w14:paraId="36FD3408">
      <w:pPr>
        <w:pStyle w:val="10"/>
        <w:widowControl/>
        <w:spacing w:beforeAutospacing="0" w:afterAutospacing="0" w:line="360" w:lineRule="auto"/>
        <w:rPr>
          <w:rFonts w:ascii="宋体" w:hAnsi="宋体" w:cs="宋体"/>
          <w:sz w:val="21"/>
          <w:szCs w:val="21"/>
        </w:rPr>
      </w:pPr>
      <w:r>
        <w:rPr>
          <w:rFonts w:hint="eastAsia" w:ascii="宋体" w:hAnsi="宋体" w:cs="宋体"/>
          <w:sz w:val="21"/>
          <w:szCs w:val="21"/>
          <w:shd w:val="clear" w:color="auto" w:fill="FFFFFF"/>
        </w:rPr>
        <w:t>施工单位组织</w:t>
      </w:r>
      <w:r>
        <w:rPr>
          <w:rFonts w:hint="eastAsia" w:ascii="宋体" w:hAnsi="宋体" w:cs="宋体"/>
          <w:sz w:val="21"/>
          <w:szCs w:val="21"/>
        </w:rPr>
        <w:t>工装中心、现场代表参与验收。</w:t>
      </w:r>
    </w:p>
    <w:p w14:paraId="217E7245">
      <w:pPr>
        <w:numPr>
          <w:ilvl w:val="0"/>
          <w:numId w:val="6"/>
        </w:numPr>
        <w:spacing w:line="360" w:lineRule="auto"/>
        <w:rPr>
          <w:rStyle w:val="14"/>
          <w:rFonts w:ascii="宋体" w:hAnsi="宋体" w:cs="宋体"/>
          <w:bCs/>
          <w:szCs w:val="21"/>
          <w:shd w:val="clear" w:color="auto" w:fill="FFFFFF"/>
        </w:rPr>
      </w:pPr>
      <w:r>
        <w:rPr>
          <w:rStyle w:val="14"/>
          <w:rFonts w:hint="eastAsia" w:ascii="宋体" w:hAnsi="宋体" w:cs="宋体"/>
          <w:bCs/>
          <w:szCs w:val="21"/>
          <w:shd w:val="clear" w:color="auto" w:fill="FFFFFF"/>
        </w:rPr>
        <w:t>风险控制</w:t>
      </w:r>
    </w:p>
    <w:p w14:paraId="45E11A21">
      <w:pPr>
        <w:pStyle w:val="11"/>
        <w:spacing w:line="360" w:lineRule="auto"/>
        <w:rPr>
          <w:rFonts w:ascii="宋体" w:hAnsi="宋体" w:cs="宋体"/>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89"/>
        <w:gridCol w:w="1805"/>
        <w:gridCol w:w="4705"/>
      </w:tblGrid>
      <w:tr w14:paraId="0072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6" w:hRule="atLeast"/>
          <w:tblHeader/>
          <w:jc w:val="center"/>
        </w:trPr>
        <w:tc>
          <w:tcPr>
            <w:tcW w:w="1589" w:type="dxa"/>
            <w:noWrap w:val="0"/>
            <w:tcMar>
              <w:top w:w="120" w:type="dxa"/>
              <w:left w:w="0" w:type="dxa"/>
              <w:bottom w:w="120" w:type="dxa"/>
              <w:right w:w="120" w:type="dxa"/>
            </w:tcMar>
            <w:vAlign w:val="center"/>
          </w:tcPr>
          <w:p w14:paraId="0C6F99BB">
            <w:pPr>
              <w:widowControl/>
              <w:spacing w:line="360" w:lineRule="auto"/>
              <w:jc w:val="center"/>
              <w:rPr>
                <w:rFonts w:ascii="宋体" w:hAnsi="宋体" w:cs="宋体"/>
                <w:b/>
                <w:bCs/>
                <w:szCs w:val="21"/>
              </w:rPr>
            </w:pPr>
            <w:r>
              <w:rPr>
                <w:rStyle w:val="14"/>
                <w:rFonts w:hint="eastAsia" w:ascii="宋体" w:hAnsi="宋体" w:cs="宋体"/>
                <w:b w:val="0"/>
                <w:bCs/>
                <w:kern w:val="0"/>
                <w:szCs w:val="21"/>
                <w:lang w:bidi="ar"/>
              </w:rPr>
              <w:t>风险点</w:t>
            </w:r>
          </w:p>
        </w:tc>
        <w:tc>
          <w:tcPr>
            <w:tcW w:w="1805" w:type="dxa"/>
            <w:noWrap w:val="0"/>
            <w:tcMar>
              <w:top w:w="120" w:type="dxa"/>
              <w:left w:w="120" w:type="dxa"/>
              <w:bottom w:w="120" w:type="dxa"/>
              <w:right w:w="120" w:type="dxa"/>
            </w:tcMar>
            <w:vAlign w:val="center"/>
          </w:tcPr>
          <w:p w14:paraId="36E9DB8A">
            <w:pPr>
              <w:widowControl/>
              <w:spacing w:line="360" w:lineRule="auto"/>
              <w:jc w:val="center"/>
              <w:rPr>
                <w:rFonts w:ascii="宋体" w:hAnsi="宋体" w:cs="宋体"/>
                <w:b/>
                <w:bCs/>
                <w:szCs w:val="21"/>
              </w:rPr>
            </w:pPr>
            <w:r>
              <w:rPr>
                <w:rStyle w:val="14"/>
                <w:rFonts w:hint="eastAsia" w:ascii="宋体" w:hAnsi="宋体" w:cs="宋体"/>
                <w:b w:val="0"/>
                <w:bCs/>
                <w:kern w:val="0"/>
                <w:szCs w:val="21"/>
                <w:lang w:bidi="ar"/>
              </w:rPr>
              <w:t>后果</w:t>
            </w:r>
          </w:p>
        </w:tc>
        <w:tc>
          <w:tcPr>
            <w:tcW w:w="4705" w:type="dxa"/>
            <w:noWrap w:val="0"/>
            <w:tcMar>
              <w:top w:w="120" w:type="dxa"/>
              <w:left w:w="120" w:type="dxa"/>
              <w:bottom w:w="120" w:type="dxa"/>
              <w:right w:w="120" w:type="dxa"/>
            </w:tcMar>
            <w:vAlign w:val="center"/>
          </w:tcPr>
          <w:p w14:paraId="55E4EE78">
            <w:pPr>
              <w:widowControl/>
              <w:spacing w:line="360" w:lineRule="auto"/>
              <w:jc w:val="center"/>
              <w:rPr>
                <w:rFonts w:ascii="宋体" w:hAnsi="宋体" w:cs="宋体"/>
                <w:b/>
                <w:bCs/>
                <w:szCs w:val="21"/>
              </w:rPr>
            </w:pPr>
            <w:r>
              <w:rPr>
                <w:rStyle w:val="14"/>
                <w:rFonts w:hint="eastAsia" w:ascii="宋体" w:hAnsi="宋体" w:cs="宋体"/>
                <w:b w:val="0"/>
                <w:bCs/>
                <w:kern w:val="0"/>
                <w:szCs w:val="21"/>
                <w:lang w:bidi="ar"/>
              </w:rPr>
              <w:t>应对措施</w:t>
            </w:r>
          </w:p>
        </w:tc>
      </w:tr>
      <w:tr w14:paraId="5406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7" w:hRule="atLeast"/>
          <w:jc w:val="center"/>
        </w:trPr>
        <w:tc>
          <w:tcPr>
            <w:tcW w:w="1589" w:type="dxa"/>
            <w:noWrap w:val="0"/>
            <w:tcMar>
              <w:top w:w="120" w:type="dxa"/>
              <w:left w:w="0" w:type="dxa"/>
              <w:bottom w:w="120" w:type="dxa"/>
              <w:right w:w="120" w:type="dxa"/>
            </w:tcMar>
            <w:vAlign w:val="center"/>
          </w:tcPr>
          <w:p w14:paraId="6A097325">
            <w:pPr>
              <w:widowControl/>
              <w:spacing w:line="360" w:lineRule="auto"/>
              <w:jc w:val="center"/>
              <w:rPr>
                <w:rFonts w:ascii="宋体" w:hAnsi="宋体" w:cs="宋体"/>
                <w:szCs w:val="21"/>
              </w:rPr>
            </w:pPr>
            <w:r>
              <w:rPr>
                <w:rStyle w:val="14"/>
                <w:rFonts w:hint="eastAsia" w:ascii="宋体" w:hAnsi="宋体" w:cs="宋体"/>
                <w:b w:val="0"/>
                <w:bCs/>
                <w:kern w:val="0"/>
                <w:szCs w:val="21"/>
                <w:lang w:bidi="ar"/>
              </w:rPr>
              <w:t>粉尘</w:t>
            </w:r>
          </w:p>
        </w:tc>
        <w:tc>
          <w:tcPr>
            <w:tcW w:w="1805" w:type="dxa"/>
            <w:noWrap w:val="0"/>
            <w:tcMar>
              <w:top w:w="120" w:type="dxa"/>
              <w:left w:w="120" w:type="dxa"/>
              <w:bottom w:w="120" w:type="dxa"/>
              <w:right w:w="120" w:type="dxa"/>
            </w:tcMar>
            <w:vAlign w:val="center"/>
          </w:tcPr>
          <w:p w14:paraId="69CBDD92">
            <w:pPr>
              <w:widowControl/>
              <w:spacing w:line="360" w:lineRule="auto"/>
              <w:jc w:val="center"/>
              <w:rPr>
                <w:rFonts w:ascii="宋体" w:hAnsi="宋体" w:cs="宋体"/>
                <w:szCs w:val="21"/>
              </w:rPr>
            </w:pPr>
            <w:r>
              <w:rPr>
                <w:rFonts w:hint="eastAsia" w:ascii="宋体" w:hAnsi="宋体" w:cs="宋体"/>
                <w:szCs w:val="21"/>
              </w:rPr>
              <w:t>损害呼吸道</w:t>
            </w:r>
          </w:p>
        </w:tc>
        <w:tc>
          <w:tcPr>
            <w:tcW w:w="4705" w:type="dxa"/>
            <w:noWrap w:val="0"/>
            <w:tcMar>
              <w:top w:w="120" w:type="dxa"/>
              <w:left w:w="120" w:type="dxa"/>
              <w:bottom w:w="120" w:type="dxa"/>
              <w:right w:w="120" w:type="dxa"/>
            </w:tcMar>
            <w:vAlign w:val="center"/>
          </w:tcPr>
          <w:p w14:paraId="0ABF83A0">
            <w:pPr>
              <w:widowControl/>
              <w:spacing w:line="360" w:lineRule="auto"/>
              <w:jc w:val="left"/>
              <w:rPr>
                <w:rFonts w:ascii="宋体" w:hAnsi="宋体" w:cs="宋体"/>
                <w:szCs w:val="21"/>
              </w:rPr>
            </w:pPr>
            <w:r>
              <w:rPr>
                <w:rFonts w:hint="eastAsia" w:ascii="宋体" w:hAnsi="宋体" w:cs="宋体"/>
                <w:kern w:val="0"/>
                <w:szCs w:val="21"/>
                <w:lang w:bidi="ar"/>
              </w:rPr>
              <w:t xml:space="preserve"> 佩戴口罩</w:t>
            </w:r>
          </w:p>
        </w:tc>
      </w:tr>
      <w:tr w14:paraId="113E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7" w:hRule="atLeast"/>
          <w:jc w:val="center"/>
        </w:trPr>
        <w:tc>
          <w:tcPr>
            <w:tcW w:w="1589" w:type="dxa"/>
            <w:noWrap w:val="0"/>
            <w:tcMar>
              <w:top w:w="120" w:type="dxa"/>
              <w:left w:w="0" w:type="dxa"/>
              <w:bottom w:w="120" w:type="dxa"/>
              <w:right w:w="120" w:type="dxa"/>
            </w:tcMar>
            <w:vAlign w:val="center"/>
          </w:tcPr>
          <w:p w14:paraId="11B882CE">
            <w:pPr>
              <w:widowControl/>
              <w:spacing w:line="360" w:lineRule="auto"/>
              <w:jc w:val="center"/>
              <w:rPr>
                <w:rStyle w:val="14"/>
                <w:rFonts w:ascii="宋体" w:hAnsi="宋体" w:cs="宋体"/>
                <w:b w:val="0"/>
                <w:bCs/>
                <w:kern w:val="0"/>
                <w:szCs w:val="21"/>
                <w:lang w:bidi="ar"/>
              </w:rPr>
            </w:pPr>
            <w:r>
              <w:rPr>
                <w:rStyle w:val="14"/>
                <w:rFonts w:hint="eastAsia" w:ascii="宋体" w:hAnsi="宋体" w:cs="宋体"/>
                <w:b w:val="0"/>
                <w:bCs/>
                <w:kern w:val="0"/>
                <w:szCs w:val="21"/>
                <w:lang w:bidi="ar"/>
              </w:rPr>
              <w:t>高空作业</w:t>
            </w:r>
          </w:p>
        </w:tc>
        <w:tc>
          <w:tcPr>
            <w:tcW w:w="1805" w:type="dxa"/>
            <w:noWrap w:val="0"/>
            <w:tcMar>
              <w:top w:w="120" w:type="dxa"/>
              <w:left w:w="120" w:type="dxa"/>
              <w:bottom w:w="120" w:type="dxa"/>
              <w:right w:w="120" w:type="dxa"/>
            </w:tcMar>
            <w:vAlign w:val="center"/>
          </w:tcPr>
          <w:p w14:paraId="51D740B5">
            <w:pPr>
              <w:widowControl/>
              <w:spacing w:line="360" w:lineRule="auto"/>
              <w:jc w:val="center"/>
              <w:rPr>
                <w:rFonts w:ascii="宋体" w:hAnsi="宋体" w:cs="宋体"/>
                <w:kern w:val="0"/>
                <w:szCs w:val="21"/>
                <w:lang w:bidi="ar"/>
              </w:rPr>
            </w:pPr>
            <w:r>
              <w:rPr>
                <w:rFonts w:hint="eastAsia" w:ascii="宋体" w:hAnsi="宋体" w:cs="宋体"/>
                <w:kern w:val="0"/>
                <w:szCs w:val="21"/>
                <w:lang w:bidi="ar"/>
              </w:rPr>
              <w:t>高处坠落</w:t>
            </w:r>
          </w:p>
        </w:tc>
        <w:tc>
          <w:tcPr>
            <w:tcW w:w="4705" w:type="dxa"/>
            <w:noWrap w:val="0"/>
            <w:tcMar>
              <w:top w:w="120" w:type="dxa"/>
              <w:left w:w="120" w:type="dxa"/>
              <w:bottom w:w="120" w:type="dxa"/>
              <w:right w:w="120" w:type="dxa"/>
            </w:tcMar>
            <w:vAlign w:val="center"/>
          </w:tcPr>
          <w:p w14:paraId="121C142E">
            <w:pPr>
              <w:widowControl/>
              <w:spacing w:line="360" w:lineRule="auto"/>
              <w:jc w:val="left"/>
              <w:rPr>
                <w:rFonts w:ascii="宋体" w:hAnsi="宋体" w:cs="宋体"/>
                <w:kern w:val="0"/>
                <w:szCs w:val="21"/>
                <w:lang w:bidi="ar"/>
              </w:rPr>
            </w:pPr>
            <w:r>
              <w:rPr>
                <w:rFonts w:hint="eastAsia" w:ascii="宋体" w:hAnsi="宋体" w:cs="宋体"/>
                <w:kern w:val="0"/>
                <w:szCs w:val="21"/>
                <w:lang w:bidi="ar"/>
              </w:rPr>
              <w:t>办理高处作业许可、作业人员持登高证、正确佩戴安全带、安全监护</w:t>
            </w:r>
          </w:p>
        </w:tc>
      </w:tr>
      <w:tr w14:paraId="6A02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9" w:hRule="atLeast"/>
          <w:jc w:val="center"/>
        </w:trPr>
        <w:tc>
          <w:tcPr>
            <w:tcW w:w="1589" w:type="dxa"/>
            <w:noWrap w:val="0"/>
            <w:tcMar>
              <w:top w:w="120" w:type="dxa"/>
              <w:left w:w="0" w:type="dxa"/>
              <w:bottom w:w="120" w:type="dxa"/>
              <w:right w:w="120" w:type="dxa"/>
            </w:tcMar>
            <w:vAlign w:val="center"/>
          </w:tcPr>
          <w:p w14:paraId="4977BDFE">
            <w:pPr>
              <w:widowControl/>
              <w:spacing w:line="360" w:lineRule="auto"/>
              <w:jc w:val="center"/>
              <w:rPr>
                <w:rStyle w:val="14"/>
                <w:rFonts w:ascii="宋体" w:hAnsi="宋体" w:cs="宋体"/>
                <w:b w:val="0"/>
                <w:bCs/>
                <w:kern w:val="0"/>
                <w:szCs w:val="21"/>
                <w:lang w:bidi="ar"/>
              </w:rPr>
            </w:pPr>
            <w:r>
              <w:rPr>
                <w:rStyle w:val="14"/>
                <w:rFonts w:hint="eastAsia" w:ascii="宋体" w:hAnsi="宋体" w:cs="宋体"/>
                <w:b w:val="0"/>
                <w:bCs/>
                <w:kern w:val="0"/>
                <w:szCs w:val="21"/>
                <w:lang w:bidi="ar"/>
              </w:rPr>
              <w:t>电动工具</w:t>
            </w:r>
          </w:p>
        </w:tc>
        <w:tc>
          <w:tcPr>
            <w:tcW w:w="1805" w:type="dxa"/>
            <w:noWrap w:val="0"/>
            <w:tcMar>
              <w:top w:w="120" w:type="dxa"/>
              <w:left w:w="120" w:type="dxa"/>
              <w:bottom w:w="120" w:type="dxa"/>
              <w:right w:w="120" w:type="dxa"/>
            </w:tcMar>
            <w:vAlign w:val="center"/>
          </w:tcPr>
          <w:p w14:paraId="6BF9D488">
            <w:pPr>
              <w:widowControl/>
              <w:spacing w:line="360" w:lineRule="auto"/>
              <w:jc w:val="center"/>
              <w:rPr>
                <w:rFonts w:ascii="宋体" w:hAnsi="宋体" w:cs="宋体"/>
                <w:kern w:val="0"/>
                <w:szCs w:val="21"/>
                <w:lang w:bidi="ar"/>
              </w:rPr>
            </w:pPr>
            <w:r>
              <w:rPr>
                <w:rFonts w:hint="eastAsia" w:ascii="宋体" w:hAnsi="宋体" w:cs="宋体"/>
                <w:kern w:val="0"/>
                <w:szCs w:val="21"/>
                <w:lang w:bidi="ar"/>
              </w:rPr>
              <w:t>机械伤害</w:t>
            </w:r>
          </w:p>
        </w:tc>
        <w:tc>
          <w:tcPr>
            <w:tcW w:w="4705" w:type="dxa"/>
            <w:noWrap w:val="0"/>
            <w:tcMar>
              <w:top w:w="120" w:type="dxa"/>
              <w:left w:w="120" w:type="dxa"/>
              <w:bottom w:w="120" w:type="dxa"/>
              <w:right w:w="120" w:type="dxa"/>
            </w:tcMar>
            <w:vAlign w:val="center"/>
          </w:tcPr>
          <w:p w14:paraId="56721561">
            <w:pPr>
              <w:widowControl/>
              <w:spacing w:line="360" w:lineRule="auto"/>
              <w:jc w:val="left"/>
              <w:rPr>
                <w:rFonts w:ascii="宋体" w:hAnsi="宋体" w:cs="宋体"/>
                <w:kern w:val="0"/>
                <w:szCs w:val="21"/>
                <w:lang w:bidi="ar"/>
              </w:rPr>
            </w:pPr>
            <w:r>
              <w:rPr>
                <w:rFonts w:hint="eastAsia" w:ascii="宋体" w:hAnsi="宋体" w:cs="宋体"/>
                <w:kern w:val="0"/>
                <w:szCs w:val="21"/>
                <w:lang w:bidi="ar"/>
              </w:rPr>
              <w:t>正确使用电动工具，佩戴防护眼睛</w:t>
            </w:r>
          </w:p>
        </w:tc>
      </w:tr>
      <w:tr w14:paraId="3DED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7" w:hRule="atLeast"/>
          <w:jc w:val="center"/>
        </w:trPr>
        <w:tc>
          <w:tcPr>
            <w:tcW w:w="1589" w:type="dxa"/>
            <w:noWrap w:val="0"/>
            <w:tcMar>
              <w:top w:w="120" w:type="dxa"/>
              <w:left w:w="0" w:type="dxa"/>
              <w:bottom w:w="120" w:type="dxa"/>
              <w:right w:w="120" w:type="dxa"/>
            </w:tcMar>
            <w:vAlign w:val="center"/>
          </w:tcPr>
          <w:p w14:paraId="0635D17A">
            <w:pPr>
              <w:widowControl/>
              <w:spacing w:line="360" w:lineRule="auto"/>
              <w:jc w:val="center"/>
              <w:rPr>
                <w:rStyle w:val="14"/>
                <w:rFonts w:ascii="宋体" w:hAnsi="宋体" w:cs="宋体"/>
                <w:b w:val="0"/>
                <w:bCs/>
                <w:kern w:val="0"/>
                <w:szCs w:val="21"/>
                <w:lang w:bidi="ar"/>
              </w:rPr>
            </w:pPr>
            <w:r>
              <w:rPr>
                <w:rStyle w:val="14"/>
                <w:rFonts w:hint="eastAsia" w:ascii="宋体" w:hAnsi="宋体" w:cs="宋体"/>
                <w:b w:val="0"/>
                <w:bCs/>
                <w:kern w:val="0"/>
                <w:szCs w:val="21"/>
                <w:lang w:bidi="ar"/>
              </w:rPr>
              <w:t>动火作业</w:t>
            </w:r>
          </w:p>
        </w:tc>
        <w:tc>
          <w:tcPr>
            <w:tcW w:w="1805" w:type="dxa"/>
            <w:noWrap w:val="0"/>
            <w:tcMar>
              <w:top w:w="120" w:type="dxa"/>
              <w:left w:w="120" w:type="dxa"/>
              <w:bottom w:w="120" w:type="dxa"/>
              <w:right w:w="120" w:type="dxa"/>
            </w:tcMar>
            <w:vAlign w:val="center"/>
          </w:tcPr>
          <w:p w14:paraId="47F0A367">
            <w:pPr>
              <w:widowControl/>
              <w:spacing w:line="360" w:lineRule="auto"/>
              <w:jc w:val="center"/>
              <w:rPr>
                <w:rFonts w:ascii="宋体" w:hAnsi="宋体" w:cs="宋体"/>
                <w:kern w:val="0"/>
                <w:szCs w:val="21"/>
                <w:lang w:bidi="ar"/>
              </w:rPr>
            </w:pPr>
            <w:r>
              <w:rPr>
                <w:rFonts w:hint="eastAsia" w:ascii="宋体" w:hAnsi="宋体" w:cs="宋体"/>
                <w:kern w:val="0"/>
                <w:szCs w:val="21"/>
                <w:lang w:bidi="ar"/>
              </w:rPr>
              <w:t>触电、火灾</w:t>
            </w:r>
          </w:p>
        </w:tc>
        <w:tc>
          <w:tcPr>
            <w:tcW w:w="4705" w:type="dxa"/>
            <w:noWrap w:val="0"/>
            <w:tcMar>
              <w:top w:w="120" w:type="dxa"/>
              <w:left w:w="120" w:type="dxa"/>
              <w:bottom w:w="120" w:type="dxa"/>
              <w:right w:w="120" w:type="dxa"/>
            </w:tcMar>
            <w:vAlign w:val="center"/>
          </w:tcPr>
          <w:p w14:paraId="1B690897">
            <w:pPr>
              <w:widowControl/>
              <w:spacing w:line="360" w:lineRule="auto"/>
              <w:jc w:val="left"/>
              <w:rPr>
                <w:rFonts w:ascii="宋体" w:hAnsi="宋体" w:cs="宋体"/>
                <w:kern w:val="0"/>
                <w:szCs w:val="21"/>
                <w:lang w:bidi="ar"/>
              </w:rPr>
            </w:pPr>
            <w:r>
              <w:rPr>
                <w:rFonts w:hint="eastAsia" w:ascii="宋体" w:hAnsi="宋体" w:cs="宋体"/>
                <w:szCs w:val="21"/>
              </w:rPr>
              <w:t>本次施工项目涉及配电室动火作业，区域责任人员落实防火防护及监护责任，作业单位办理动火作业证、临时用电许可、焊工持焊工证，</w:t>
            </w:r>
            <w:r>
              <w:rPr>
                <w:rFonts w:hint="eastAsia" w:ascii="宋体" w:hAnsi="宋体" w:cs="宋体"/>
                <w:kern w:val="0"/>
                <w:szCs w:val="21"/>
                <w:lang w:bidi="ar"/>
              </w:rPr>
              <w:t>正确使用，保护设施齐全</w:t>
            </w:r>
          </w:p>
        </w:tc>
      </w:tr>
      <w:tr w14:paraId="70AA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89" w:type="dxa"/>
            <w:noWrap w:val="0"/>
            <w:tcMar>
              <w:top w:w="120" w:type="dxa"/>
              <w:left w:w="0" w:type="dxa"/>
              <w:bottom w:w="120" w:type="dxa"/>
              <w:right w:w="120" w:type="dxa"/>
            </w:tcMar>
            <w:vAlign w:val="center"/>
          </w:tcPr>
          <w:p w14:paraId="064EABC0">
            <w:pPr>
              <w:widowControl/>
              <w:spacing w:line="360" w:lineRule="auto"/>
              <w:jc w:val="center"/>
              <w:rPr>
                <w:rStyle w:val="14"/>
                <w:rFonts w:ascii="宋体" w:hAnsi="宋体" w:cs="宋体"/>
                <w:b w:val="0"/>
                <w:bCs/>
                <w:kern w:val="0"/>
                <w:szCs w:val="21"/>
                <w:lang w:bidi="ar"/>
              </w:rPr>
            </w:pPr>
            <w:r>
              <w:rPr>
                <w:rStyle w:val="14"/>
                <w:rFonts w:hint="eastAsia" w:ascii="宋体" w:hAnsi="宋体" w:cs="宋体"/>
                <w:b w:val="0"/>
                <w:bCs/>
                <w:kern w:val="0"/>
                <w:szCs w:val="21"/>
                <w:lang w:bidi="ar"/>
              </w:rPr>
              <w:t>临时用电</w:t>
            </w:r>
          </w:p>
        </w:tc>
        <w:tc>
          <w:tcPr>
            <w:tcW w:w="1805" w:type="dxa"/>
            <w:noWrap w:val="0"/>
            <w:tcMar>
              <w:top w:w="120" w:type="dxa"/>
              <w:left w:w="120" w:type="dxa"/>
              <w:bottom w:w="120" w:type="dxa"/>
              <w:right w:w="120" w:type="dxa"/>
            </w:tcMar>
            <w:vAlign w:val="center"/>
          </w:tcPr>
          <w:p w14:paraId="561290A6">
            <w:pPr>
              <w:widowControl/>
              <w:spacing w:line="360" w:lineRule="auto"/>
              <w:jc w:val="center"/>
              <w:rPr>
                <w:rFonts w:ascii="宋体" w:hAnsi="宋体" w:cs="宋体"/>
                <w:kern w:val="0"/>
                <w:szCs w:val="21"/>
                <w:lang w:bidi="ar"/>
              </w:rPr>
            </w:pPr>
            <w:r>
              <w:rPr>
                <w:rFonts w:hint="eastAsia" w:ascii="宋体" w:hAnsi="宋体" w:cs="宋体"/>
                <w:kern w:val="0"/>
                <w:szCs w:val="21"/>
                <w:lang w:bidi="ar"/>
              </w:rPr>
              <w:t>触电</w:t>
            </w:r>
          </w:p>
        </w:tc>
        <w:tc>
          <w:tcPr>
            <w:tcW w:w="4705" w:type="dxa"/>
            <w:noWrap w:val="0"/>
            <w:tcMar>
              <w:top w:w="120" w:type="dxa"/>
              <w:left w:w="120" w:type="dxa"/>
              <w:bottom w:w="120" w:type="dxa"/>
              <w:right w:w="120" w:type="dxa"/>
            </w:tcMar>
            <w:vAlign w:val="center"/>
          </w:tcPr>
          <w:p w14:paraId="1965C24F">
            <w:pPr>
              <w:widowControl/>
              <w:spacing w:line="360" w:lineRule="auto"/>
              <w:jc w:val="left"/>
              <w:rPr>
                <w:rFonts w:ascii="宋体" w:hAnsi="宋体" w:cs="宋体"/>
                <w:kern w:val="0"/>
                <w:szCs w:val="21"/>
                <w:lang w:bidi="ar"/>
              </w:rPr>
            </w:pPr>
            <w:r>
              <w:rPr>
                <w:rFonts w:hint="eastAsia" w:ascii="宋体" w:hAnsi="宋体" w:cs="宋体"/>
                <w:kern w:val="0"/>
                <w:szCs w:val="21"/>
                <w:lang w:bidi="ar"/>
              </w:rPr>
              <w:t>一机一闸一保护，漏电保护正常</w:t>
            </w:r>
          </w:p>
        </w:tc>
      </w:tr>
      <w:tr w14:paraId="2D1B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89" w:type="dxa"/>
            <w:noWrap w:val="0"/>
            <w:tcMar>
              <w:top w:w="120" w:type="dxa"/>
              <w:left w:w="0" w:type="dxa"/>
              <w:bottom w:w="120" w:type="dxa"/>
              <w:right w:w="120" w:type="dxa"/>
            </w:tcMar>
            <w:vAlign w:val="center"/>
          </w:tcPr>
          <w:p w14:paraId="20037C3A">
            <w:pPr>
              <w:widowControl/>
              <w:spacing w:line="360" w:lineRule="auto"/>
              <w:jc w:val="center"/>
              <w:rPr>
                <w:rStyle w:val="14"/>
                <w:rFonts w:ascii="宋体" w:hAnsi="宋体" w:cs="宋体"/>
                <w:b w:val="0"/>
                <w:bCs/>
                <w:kern w:val="0"/>
                <w:szCs w:val="21"/>
                <w:lang w:bidi="ar"/>
              </w:rPr>
            </w:pPr>
            <w:r>
              <w:rPr>
                <w:rFonts w:hint="eastAsia" w:ascii="宋体" w:hAnsi="宋体" w:cs="宋体"/>
                <w:szCs w:val="21"/>
              </w:rPr>
              <w:t>其他伤害</w:t>
            </w:r>
          </w:p>
        </w:tc>
        <w:tc>
          <w:tcPr>
            <w:tcW w:w="1805" w:type="dxa"/>
            <w:noWrap w:val="0"/>
            <w:tcMar>
              <w:top w:w="120" w:type="dxa"/>
              <w:left w:w="120" w:type="dxa"/>
              <w:bottom w:w="120" w:type="dxa"/>
              <w:right w:w="120" w:type="dxa"/>
            </w:tcMar>
            <w:vAlign w:val="center"/>
          </w:tcPr>
          <w:p w14:paraId="79046F5E">
            <w:pPr>
              <w:widowControl/>
              <w:spacing w:line="360" w:lineRule="auto"/>
              <w:jc w:val="center"/>
              <w:rPr>
                <w:rFonts w:ascii="宋体" w:hAnsi="宋体" w:cs="宋体"/>
                <w:kern w:val="0"/>
                <w:szCs w:val="21"/>
                <w:lang w:bidi="ar"/>
              </w:rPr>
            </w:pPr>
            <w:r>
              <w:rPr>
                <w:rFonts w:hint="eastAsia" w:ascii="宋体" w:hAnsi="宋体" w:cs="宋体"/>
                <w:kern w:val="0"/>
                <w:szCs w:val="21"/>
                <w:lang w:bidi="ar"/>
              </w:rPr>
              <w:t>跌倒</w:t>
            </w:r>
          </w:p>
        </w:tc>
        <w:tc>
          <w:tcPr>
            <w:tcW w:w="4705" w:type="dxa"/>
            <w:noWrap w:val="0"/>
            <w:tcMar>
              <w:top w:w="120" w:type="dxa"/>
              <w:left w:w="120" w:type="dxa"/>
              <w:bottom w:w="120" w:type="dxa"/>
              <w:right w:w="120" w:type="dxa"/>
            </w:tcMar>
            <w:vAlign w:val="center"/>
          </w:tcPr>
          <w:p w14:paraId="359899FD">
            <w:pPr>
              <w:widowControl/>
              <w:spacing w:line="360" w:lineRule="auto"/>
              <w:jc w:val="left"/>
              <w:rPr>
                <w:rFonts w:ascii="宋体" w:hAnsi="宋体" w:cs="宋体"/>
                <w:kern w:val="0"/>
                <w:szCs w:val="21"/>
                <w:lang w:bidi="ar"/>
              </w:rPr>
            </w:pPr>
            <w:r>
              <w:rPr>
                <w:rFonts w:hint="eastAsia" w:ascii="宋体" w:hAnsi="宋体" w:cs="宋体"/>
                <w:szCs w:val="21"/>
              </w:rPr>
              <w:t>做好搬运工作控制，配电柜安装立柜时的监督与控制。</w:t>
            </w:r>
          </w:p>
        </w:tc>
      </w:tr>
    </w:tbl>
    <w:p w14:paraId="2B0965FC">
      <w:pPr>
        <w:pStyle w:val="2"/>
        <w:rPr>
          <w:rFonts w:hint="eastAsia"/>
        </w:rPr>
      </w:pPr>
    </w:p>
    <w:p w14:paraId="5AD383CE">
      <w:pPr>
        <w:pStyle w:val="2"/>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727D">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F4175C8B"/>
    <w:multiLevelType w:val="singleLevel"/>
    <w:tmpl w:val="F4175C8B"/>
    <w:lvl w:ilvl="0" w:tentative="0">
      <w:start w:val="6"/>
      <w:numFmt w:val="chineseCounting"/>
      <w:suff w:val="nothing"/>
      <w:lvlText w:val="%1、"/>
      <w:lvlJc w:val="left"/>
      <w:rPr>
        <w:rFonts w:hint="eastAsia"/>
      </w:rPr>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62A2B154"/>
    <w:multiLevelType w:val="singleLevel"/>
    <w:tmpl w:val="62A2B154"/>
    <w:lvl w:ilvl="0" w:tentative="0">
      <w:start w:val="1"/>
      <w:numFmt w:val="decimal"/>
      <w:suff w:val="nothing"/>
      <w:lvlText w:val="（%1）"/>
      <w:lvlJc w:val="left"/>
    </w:lvl>
  </w:abstractNum>
  <w:abstractNum w:abstractNumId="5">
    <w:nsid w:val="78A17D2A"/>
    <w:multiLevelType w:val="singleLevel"/>
    <w:tmpl w:val="78A17D2A"/>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82"/>
    <w:rsid w:val="000115BF"/>
    <w:rsid w:val="00014CB0"/>
    <w:rsid w:val="00082D37"/>
    <w:rsid w:val="000834A1"/>
    <w:rsid w:val="00096F79"/>
    <w:rsid w:val="000C1E8C"/>
    <w:rsid w:val="00121DC3"/>
    <w:rsid w:val="0012223B"/>
    <w:rsid w:val="00125FA0"/>
    <w:rsid w:val="001633C2"/>
    <w:rsid w:val="001D48D5"/>
    <w:rsid w:val="001D72F5"/>
    <w:rsid w:val="001E73D5"/>
    <w:rsid w:val="00220A0C"/>
    <w:rsid w:val="002439A6"/>
    <w:rsid w:val="002B1F91"/>
    <w:rsid w:val="002C3176"/>
    <w:rsid w:val="002D62DF"/>
    <w:rsid w:val="002F077C"/>
    <w:rsid w:val="003163CF"/>
    <w:rsid w:val="003536FA"/>
    <w:rsid w:val="00387164"/>
    <w:rsid w:val="00396B0D"/>
    <w:rsid w:val="003B5C92"/>
    <w:rsid w:val="003E6377"/>
    <w:rsid w:val="003F2E8A"/>
    <w:rsid w:val="00410882"/>
    <w:rsid w:val="00415360"/>
    <w:rsid w:val="0042466E"/>
    <w:rsid w:val="004562BE"/>
    <w:rsid w:val="004873D3"/>
    <w:rsid w:val="004A4272"/>
    <w:rsid w:val="004B5BBE"/>
    <w:rsid w:val="004D0BD1"/>
    <w:rsid w:val="005357D9"/>
    <w:rsid w:val="00542ADD"/>
    <w:rsid w:val="00584163"/>
    <w:rsid w:val="006130E4"/>
    <w:rsid w:val="0063764C"/>
    <w:rsid w:val="00640DAC"/>
    <w:rsid w:val="00672F6B"/>
    <w:rsid w:val="006F276B"/>
    <w:rsid w:val="00721D0B"/>
    <w:rsid w:val="00747E2C"/>
    <w:rsid w:val="00776615"/>
    <w:rsid w:val="007B3CF6"/>
    <w:rsid w:val="007E41EB"/>
    <w:rsid w:val="008857F6"/>
    <w:rsid w:val="00885C77"/>
    <w:rsid w:val="00887F9F"/>
    <w:rsid w:val="008B64BE"/>
    <w:rsid w:val="008F2214"/>
    <w:rsid w:val="008F4F37"/>
    <w:rsid w:val="008F7024"/>
    <w:rsid w:val="009150D0"/>
    <w:rsid w:val="009C0AE5"/>
    <w:rsid w:val="00A53673"/>
    <w:rsid w:val="00A92103"/>
    <w:rsid w:val="00AA07CD"/>
    <w:rsid w:val="00AB7CD9"/>
    <w:rsid w:val="00AD2B6E"/>
    <w:rsid w:val="00AD350D"/>
    <w:rsid w:val="00B47430"/>
    <w:rsid w:val="00BE6F57"/>
    <w:rsid w:val="00C1153A"/>
    <w:rsid w:val="00C546E8"/>
    <w:rsid w:val="00C57E16"/>
    <w:rsid w:val="00C73E79"/>
    <w:rsid w:val="00C74410"/>
    <w:rsid w:val="00CB6C9E"/>
    <w:rsid w:val="00CE1276"/>
    <w:rsid w:val="00D754F5"/>
    <w:rsid w:val="00DA129F"/>
    <w:rsid w:val="00E55874"/>
    <w:rsid w:val="00E65254"/>
    <w:rsid w:val="00EC0658"/>
    <w:rsid w:val="00F251A4"/>
    <w:rsid w:val="00FF0D4B"/>
    <w:rsid w:val="01407DFE"/>
    <w:rsid w:val="01CA3F1A"/>
    <w:rsid w:val="031663E9"/>
    <w:rsid w:val="03D401FE"/>
    <w:rsid w:val="041A45D7"/>
    <w:rsid w:val="04CA2DA2"/>
    <w:rsid w:val="06C675E3"/>
    <w:rsid w:val="075E46C1"/>
    <w:rsid w:val="0B1B7564"/>
    <w:rsid w:val="0CF74C6E"/>
    <w:rsid w:val="0DF52C6F"/>
    <w:rsid w:val="0E664FCA"/>
    <w:rsid w:val="0EBA407A"/>
    <w:rsid w:val="0FBB574F"/>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74370A4"/>
    <w:rsid w:val="2B2D6198"/>
    <w:rsid w:val="2EED69CE"/>
    <w:rsid w:val="2EF83608"/>
    <w:rsid w:val="2F8C615C"/>
    <w:rsid w:val="2FA33530"/>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440462"/>
    <w:rsid w:val="3DD079F6"/>
    <w:rsid w:val="3FFF71F2"/>
    <w:rsid w:val="40195815"/>
    <w:rsid w:val="41171FD0"/>
    <w:rsid w:val="43243258"/>
    <w:rsid w:val="43EE7018"/>
    <w:rsid w:val="44200866"/>
    <w:rsid w:val="44A447D8"/>
    <w:rsid w:val="44BC7683"/>
    <w:rsid w:val="468574BA"/>
    <w:rsid w:val="46F91CF8"/>
    <w:rsid w:val="478A52AA"/>
    <w:rsid w:val="49935F6C"/>
    <w:rsid w:val="4AE65862"/>
    <w:rsid w:val="4BBE0ACE"/>
    <w:rsid w:val="4BD33739"/>
    <w:rsid w:val="4CC4300C"/>
    <w:rsid w:val="4D2910C1"/>
    <w:rsid w:val="4D7A36CB"/>
    <w:rsid w:val="4DBB652F"/>
    <w:rsid w:val="4E221B99"/>
    <w:rsid w:val="511432A7"/>
    <w:rsid w:val="515661FD"/>
    <w:rsid w:val="53266CED"/>
    <w:rsid w:val="53EF504B"/>
    <w:rsid w:val="53F95F9A"/>
    <w:rsid w:val="542477F4"/>
    <w:rsid w:val="56BE671B"/>
    <w:rsid w:val="56C377C5"/>
    <w:rsid w:val="56FA6C77"/>
    <w:rsid w:val="57D50C32"/>
    <w:rsid w:val="588875E4"/>
    <w:rsid w:val="588C0AC2"/>
    <w:rsid w:val="5A8738CB"/>
    <w:rsid w:val="5EA36BFC"/>
    <w:rsid w:val="618119F8"/>
    <w:rsid w:val="642C24F3"/>
    <w:rsid w:val="64D66DF5"/>
    <w:rsid w:val="654B7174"/>
    <w:rsid w:val="661E78ED"/>
    <w:rsid w:val="67182A90"/>
    <w:rsid w:val="67840CA7"/>
    <w:rsid w:val="699D0A15"/>
    <w:rsid w:val="69DF2DDC"/>
    <w:rsid w:val="6A9455F7"/>
    <w:rsid w:val="6C3D64DF"/>
    <w:rsid w:val="6C850193"/>
    <w:rsid w:val="6D6455ED"/>
    <w:rsid w:val="6D6655C2"/>
    <w:rsid w:val="6DBA07BF"/>
    <w:rsid w:val="6DC42A14"/>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annotation text"/>
    <w:basedOn w:val="1"/>
    <w:uiPriority w:val="99"/>
    <w:pPr>
      <w:adjustRightInd w:val="0"/>
      <w:spacing w:line="360" w:lineRule="atLeast"/>
      <w:jc w:val="left"/>
      <w:textAlignment w:val="baseline"/>
    </w:pPr>
    <w:rPr>
      <w:kern w:val="0"/>
      <w:sz w:val="24"/>
      <w:szCs w:val="20"/>
    </w:rPr>
  </w:style>
  <w:style w:type="paragraph" w:styleId="4">
    <w:name w:val="Body Text Indent"/>
    <w:basedOn w:val="1"/>
    <w:unhideWhenUsed/>
    <w:qFormat/>
    <w:uiPriority w:val="99"/>
    <w:pPr>
      <w:spacing w:after="120"/>
      <w:ind w:left="420" w:leftChars="200"/>
    </w:pPr>
  </w:style>
  <w:style w:type="paragraph" w:styleId="5">
    <w:name w:val="Balloon Text"/>
    <w:basedOn w:val="1"/>
    <w:link w:val="16"/>
    <w:uiPriority w:val="0"/>
    <w:rPr>
      <w:sz w:val="18"/>
      <w:szCs w:val="18"/>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rPr>
      <w:rFonts w:ascii="Times New Roman" w:hAnsi="Times New Roman"/>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spacing w:beforeAutospacing="1" w:afterAutospacing="1"/>
      <w:jc w:val="left"/>
    </w:pPr>
    <w:rPr>
      <w:rFonts w:cs="Times New Roman"/>
      <w:kern w:val="0"/>
      <w:sz w:val="24"/>
    </w:rPr>
  </w:style>
  <w:style w:type="paragraph" w:styleId="11">
    <w:name w:val="Body Text First Indent 2"/>
    <w:basedOn w:val="4"/>
    <w:unhideWhenUsed/>
    <w:qFormat/>
    <w:uiPriority w:val="99"/>
    <w:pPr>
      <w:ind w:firstLine="420" w:firstLineChars="200"/>
    </w:pPr>
  </w:style>
  <w:style w:type="character" w:styleId="14">
    <w:name w:val="Strong"/>
    <w:qFormat/>
    <w:uiPriority w:val="0"/>
    <w:rPr>
      <w:b/>
    </w:rPr>
  </w:style>
  <w:style w:type="character" w:styleId="15">
    <w:name w:val="Hyperlink"/>
    <w:uiPriority w:val="99"/>
    <w:rPr>
      <w:color w:val="000000"/>
      <w:u w:val="none"/>
    </w:rPr>
  </w:style>
  <w:style w:type="character" w:customStyle="1" w:styleId="16">
    <w:name w:val="批注框文本 Char"/>
    <w:link w:val="5"/>
    <w:uiPriority w:val="0"/>
    <w:rPr>
      <w:kern w:val="2"/>
      <w:sz w:val="18"/>
      <w:szCs w:val="18"/>
    </w:rPr>
  </w:style>
  <w:style w:type="character" w:customStyle="1" w:styleId="17">
    <w:name w:val="页脚 Char"/>
    <w:link w:val="6"/>
    <w:uiPriority w:val="0"/>
    <w:rPr>
      <w:kern w:val="2"/>
      <w:sz w:val="18"/>
      <w:szCs w:val="18"/>
    </w:rPr>
  </w:style>
  <w:style w:type="character" w:customStyle="1" w:styleId="18">
    <w:name w:val="页眉 Char"/>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2808</Words>
  <Characters>3004</Characters>
  <Lines>25</Lines>
  <Paragraphs>7</Paragraphs>
  <TotalTime>1</TotalTime>
  <ScaleCrop>false</ScaleCrop>
  <LinksUpToDate>false</LinksUpToDate>
  <CharactersWithSpaces>3448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2022-01-14T08:32:00Z</dcterms:created>
  <dc:creator>leeqiang</dc:creator>
  <cp:lastModifiedBy>envy.</cp:lastModifiedBy>
  <cp:lastPrinted>2026-04-30T03:46:00Z</cp:lastPrinted>
  <dcterms:modified xsi:type="dcterms:W3CDTF">2026-04-30T05:27:40Z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B0DFD2D32BC649678AABAA6B24854DBD_13</vt:lpwstr>
  </property>
  <property fmtid="{D5CDD505-2E9C-101B-9397-08002B2CF9AE}" pid="4" name="KSOTemplateDocerSaveRecord">
    <vt:lpwstr>eyJoZGlkIjoiMjIzODU5ZGRkYTVkODQ4NTI2Nzc3N2I3NjAyMGUzMTQiLCJ1c2VySWQiOiI0NTQ4MDg0MDgifQ==</vt:lpwstr>
  </property>
</Properties>
</file>