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6901A">
      <w:pPr>
        <w:jc w:val="left"/>
        <w:rPr>
          <w:rFonts w:hint="default" w:ascii="宋体" w:hAnsi="宋体" w:eastAsia="宋体" w:cs="宋体"/>
          <w:b/>
          <w:sz w:val="32"/>
          <w:szCs w:val="32"/>
          <w:lang w:val="en-US" w:eastAsia="zh-CN"/>
        </w:rPr>
      </w:pPr>
      <w:bookmarkStart w:id="0" w:name="_Toc417895952"/>
      <w:bookmarkStart w:id="1" w:name="_Toc416702955"/>
      <w:bookmarkStart w:id="2" w:name="_Toc417896502"/>
      <w:bookmarkStart w:id="3" w:name="_Toc416703361"/>
      <w:bookmarkStart w:id="4" w:name="_Toc417896685"/>
      <w:r>
        <w:rPr>
          <w:rFonts w:hint="eastAsia" w:ascii="宋体" w:hAnsi="宋体" w:cs="宋体"/>
          <w:b/>
          <w:sz w:val="36"/>
          <w:szCs w:val="36"/>
        </w:rPr>
        <w:t>项目名称：</w:t>
      </w:r>
      <w:r>
        <w:rPr>
          <w:rFonts w:hint="eastAsia" w:ascii="宋体" w:hAnsi="宋体" w:cs="宋体"/>
          <w:b/>
          <w:sz w:val="32"/>
          <w:szCs w:val="32"/>
        </w:rPr>
        <w:t>国际复材</w:t>
      </w:r>
      <w:r>
        <w:rPr>
          <w:rFonts w:hint="eastAsia" w:ascii="宋体" w:hAnsi="宋体" w:cs="宋体"/>
          <w:b/>
          <w:sz w:val="32"/>
          <w:szCs w:val="32"/>
          <w:lang w:val="en-US" w:eastAsia="zh-CN"/>
        </w:rPr>
        <w:t>长寿厂区</w:t>
      </w:r>
      <w:r>
        <w:rPr>
          <w:rFonts w:hint="eastAsia" w:ascii="宋体" w:hAnsi="宋体" w:cs="宋体"/>
          <w:b/>
          <w:sz w:val="32"/>
          <w:szCs w:val="32"/>
        </w:rPr>
        <w:t>202</w:t>
      </w:r>
      <w:r>
        <w:rPr>
          <w:rFonts w:hint="eastAsia" w:ascii="宋体" w:hAnsi="宋体" w:cs="宋体"/>
          <w:b/>
          <w:sz w:val="32"/>
          <w:szCs w:val="32"/>
          <w:lang w:val="en-US" w:eastAsia="zh-CN"/>
        </w:rPr>
        <w:t>7</w:t>
      </w:r>
      <w:r>
        <w:rPr>
          <w:rFonts w:hint="eastAsia" w:ascii="宋体" w:hAnsi="宋体" w:cs="宋体"/>
          <w:b/>
          <w:sz w:val="32"/>
          <w:szCs w:val="32"/>
        </w:rPr>
        <w:t>年消防设施维护保养</w:t>
      </w:r>
      <w:r>
        <w:rPr>
          <w:rFonts w:hint="eastAsia" w:ascii="宋体" w:hAnsi="宋体" w:cs="宋体"/>
          <w:b/>
          <w:sz w:val="32"/>
          <w:szCs w:val="32"/>
          <w:lang w:val="en-US" w:eastAsia="zh-CN"/>
        </w:rPr>
        <w:t>服务谈判采购</w:t>
      </w:r>
    </w:p>
    <w:p w14:paraId="339BB5BC">
      <w:pPr>
        <w:rPr>
          <w:rFonts w:ascii="宋体" w:hAnsi="宋体" w:cs="宋体"/>
          <w:b/>
          <w:sz w:val="36"/>
          <w:szCs w:val="36"/>
        </w:rPr>
      </w:pPr>
      <w:r>
        <w:rPr>
          <w:rFonts w:hint="eastAsia" w:ascii="宋体" w:hAnsi="宋体" w:cs="宋体"/>
          <w:b/>
          <w:sz w:val="36"/>
          <w:szCs w:val="36"/>
        </w:rPr>
        <w:t>采购编号：</w:t>
      </w:r>
    </w:p>
    <w:bookmarkEnd w:id="0"/>
    <w:bookmarkEnd w:id="1"/>
    <w:bookmarkEnd w:id="2"/>
    <w:bookmarkEnd w:id="3"/>
    <w:bookmarkEnd w:id="4"/>
    <w:p w14:paraId="48DE969F">
      <w:pPr>
        <w:rPr>
          <w:rFonts w:ascii="宋体" w:hAnsi="宋体"/>
        </w:rPr>
      </w:pPr>
    </w:p>
    <w:p w14:paraId="35C42BD4">
      <w:pPr>
        <w:spacing w:line="360" w:lineRule="auto"/>
        <w:jc w:val="center"/>
        <w:rPr>
          <w:rFonts w:ascii="宋体" w:hAnsi="宋体"/>
          <w:b/>
          <w:bCs/>
          <w:sz w:val="128"/>
          <w:szCs w:val="128"/>
        </w:rPr>
      </w:pPr>
    </w:p>
    <w:p w14:paraId="4A621D39">
      <w:pPr>
        <w:spacing w:line="360" w:lineRule="auto"/>
        <w:jc w:val="center"/>
        <w:rPr>
          <w:rFonts w:ascii="宋体" w:hAnsi="宋体"/>
          <w:b/>
          <w:bCs/>
          <w:sz w:val="96"/>
          <w:szCs w:val="120"/>
        </w:rPr>
      </w:pPr>
      <w:r>
        <w:rPr>
          <w:rFonts w:hint="eastAsia" w:ascii="宋体" w:hAnsi="宋体"/>
          <w:b/>
          <w:bCs/>
          <w:sz w:val="96"/>
          <w:szCs w:val="120"/>
        </w:rPr>
        <w:t>谈判</w:t>
      </w:r>
      <w:r>
        <w:rPr>
          <w:rFonts w:hint="eastAsia" w:ascii="宋体" w:hAnsi="宋体"/>
          <w:b/>
          <w:bCs/>
          <w:sz w:val="96"/>
          <w:szCs w:val="120"/>
          <w:lang w:val="en-US" w:eastAsia="zh-CN"/>
        </w:rPr>
        <w:t>采购</w:t>
      </w:r>
      <w:r>
        <w:rPr>
          <w:rFonts w:hint="eastAsia" w:ascii="宋体" w:hAnsi="宋体"/>
          <w:b/>
          <w:bCs/>
          <w:sz w:val="96"/>
          <w:szCs w:val="120"/>
        </w:rPr>
        <w:t>文件</w:t>
      </w:r>
    </w:p>
    <w:p w14:paraId="21E8C014">
      <w:pPr>
        <w:rPr>
          <w:rFonts w:ascii="宋体" w:hAnsi="宋体"/>
          <w:b/>
          <w:bCs/>
          <w:szCs w:val="21"/>
        </w:rPr>
      </w:pPr>
    </w:p>
    <w:p w14:paraId="4163511B">
      <w:pPr>
        <w:rPr>
          <w:rFonts w:ascii="宋体" w:hAnsi="宋体"/>
          <w:b/>
          <w:bCs/>
          <w:szCs w:val="21"/>
        </w:rPr>
      </w:pPr>
    </w:p>
    <w:p w14:paraId="1779D815">
      <w:pPr>
        <w:rPr>
          <w:rFonts w:ascii="宋体" w:hAnsi="宋体"/>
          <w:b/>
          <w:bCs/>
          <w:szCs w:val="21"/>
        </w:rPr>
      </w:pPr>
    </w:p>
    <w:p w14:paraId="1B8B070E">
      <w:pPr>
        <w:rPr>
          <w:rFonts w:ascii="宋体" w:hAnsi="宋体"/>
          <w:b/>
          <w:bCs/>
          <w:szCs w:val="21"/>
        </w:rPr>
      </w:pPr>
    </w:p>
    <w:p w14:paraId="1402B411">
      <w:pPr>
        <w:rPr>
          <w:rFonts w:ascii="宋体" w:hAnsi="宋体"/>
          <w:b/>
          <w:bCs/>
          <w:szCs w:val="21"/>
        </w:rPr>
      </w:pPr>
    </w:p>
    <w:p w14:paraId="7E8764E3">
      <w:pPr>
        <w:rPr>
          <w:rFonts w:ascii="宋体" w:hAnsi="宋体"/>
          <w:b/>
          <w:bCs/>
          <w:szCs w:val="21"/>
        </w:rPr>
      </w:pPr>
    </w:p>
    <w:p w14:paraId="62D54598">
      <w:pPr>
        <w:rPr>
          <w:rFonts w:ascii="宋体" w:hAnsi="宋体"/>
          <w:b/>
          <w:bCs/>
          <w:szCs w:val="21"/>
        </w:rPr>
      </w:pPr>
    </w:p>
    <w:p w14:paraId="481BDE8E">
      <w:pPr>
        <w:rPr>
          <w:rFonts w:ascii="宋体" w:hAnsi="宋体"/>
          <w:b/>
          <w:bCs/>
          <w:szCs w:val="21"/>
        </w:rPr>
      </w:pPr>
    </w:p>
    <w:p w14:paraId="024BC5A7">
      <w:pPr>
        <w:rPr>
          <w:rFonts w:ascii="宋体" w:hAnsi="宋体"/>
          <w:b/>
          <w:bCs/>
          <w:szCs w:val="21"/>
        </w:rPr>
      </w:pPr>
    </w:p>
    <w:p w14:paraId="46C5373F">
      <w:pPr>
        <w:rPr>
          <w:rFonts w:ascii="宋体" w:hAnsi="宋体"/>
          <w:b/>
          <w:bCs/>
          <w:szCs w:val="21"/>
        </w:rPr>
      </w:pPr>
    </w:p>
    <w:p w14:paraId="6830BE73">
      <w:pPr>
        <w:rPr>
          <w:rFonts w:ascii="宋体" w:hAnsi="宋体"/>
          <w:b/>
          <w:bCs/>
          <w:szCs w:val="21"/>
        </w:rPr>
      </w:pPr>
    </w:p>
    <w:tbl>
      <w:tblPr>
        <w:tblStyle w:val="18"/>
        <w:tblW w:w="82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8"/>
        <w:gridCol w:w="6146"/>
      </w:tblGrid>
      <w:tr w14:paraId="4839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088" w:type="dxa"/>
          </w:tcPr>
          <w:p w14:paraId="25DC4300">
            <w:pPr>
              <w:rPr>
                <w:rFonts w:ascii="宋体" w:hAnsi="宋体"/>
                <w:b/>
                <w:bCs/>
                <w:kern w:val="0"/>
                <w:sz w:val="20"/>
                <w:szCs w:val="21"/>
              </w:rPr>
            </w:pPr>
          </w:p>
        </w:tc>
        <w:tc>
          <w:tcPr>
            <w:tcW w:w="6146" w:type="dxa"/>
          </w:tcPr>
          <w:p w14:paraId="52F3C07B">
            <w:pPr>
              <w:rPr>
                <w:rFonts w:ascii="宋体" w:hAnsi="宋体"/>
                <w:b/>
                <w:bCs/>
                <w:kern w:val="0"/>
                <w:sz w:val="40"/>
                <w:szCs w:val="40"/>
              </w:rPr>
            </w:pPr>
          </w:p>
        </w:tc>
      </w:tr>
    </w:tbl>
    <w:p w14:paraId="1593D946">
      <w:pPr>
        <w:autoSpaceDE w:val="0"/>
        <w:autoSpaceDN w:val="0"/>
        <w:adjustRightInd w:val="0"/>
        <w:snapToGrid w:val="0"/>
        <w:spacing w:line="360" w:lineRule="auto"/>
        <w:jc w:val="left"/>
        <w:rPr>
          <w:rFonts w:ascii="宋体" w:hAnsi="宋体" w:cs="宋体"/>
          <w:b/>
          <w:bCs/>
          <w:sz w:val="36"/>
          <w:szCs w:val="36"/>
        </w:rPr>
      </w:pPr>
      <w:bookmarkStart w:id="5" w:name="_Toc230773922"/>
    </w:p>
    <w:p w14:paraId="2ABD412D">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2CA3F33E">
      <w:pPr>
        <w:autoSpaceDE w:val="0"/>
        <w:autoSpaceDN w:val="0"/>
        <w:adjustRightInd w:val="0"/>
        <w:snapToGrid w:val="0"/>
        <w:spacing w:line="360" w:lineRule="auto"/>
        <w:jc w:val="center"/>
        <w:rPr>
          <w:rFonts w:ascii="宋体" w:hAnsi="宋体" w:cs="宋体"/>
          <w:kern w:val="0"/>
          <w:sz w:val="20"/>
          <w:szCs w:val="20"/>
        </w:rPr>
      </w:pPr>
    </w:p>
    <w:p w14:paraId="566BB1C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rPr>
        <w:sectPr>
          <w:headerReference r:id="rId4" w:type="first"/>
          <w:footerReference r:id="rId6" w:type="first"/>
          <w:headerReference r:id="rId3" w:type="default"/>
          <w:footerReference r:id="rId5" w:type="default"/>
          <w:pgSz w:w="11907" w:h="16839"/>
          <w:pgMar w:top="1134" w:right="1304" w:bottom="1134" w:left="1417" w:header="567" w:footer="567" w:gutter="0"/>
          <w:cols w:space="720" w:num="1"/>
          <w:titlePg/>
          <w:docGrid w:linePitch="286" w:charSpace="0"/>
        </w:sectPr>
      </w:pPr>
      <w:r>
        <w:rPr>
          <w:rFonts w:hint="eastAsia" w:ascii="宋体" w:hAnsi="宋体" w:cs="宋体"/>
          <w:b/>
          <w:w w:val="95"/>
          <w:kern w:val="0"/>
          <w:sz w:val="32"/>
          <w:szCs w:val="32"/>
        </w:rPr>
        <w:t xml:space="preserve">  </w:t>
      </w:r>
      <w:r>
        <w:rPr>
          <w:rFonts w:hint="eastAsia" w:ascii="宋体" w:hAnsi="宋体" w:cs="宋体"/>
          <w:b/>
          <w:w w:val="95"/>
          <w:kern w:val="0"/>
          <w:sz w:val="32"/>
          <w:szCs w:val="32"/>
          <w:lang w:eastAsia="zh-CN"/>
        </w:rPr>
        <w:t>二〇二六</w:t>
      </w:r>
      <w:r>
        <w:rPr>
          <w:rFonts w:hint="eastAsia" w:ascii="宋体" w:hAnsi="宋体" w:cs="宋体"/>
          <w:b/>
          <w:w w:val="95"/>
          <w:kern w:val="0"/>
          <w:sz w:val="32"/>
          <w:szCs w:val="32"/>
        </w:rPr>
        <w:t>年　十月</w:t>
      </w:r>
    </w:p>
    <w:p w14:paraId="1C448B87">
      <w:pPr>
        <w:pStyle w:val="58"/>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1E04E106">
      <w:pPr>
        <w:pStyle w:val="13"/>
        <w:numPr>
          <w:ilvl w:val="0"/>
          <w:numId w:val="1"/>
        </w:numPr>
        <w:spacing w:line="520" w:lineRule="exact"/>
        <w:rPr>
          <w:rFonts w:ascii="宋体" w:hAnsi="宋体" w:eastAsia="宋体"/>
          <w:b/>
          <w:bCs/>
          <w:sz w:val="28"/>
          <w:szCs w:val="28"/>
        </w:rPr>
      </w:pPr>
      <w:r>
        <w:rPr>
          <w:rFonts w:hint="eastAsia" w:ascii="宋体" w:hAnsi="宋体" w:eastAsia="宋体"/>
          <w:b/>
          <w:bCs/>
          <w:sz w:val="28"/>
          <w:szCs w:val="28"/>
        </w:rPr>
        <w:t>谈判</w:t>
      </w:r>
      <w:r>
        <w:rPr>
          <w:rFonts w:hint="eastAsia" w:ascii="宋体" w:hAnsi="宋体" w:eastAsia="宋体"/>
          <w:b/>
          <w:bCs/>
          <w:sz w:val="28"/>
          <w:szCs w:val="28"/>
          <w:lang w:val="en-US" w:eastAsia="zh-CN"/>
        </w:rPr>
        <w:t>采购</w:t>
      </w:r>
      <w:r>
        <w:rPr>
          <w:rFonts w:hint="eastAsia" w:ascii="宋体" w:hAnsi="宋体" w:eastAsia="宋体"/>
          <w:b/>
          <w:bCs/>
          <w:sz w:val="28"/>
          <w:szCs w:val="28"/>
        </w:rPr>
        <w:t>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5140808B">
      <w:pPr>
        <w:pStyle w:val="13"/>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1463AC63">
      <w:pPr>
        <w:spacing w:line="520" w:lineRule="exact"/>
        <w:rPr>
          <w:rFonts w:ascii="宋体" w:hAnsi="宋体"/>
          <w:b/>
          <w:sz w:val="28"/>
          <w:szCs w:val="28"/>
          <w:lang w:val="zh-CN"/>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7</w:t>
      </w:r>
    </w:p>
    <w:p w14:paraId="0FF031F7">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31C14348">
      <w:pPr>
        <w:rPr>
          <w:rFonts w:ascii="宋体" w:hAnsi="宋体"/>
          <w:b/>
          <w:sz w:val="28"/>
          <w:szCs w:val="28"/>
        </w:rPr>
      </w:pPr>
    </w:p>
    <w:p w14:paraId="4A77FBAE">
      <w:pPr>
        <w:rPr>
          <w:rFonts w:ascii="宋体" w:hAnsi="宋体"/>
          <w:b/>
          <w:sz w:val="28"/>
          <w:szCs w:val="28"/>
        </w:rPr>
      </w:pPr>
    </w:p>
    <w:p w14:paraId="7D432E72">
      <w:pPr>
        <w:widowControl/>
        <w:jc w:val="left"/>
        <w:rPr>
          <w:rFonts w:ascii="宋体" w:hAnsi="宋体"/>
          <w:b/>
          <w:sz w:val="28"/>
          <w:szCs w:val="28"/>
        </w:rPr>
      </w:pPr>
      <w:r>
        <w:rPr>
          <w:rFonts w:ascii="宋体" w:hAnsi="宋体"/>
          <w:b/>
          <w:sz w:val="28"/>
          <w:szCs w:val="28"/>
        </w:rPr>
        <w:br w:type="page"/>
      </w:r>
    </w:p>
    <w:bookmarkEnd w:id="5"/>
    <w:p w14:paraId="4B287ADC">
      <w:pPr>
        <w:pStyle w:val="3"/>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rPr>
        <w:t>谈判</w:t>
      </w:r>
      <w:r>
        <w:rPr>
          <w:rFonts w:hint="eastAsia" w:ascii="宋体" w:hAnsi="宋体"/>
          <w:lang w:val="en-US" w:eastAsia="zh-CN"/>
        </w:rPr>
        <w:t>采购</w:t>
      </w:r>
      <w:r>
        <w:rPr>
          <w:rFonts w:hint="eastAsia" w:ascii="宋体" w:hAnsi="宋体"/>
        </w:rPr>
        <w:t>公告</w:t>
      </w:r>
    </w:p>
    <w:p w14:paraId="3E8F78B5">
      <w:pPr>
        <w:jc w:val="center"/>
        <w:rPr>
          <w:rFonts w:ascii="宋体" w:hAnsi="宋体" w:cs="宋体"/>
          <w:b/>
          <w:sz w:val="32"/>
          <w:szCs w:val="32"/>
        </w:rPr>
      </w:pPr>
      <w:bookmarkStart w:id="6" w:name="_Toc440556695"/>
      <w:bookmarkStart w:id="7" w:name="OLE_LINK7"/>
      <w:bookmarkStart w:id="8" w:name="_Toc415675642"/>
      <w:bookmarkStart w:id="9" w:name="OLE_LINK4"/>
      <w:bookmarkStart w:id="10" w:name="_Toc415675120"/>
      <w:bookmarkStart w:id="11" w:name="OLE_LINK1"/>
      <w:r>
        <w:rPr>
          <w:rFonts w:hint="eastAsia" w:ascii="宋体" w:hAnsi="宋体" w:cs="宋体"/>
          <w:b/>
          <w:sz w:val="32"/>
          <w:szCs w:val="32"/>
        </w:rPr>
        <w:t>国际复材</w:t>
      </w:r>
      <w:r>
        <w:rPr>
          <w:rFonts w:hint="eastAsia" w:ascii="宋体" w:hAnsi="宋体" w:cs="宋体"/>
          <w:b/>
          <w:sz w:val="32"/>
          <w:szCs w:val="32"/>
          <w:lang w:val="en-US" w:eastAsia="zh-CN"/>
        </w:rPr>
        <w:t>长寿厂区</w:t>
      </w:r>
      <w:r>
        <w:rPr>
          <w:rFonts w:hint="eastAsia" w:ascii="宋体" w:hAnsi="宋体" w:cs="宋体"/>
          <w:b/>
          <w:sz w:val="32"/>
          <w:szCs w:val="32"/>
        </w:rPr>
        <w:t>202</w:t>
      </w:r>
      <w:r>
        <w:rPr>
          <w:rFonts w:hint="eastAsia" w:ascii="宋体" w:hAnsi="宋体" w:cs="宋体"/>
          <w:b/>
          <w:sz w:val="32"/>
          <w:szCs w:val="32"/>
          <w:lang w:val="en-US" w:eastAsia="zh-CN"/>
        </w:rPr>
        <w:t>7</w:t>
      </w:r>
      <w:r>
        <w:rPr>
          <w:rFonts w:hint="eastAsia" w:ascii="宋体" w:hAnsi="宋体" w:cs="宋体"/>
          <w:b/>
          <w:sz w:val="32"/>
          <w:szCs w:val="32"/>
        </w:rPr>
        <w:t>年消防设施维护保养</w:t>
      </w:r>
      <w:r>
        <w:rPr>
          <w:rFonts w:hint="eastAsia" w:ascii="宋体" w:hAnsi="宋体" w:cs="宋体"/>
          <w:b/>
          <w:sz w:val="32"/>
          <w:szCs w:val="32"/>
          <w:lang w:val="en-US" w:eastAsia="zh-CN"/>
        </w:rPr>
        <w:t>服务谈判</w:t>
      </w:r>
      <w:r>
        <w:rPr>
          <w:rFonts w:hint="eastAsia" w:ascii="宋体" w:hAnsi="宋体" w:cs="宋体"/>
          <w:b/>
          <w:sz w:val="32"/>
          <w:szCs w:val="32"/>
        </w:rPr>
        <w:t>采购</w:t>
      </w:r>
    </w:p>
    <w:p w14:paraId="111287A2">
      <w:pPr>
        <w:spacing w:line="440" w:lineRule="exact"/>
        <w:jc w:val="left"/>
        <w:outlineLvl w:val="0"/>
        <w:rPr>
          <w:rFonts w:hint="eastAsia" w:ascii="宋体" w:hAnsi="宋体" w:eastAsia="宋体" w:cs="Times New Roman"/>
          <w:b/>
          <w:snapToGrid w:val="0"/>
          <w:kern w:val="0"/>
          <w:szCs w:val="21"/>
        </w:rPr>
      </w:pPr>
      <w:bookmarkStart w:id="12" w:name="_Toc4962"/>
      <w:bookmarkStart w:id="13" w:name="_Toc10497"/>
      <w:bookmarkStart w:id="14" w:name="_Toc14729"/>
      <w:bookmarkStart w:id="15" w:name="_Toc27508"/>
      <w:bookmarkStart w:id="16" w:name="_Toc29382"/>
      <w:bookmarkStart w:id="17" w:name="_Toc16466"/>
      <w:bookmarkStart w:id="18" w:name="_Toc844"/>
      <w:bookmarkStart w:id="19" w:name="_Toc26356"/>
      <w:bookmarkStart w:id="20" w:name="_Toc30279"/>
      <w:bookmarkStart w:id="21" w:name="_Toc5554"/>
      <w:r>
        <w:rPr>
          <w:rFonts w:hint="eastAsia" w:ascii="宋体" w:hAnsi="宋体" w:eastAsia="宋体" w:cs="Times New Roman"/>
          <w:b/>
          <w:snapToGrid w:val="0"/>
          <w:kern w:val="0"/>
          <w:szCs w:val="21"/>
        </w:rPr>
        <w:t xml:space="preserve">1. </w:t>
      </w:r>
      <w:r>
        <w:rPr>
          <w:rFonts w:hint="eastAsia" w:ascii="宋体" w:hAnsi="宋体" w:eastAsia="宋体" w:cs="Times New Roman"/>
          <w:b/>
          <w:snapToGrid w:val="0"/>
          <w:kern w:val="0"/>
          <w:szCs w:val="21"/>
          <w:lang w:val="en-US" w:eastAsia="zh-CN"/>
        </w:rPr>
        <w:t>采购</w:t>
      </w:r>
      <w:r>
        <w:rPr>
          <w:rFonts w:hint="eastAsia" w:ascii="宋体" w:hAnsi="宋体" w:eastAsia="宋体" w:cs="Times New Roman"/>
          <w:b/>
          <w:snapToGrid w:val="0"/>
          <w:kern w:val="0"/>
          <w:szCs w:val="21"/>
        </w:rPr>
        <w:t>条件</w:t>
      </w:r>
    </w:p>
    <w:p w14:paraId="03EA41AF">
      <w:pPr>
        <w:ind w:firstLine="420" w:firstLineChars="200"/>
        <w:jc w:val="left"/>
        <w:rPr>
          <w:rFonts w:ascii="宋体" w:hAnsi="宋体" w:cs="宋体"/>
          <w:b/>
          <w:sz w:val="32"/>
          <w:szCs w:val="32"/>
        </w:rPr>
      </w:pPr>
      <w:r>
        <w:rPr>
          <w:rFonts w:hint="eastAsia" w:ascii="宋体" w:hAnsi="宋体" w:cs="宋体"/>
          <w:kern w:val="0"/>
          <w:szCs w:val="21"/>
        </w:rPr>
        <w:t>本项目为重庆国际复合材料股份有限公司“</w:t>
      </w:r>
      <w:r>
        <w:rPr>
          <w:rFonts w:hint="eastAsia" w:ascii="宋体" w:hAnsi="宋体" w:cs="宋体"/>
          <w:b/>
          <w:szCs w:val="21"/>
          <w:u w:val="single"/>
        </w:rPr>
        <w:t>国际复材</w:t>
      </w:r>
      <w:r>
        <w:rPr>
          <w:rFonts w:hint="eastAsia" w:ascii="宋体" w:hAnsi="宋体" w:cs="宋体"/>
          <w:b/>
          <w:szCs w:val="21"/>
          <w:u w:val="single"/>
          <w:lang w:val="en-US" w:eastAsia="zh-CN"/>
        </w:rPr>
        <w:t>长寿厂区</w:t>
      </w:r>
      <w:r>
        <w:rPr>
          <w:rFonts w:hint="eastAsia" w:ascii="宋体" w:hAnsi="宋体" w:cs="宋体"/>
          <w:b/>
          <w:szCs w:val="21"/>
          <w:u w:val="single"/>
        </w:rPr>
        <w:t>202</w:t>
      </w:r>
      <w:r>
        <w:rPr>
          <w:rFonts w:hint="eastAsia" w:ascii="宋体" w:hAnsi="宋体" w:cs="宋体"/>
          <w:b/>
          <w:szCs w:val="21"/>
          <w:u w:val="single"/>
          <w:lang w:val="en-US" w:eastAsia="zh-CN"/>
        </w:rPr>
        <w:t>7</w:t>
      </w:r>
      <w:r>
        <w:rPr>
          <w:rFonts w:hint="eastAsia" w:ascii="宋体" w:hAnsi="宋体" w:cs="宋体"/>
          <w:b/>
          <w:szCs w:val="21"/>
          <w:u w:val="single"/>
        </w:rPr>
        <w:t>年消防设施维护保养</w:t>
      </w:r>
      <w:r>
        <w:rPr>
          <w:rFonts w:hint="eastAsia" w:ascii="宋体" w:hAnsi="宋体" w:cs="宋体"/>
          <w:b/>
          <w:szCs w:val="21"/>
          <w:u w:val="single"/>
          <w:lang w:val="en-US" w:eastAsia="zh-CN"/>
        </w:rPr>
        <w:t>服务谈判</w:t>
      </w:r>
      <w:r>
        <w:rPr>
          <w:rFonts w:hint="eastAsia" w:ascii="宋体" w:hAnsi="宋体" w:cs="宋体"/>
          <w:b/>
          <w:szCs w:val="21"/>
          <w:u w:val="single"/>
        </w:rPr>
        <w:t>采购”</w:t>
      </w:r>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业主自筹</w:t>
      </w:r>
      <w:r>
        <w:rPr>
          <w:rFonts w:hint="eastAsia" w:ascii="宋体" w:hAnsi="宋体" w:cs="宋体"/>
          <w:kern w:val="0"/>
          <w:szCs w:val="21"/>
        </w:rPr>
        <w:t>；本项目已具备谈判</w:t>
      </w:r>
      <w:r>
        <w:rPr>
          <w:rFonts w:hint="eastAsia" w:ascii="宋体" w:hAnsi="宋体" w:cs="宋体"/>
          <w:kern w:val="0"/>
          <w:szCs w:val="21"/>
          <w:lang w:val="en-US" w:eastAsia="zh-CN"/>
        </w:rPr>
        <w:t>采购</w:t>
      </w:r>
      <w:r>
        <w:rPr>
          <w:rFonts w:hint="eastAsia" w:ascii="宋体" w:hAnsi="宋体" w:cs="宋体"/>
          <w:kern w:val="0"/>
          <w:szCs w:val="21"/>
        </w:rPr>
        <w:t>条件，现对重庆国际复合材料股份有限公司</w:t>
      </w:r>
      <w:r>
        <w:rPr>
          <w:rFonts w:hint="eastAsia" w:ascii="宋体" w:hAnsi="宋体" w:cs="宋体"/>
          <w:b/>
          <w:szCs w:val="21"/>
          <w:u w:val="single"/>
        </w:rPr>
        <w:t>　国际复材</w:t>
      </w:r>
      <w:r>
        <w:rPr>
          <w:rFonts w:hint="eastAsia" w:ascii="宋体" w:hAnsi="宋体" w:cs="宋体"/>
          <w:b/>
          <w:szCs w:val="21"/>
          <w:u w:val="single"/>
          <w:lang w:val="en-US" w:eastAsia="zh-CN"/>
        </w:rPr>
        <w:t>长寿厂区</w:t>
      </w:r>
      <w:r>
        <w:rPr>
          <w:rFonts w:hint="eastAsia" w:ascii="宋体" w:hAnsi="宋体" w:cs="宋体"/>
          <w:b/>
          <w:szCs w:val="21"/>
          <w:u w:val="single"/>
        </w:rPr>
        <w:t>202</w:t>
      </w:r>
      <w:r>
        <w:rPr>
          <w:rFonts w:hint="eastAsia" w:ascii="宋体" w:hAnsi="宋体" w:cs="宋体"/>
          <w:b/>
          <w:szCs w:val="21"/>
          <w:u w:val="single"/>
          <w:lang w:val="en-US" w:eastAsia="zh-CN"/>
        </w:rPr>
        <w:t>7</w:t>
      </w:r>
      <w:r>
        <w:rPr>
          <w:rFonts w:hint="eastAsia" w:ascii="宋体" w:hAnsi="宋体" w:cs="宋体"/>
          <w:b/>
          <w:szCs w:val="21"/>
          <w:u w:val="single"/>
        </w:rPr>
        <w:t>年消防设施维护保养</w:t>
      </w:r>
      <w:r>
        <w:rPr>
          <w:rFonts w:hint="eastAsia" w:ascii="宋体" w:hAnsi="宋体" w:cs="宋体"/>
          <w:b/>
          <w:szCs w:val="21"/>
          <w:u w:val="single"/>
          <w:lang w:val="en-US" w:eastAsia="zh-CN"/>
        </w:rPr>
        <w:t>服务谈判</w:t>
      </w:r>
      <w:r>
        <w:rPr>
          <w:rFonts w:hint="eastAsia" w:ascii="宋体" w:hAnsi="宋体" w:cs="宋体"/>
          <w:b/>
          <w:szCs w:val="21"/>
          <w:u w:val="single"/>
        </w:rPr>
        <w:t>采购　</w:t>
      </w:r>
      <w:r>
        <w:rPr>
          <w:rFonts w:hint="eastAsia" w:ascii="宋体" w:hAnsi="宋体" w:cs="宋体"/>
          <w:kern w:val="0"/>
          <w:szCs w:val="21"/>
        </w:rPr>
        <w:t>进行谈判</w:t>
      </w:r>
      <w:r>
        <w:rPr>
          <w:rFonts w:hint="eastAsia" w:ascii="宋体" w:hAnsi="宋体" w:cs="宋体"/>
          <w:kern w:val="0"/>
          <w:szCs w:val="21"/>
          <w:lang w:val="en-US" w:eastAsia="zh-CN"/>
        </w:rPr>
        <w:t>采购</w:t>
      </w:r>
      <w:r>
        <w:rPr>
          <w:rFonts w:hint="eastAsia" w:ascii="宋体" w:hAnsi="宋体" w:cs="宋体"/>
          <w:kern w:val="0"/>
          <w:szCs w:val="21"/>
        </w:rPr>
        <w:t>，特邀有兴趣的潜在单位参与</w:t>
      </w:r>
      <w:r>
        <w:rPr>
          <w:rFonts w:hint="eastAsia" w:ascii="宋体" w:hAnsi="宋体" w:cs="宋体"/>
          <w:kern w:val="0"/>
          <w:szCs w:val="21"/>
          <w:lang w:val="en-US" w:eastAsia="zh-CN"/>
        </w:rPr>
        <w:t>报价</w:t>
      </w:r>
      <w:r>
        <w:rPr>
          <w:rFonts w:hint="eastAsia" w:ascii="宋体" w:hAnsi="宋体" w:cs="宋体"/>
          <w:kern w:val="0"/>
          <w:szCs w:val="21"/>
        </w:rPr>
        <w:t>谈判。</w:t>
      </w:r>
    </w:p>
    <w:p w14:paraId="29E7575C">
      <w:pPr>
        <w:spacing w:line="440" w:lineRule="exact"/>
        <w:jc w:val="left"/>
        <w:outlineLvl w:val="0"/>
        <w:rPr>
          <w:rFonts w:hint="default" w:ascii="宋体" w:hAnsi="宋体" w:eastAsia="宋体"/>
          <w:b/>
          <w:snapToGrid w:val="0"/>
          <w:kern w:val="0"/>
          <w:szCs w:val="21"/>
          <w:lang w:val="en-US" w:eastAsia="zh-CN"/>
        </w:rPr>
      </w:pPr>
      <w:r>
        <w:rPr>
          <w:rFonts w:hint="eastAsia" w:ascii="宋体" w:hAnsi="宋体"/>
          <w:b/>
          <w:snapToGrid w:val="0"/>
          <w:kern w:val="0"/>
          <w:szCs w:val="21"/>
        </w:rPr>
        <w:t>2. 项目</w:t>
      </w:r>
      <w:r>
        <w:rPr>
          <w:rFonts w:hint="eastAsia" w:ascii="宋体" w:hAnsi="宋体"/>
          <w:b/>
          <w:snapToGrid w:val="0"/>
          <w:kern w:val="0"/>
          <w:szCs w:val="21"/>
          <w:lang w:val="en-US" w:eastAsia="zh-CN"/>
        </w:rPr>
        <w:t>基本情况</w:t>
      </w:r>
    </w:p>
    <w:p w14:paraId="46AB4104">
      <w:pPr>
        <w:widowControl/>
        <w:tabs>
          <w:tab w:val="left" w:pos="8208"/>
          <w:tab w:val="left" w:pos="9072"/>
        </w:tabs>
        <w:suppressAutoHyphens/>
        <w:spacing w:line="440" w:lineRule="exact"/>
        <w:rPr>
          <w:rFonts w:ascii="宋体" w:hAnsi="宋体" w:cs="宋体"/>
          <w:bCs/>
          <w:color w:val="000000"/>
          <w:kern w:val="0"/>
          <w:szCs w:val="21"/>
          <w:u w:val="single"/>
        </w:rPr>
      </w:pPr>
      <w:r>
        <w:rPr>
          <w:rFonts w:hint="eastAsia" w:ascii="宋体" w:hAnsi="宋体" w:cs="宋体"/>
          <w:kern w:val="0"/>
          <w:szCs w:val="21"/>
        </w:rPr>
        <w:t>2.1 项目</w:t>
      </w:r>
      <w:r>
        <w:rPr>
          <w:rFonts w:hint="eastAsia" w:ascii="宋体" w:hAnsi="宋体" w:cs="宋体"/>
          <w:color w:val="000000"/>
          <w:kern w:val="0"/>
          <w:szCs w:val="21"/>
        </w:rPr>
        <w:t>名称：</w:t>
      </w:r>
      <w:r>
        <w:rPr>
          <w:rFonts w:hint="eastAsia" w:ascii="宋体" w:hAnsi="宋体" w:cs="宋体"/>
          <w:color w:val="000000"/>
          <w:kern w:val="0"/>
          <w:szCs w:val="21"/>
          <w:u w:val="single"/>
        </w:rPr>
        <w:t>　</w:t>
      </w:r>
      <w:r>
        <w:rPr>
          <w:rFonts w:hint="eastAsia" w:ascii="宋体" w:hAnsi="宋体" w:eastAsia="宋体" w:cs="宋体"/>
          <w:b w:val="0"/>
          <w:bCs/>
          <w:color w:val="000000"/>
          <w:szCs w:val="21"/>
          <w:u w:val="single"/>
        </w:rPr>
        <w:t>国际复材</w:t>
      </w:r>
      <w:r>
        <w:rPr>
          <w:rFonts w:hint="eastAsia" w:ascii="宋体" w:hAnsi="宋体" w:cs="宋体"/>
          <w:b w:val="0"/>
          <w:bCs/>
          <w:color w:val="000000"/>
          <w:szCs w:val="21"/>
          <w:u w:val="single"/>
          <w:lang w:val="en-US" w:eastAsia="zh-CN"/>
        </w:rPr>
        <w:t>长寿厂区</w:t>
      </w:r>
      <w:r>
        <w:rPr>
          <w:rFonts w:hint="eastAsia" w:ascii="宋体" w:hAnsi="宋体" w:eastAsia="宋体" w:cs="宋体"/>
          <w:b w:val="0"/>
          <w:bCs/>
          <w:color w:val="000000"/>
          <w:szCs w:val="21"/>
          <w:u w:val="single"/>
        </w:rPr>
        <w:t>202</w:t>
      </w:r>
      <w:r>
        <w:rPr>
          <w:rFonts w:hint="eastAsia" w:ascii="宋体" w:hAnsi="宋体" w:eastAsia="宋体" w:cs="宋体"/>
          <w:b w:val="0"/>
          <w:bCs/>
          <w:color w:val="000000"/>
          <w:szCs w:val="21"/>
          <w:u w:val="single"/>
          <w:lang w:val="en-US" w:eastAsia="zh-CN"/>
        </w:rPr>
        <w:t>7</w:t>
      </w:r>
      <w:r>
        <w:rPr>
          <w:rFonts w:hint="eastAsia" w:ascii="宋体" w:hAnsi="宋体" w:eastAsia="宋体" w:cs="宋体"/>
          <w:b w:val="0"/>
          <w:bCs/>
          <w:color w:val="000000"/>
          <w:szCs w:val="21"/>
          <w:u w:val="single"/>
        </w:rPr>
        <w:t>年消防设施维护保养</w:t>
      </w:r>
      <w:r>
        <w:rPr>
          <w:rFonts w:hint="eastAsia" w:ascii="宋体" w:hAnsi="宋体" w:eastAsia="宋体" w:cs="宋体"/>
          <w:b w:val="0"/>
          <w:bCs/>
          <w:color w:val="000000"/>
          <w:szCs w:val="21"/>
          <w:u w:val="single"/>
          <w:lang w:val="en-US" w:eastAsia="zh-CN"/>
        </w:rPr>
        <w:t>服务谈判</w:t>
      </w:r>
      <w:r>
        <w:rPr>
          <w:rFonts w:hint="eastAsia" w:ascii="宋体" w:hAnsi="宋体" w:eastAsia="宋体" w:cs="宋体"/>
          <w:b w:val="0"/>
          <w:bCs/>
          <w:color w:val="000000"/>
          <w:szCs w:val="21"/>
          <w:u w:val="single"/>
        </w:rPr>
        <w:t>采购</w:t>
      </w:r>
    </w:p>
    <w:p w14:paraId="1068F907">
      <w:pPr>
        <w:widowControl/>
        <w:tabs>
          <w:tab w:val="left" w:pos="5865"/>
        </w:tabs>
        <w:spacing w:line="360" w:lineRule="auto"/>
        <w:textAlignment w:val="center"/>
        <w:rPr>
          <w:rFonts w:ascii="宋体" w:hAnsi="宋体" w:cs="仿宋"/>
          <w:color w:val="000000"/>
          <w:szCs w:val="21"/>
        </w:rPr>
      </w:pPr>
      <w:r>
        <w:rPr>
          <w:rFonts w:hint="eastAsia" w:ascii="宋体" w:hAnsi="宋体"/>
          <w:color w:val="000000"/>
          <w:szCs w:val="21"/>
        </w:rPr>
        <w:t xml:space="preserve">2.2 </w:t>
      </w:r>
      <w:r>
        <w:rPr>
          <w:rFonts w:hint="eastAsia" w:ascii="宋体" w:hAnsi="宋体"/>
          <w:color w:val="000000"/>
          <w:szCs w:val="21"/>
          <w:lang w:val="en-US" w:eastAsia="zh-CN"/>
        </w:rPr>
        <w:t>采购范围</w:t>
      </w:r>
      <w:r>
        <w:rPr>
          <w:rFonts w:hint="eastAsia" w:ascii="宋体" w:hAnsi="宋体"/>
          <w:color w:val="000000"/>
          <w:szCs w:val="21"/>
        </w:rPr>
        <w:t>：</w:t>
      </w:r>
      <w:r>
        <w:rPr>
          <w:rFonts w:hint="eastAsia" w:ascii="宋体" w:hAnsi="宋体" w:cs="宋体"/>
          <w:b w:val="0"/>
          <w:bCs/>
          <w:color w:val="000000"/>
          <w:szCs w:val="21"/>
          <w:u w:val="single"/>
        </w:rPr>
        <w:t>对公司</w:t>
      </w:r>
      <w:r>
        <w:rPr>
          <w:rFonts w:hint="eastAsia" w:ascii="宋体" w:hAnsi="宋体" w:cs="宋体"/>
          <w:b w:val="0"/>
          <w:bCs/>
          <w:color w:val="000000"/>
          <w:szCs w:val="21"/>
          <w:u w:val="single"/>
          <w:lang w:val="en-US" w:eastAsia="zh-CN"/>
        </w:rPr>
        <w:t>长寿厂区进行</w:t>
      </w:r>
      <w:r>
        <w:rPr>
          <w:rFonts w:hint="eastAsia" w:ascii="宋体" w:hAnsi="宋体" w:cs="宋体"/>
          <w:b w:val="0"/>
          <w:bCs/>
          <w:color w:val="000000"/>
          <w:szCs w:val="21"/>
          <w:u w:val="single"/>
        </w:rPr>
        <w:t>消防设施维护保养</w:t>
      </w:r>
      <w:r>
        <w:rPr>
          <w:rFonts w:hint="eastAsia" w:ascii="宋体" w:hAnsi="宋体" w:cs="宋体"/>
          <w:b w:val="0"/>
          <w:bCs/>
          <w:color w:val="000000"/>
          <w:szCs w:val="21"/>
          <w:u w:val="single"/>
          <w:lang w:eastAsia="zh-CN"/>
        </w:rPr>
        <w:t>。</w:t>
      </w:r>
      <w:r>
        <w:rPr>
          <w:rFonts w:hint="eastAsia" w:ascii="宋体" w:hAnsi="宋体" w:cs="宋体"/>
          <w:b w:val="0"/>
          <w:bCs/>
          <w:color w:val="000000"/>
          <w:szCs w:val="21"/>
          <w:u w:val="single"/>
          <w:lang w:val="en-US" w:eastAsia="zh-CN"/>
        </w:rPr>
        <w:t>范围包括：</w:t>
      </w:r>
      <w:r>
        <w:rPr>
          <w:rFonts w:hint="eastAsia" w:ascii="宋体" w:hAnsi="宋体" w:eastAsia="宋体" w:cs="宋体"/>
          <w:b w:val="0"/>
          <w:bCs/>
          <w:color w:val="000000"/>
          <w:szCs w:val="21"/>
          <w:u w:val="single"/>
          <w:lang w:val="en-US" w:eastAsia="zh-CN"/>
        </w:rPr>
        <w:t>①.</w:t>
      </w:r>
      <w:r>
        <w:rPr>
          <w:rFonts w:hint="eastAsia" w:ascii="宋体" w:hAnsi="宋体" w:eastAsia="宋体" w:cs="宋体"/>
          <w:b w:val="0"/>
          <w:bCs/>
          <w:color w:val="000000"/>
          <w:szCs w:val="21"/>
          <w:u w:val="single"/>
        </w:rPr>
        <w:t>火灾自动报警及联动控制系统；</w:t>
      </w:r>
      <w:r>
        <w:rPr>
          <w:rFonts w:hint="eastAsia" w:ascii="宋体" w:hAnsi="宋体" w:eastAsia="宋体" w:cs="宋体"/>
          <w:b w:val="0"/>
          <w:bCs/>
          <w:color w:val="000000"/>
          <w:szCs w:val="21"/>
          <w:u w:val="single"/>
          <w:lang w:val="en-US" w:eastAsia="zh-CN"/>
        </w:rPr>
        <w:t>②.</w:t>
      </w:r>
      <w:r>
        <w:rPr>
          <w:rFonts w:hint="eastAsia" w:ascii="宋体" w:hAnsi="宋体" w:eastAsia="宋体" w:cs="宋体"/>
          <w:b w:val="0"/>
          <w:bCs/>
          <w:color w:val="000000"/>
          <w:szCs w:val="21"/>
          <w:u w:val="single"/>
        </w:rPr>
        <w:t>消火栓给水系统；</w:t>
      </w:r>
      <w:r>
        <w:rPr>
          <w:rFonts w:hint="eastAsia" w:ascii="宋体" w:hAnsi="宋体" w:eastAsia="宋体" w:cs="宋体"/>
          <w:b w:val="0"/>
          <w:bCs/>
          <w:color w:val="000000"/>
          <w:szCs w:val="21"/>
          <w:u w:val="single"/>
          <w:lang w:val="en-US" w:eastAsia="zh-CN"/>
        </w:rPr>
        <w:t>③.</w:t>
      </w:r>
      <w:r>
        <w:rPr>
          <w:rFonts w:hint="eastAsia" w:ascii="宋体" w:hAnsi="宋体" w:eastAsia="宋体" w:cs="宋体"/>
          <w:b w:val="0"/>
          <w:bCs/>
          <w:color w:val="000000"/>
          <w:szCs w:val="21"/>
          <w:u w:val="single"/>
        </w:rPr>
        <w:t>自动喷水灭火系统；</w:t>
      </w:r>
      <w:r>
        <w:rPr>
          <w:rFonts w:hint="eastAsia" w:ascii="宋体" w:hAnsi="宋体" w:eastAsia="宋体" w:cs="宋体"/>
          <w:b w:val="0"/>
          <w:bCs/>
          <w:color w:val="000000"/>
          <w:szCs w:val="21"/>
          <w:u w:val="single"/>
          <w:lang w:val="en-US" w:eastAsia="zh-CN"/>
        </w:rPr>
        <w:t>④.</w:t>
      </w:r>
      <w:r>
        <w:rPr>
          <w:rFonts w:hint="eastAsia" w:ascii="宋体" w:hAnsi="宋体" w:eastAsia="宋体" w:cs="宋体"/>
          <w:b w:val="0"/>
          <w:bCs/>
          <w:color w:val="000000"/>
          <w:szCs w:val="21"/>
          <w:u w:val="single"/>
        </w:rPr>
        <w:t>气体灭火系统；</w:t>
      </w:r>
      <w:r>
        <w:rPr>
          <w:rFonts w:hint="eastAsia" w:ascii="宋体" w:hAnsi="宋体" w:eastAsia="宋体" w:cs="宋体"/>
          <w:b w:val="0"/>
          <w:bCs/>
          <w:color w:val="000000"/>
          <w:szCs w:val="21"/>
          <w:u w:val="single"/>
          <w:lang w:val="en-US" w:eastAsia="zh-CN"/>
        </w:rPr>
        <w:t>⑤.</w:t>
      </w:r>
      <w:r>
        <w:rPr>
          <w:rFonts w:hint="eastAsia" w:ascii="宋体" w:hAnsi="宋体" w:eastAsia="宋体" w:cs="宋体"/>
          <w:b w:val="0"/>
          <w:bCs/>
          <w:color w:val="000000"/>
          <w:szCs w:val="21"/>
          <w:u w:val="single"/>
        </w:rPr>
        <w:t>泡沫灭火系统</w:t>
      </w:r>
      <w:r>
        <w:rPr>
          <w:rFonts w:hint="eastAsia" w:ascii="宋体" w:hAnsi="宋体" w:eastAsia="宋体" w:cs="宋体"/>
          <w:b w:val="0"/>
          <w:bCs/>
          <w:color w:val="000000"/>
          <w:szCs w:val="21"/>
          <w:u w:val="single"/>
          <w:lang w:eastAsia="zh-CN"/>
        </w:rPr>
        <w:t>；</w:t>
      </w:r>
      <w:r>
        <w:rPr>
          <w:rFonts w:hint="eastAsia" w:ascii="宋体" w:hAnsi="宋体" w:eastAsia="宋体" w:cs="宋体"/>
          <w:b w:val="0"/>
          <w:bCs/>
          <w:color w:val="000000"/>
          <w:szCs w:val="21"/>
          <w:u w:val="single"/>
          <w:lang w:val="en-US" w:eastAsia="zh-CN"/>
        </w:rPr>
        <w:t>⑥.</w:t>
      </w:r>
      <w:r>
        <w:rPr>
          <w:rFonts w:hint="eastAsia" w:ascii="宋体" w:hAnsi="宋体" w:eastAsia="宋体" w:cs="宋体"/>
          <w:b w:val="0"/>
          <w:bCs/>
          <w:color w:val="000000"/>
          <w:szCs w:val="21"/>
          <w:u w:val="single"/>
        </w:rPr>
        <w:t>防排烟系统；</w:t>
      </w:r>
      <w:r>
        <w:rPr>
          <w:rFonts w:hint="eastAsia" w:ascii="宋体" w:hAnsi="宋体" w:eastAsia="宋体" w:cs="宋体"/>
          <w:b w:val="0"/>
          <w:bCs/>
          <w:color w:val="000000"/>
          <w:szCs w:val="21"/>
          <w:u w:val="single"/>
          <w:lang w:val="en-US" w:eastAsia="zh-CN"/>
        </w:rPr>
        <w:t>⑦.干粉灭火系统</w:t>
      </w:r>
      <w:r>
        <w:rPr>
          <w:rFonts w:hint="eastAsia" w:ascii="宋体" w:hAnsi="宋体" w:eastAsia="宋体" w:cs="宋体"/>
          <w:b w:val="0"/>
          <w:bCs/>
          <w:color w:val="000000"/>
          <w:szCs w:val="21"/>
          <w:u w:val="single"/>
        </w:rPr>
        <w:t>；</w:t>
      </w:r>
      <w:r>
        <w:rPr>
          <w:rFonts w:hint="eastAsia" w:ascii="宋体" w:hAnsi="宋体" w:eastAsia="宋体" w:cs="宋体"/>
          <w:b w:val="0"/>
          <w:bCs/>
          <w:color w:val="000000"/>
          <w:szCs w:val="21"/>
          <w:u w:val="single"/>
          <w:lang w:val="en-US" w:eastAsia="zh-CN"/>
        </w:rPr>
        <w:t>⑧.</w:t>
      </w:r>
      <w:r>
        <w:rPr>
          <w:rFonts w:hint="eastAsia" w:ascii="宋体" w:hAnsi="宋体" w:eastAsia="宋体" w:cs="宋体"/>
          <w:b w:val="0"/>
          <w:bCs/>
          <w:color w:val="000000"/>
          <w:szCs w:val="21"/>
          <w:u w:val="single"/>
        </w:rPr>
        <w:t>防火分隔设施（防火卷帘）；</w:t>
      </w:r>
      <w:r>
        <w:rPr>
          <w:rFonts w:hint="eastAsia" w:ascii="宋体" w:hAnsi="宋体" w:eastAsia="宋体" w:cs="宋体"/>
          <w:b w:val="0"/>
          <w:bCs/>
          <w:color w:val="000000"/>
          <w:szCs w:val="21"/>
          <w:u w:val="single"/>
          <w:lang w:val="en-US" w:eastAsia="zh-CN"/>
        </w:rPr>
        <w:t>⑨.</w:t>
      </w:r>
      <w:r>
        <w:rPr>
          <w:rFonts w:hint="eastAsia" w:ascii="宋体" w:hAnsi="宋体" w:eastAsia="宋体" w:cs="宋体"/>
          <w:b w:val="0"/>
          <w:bCs/>
          <w:color w:val="000000"/>
          <w:szCs w:val="21"/>
          <w:u w:val="single"/>
        </w:rPr>
        <w:t>消防电气</w:t>
      </w:r>
      <w:r>
        <w:rPr>
          <w:rFonts w:hint="eastAsia" w:ascii="宋体" w:hAnsi="宋体" w:eastAsia="宋体" w:cs="宋体"/>
          <w:b w:val="0"/>
          <w:bCs/>
          <w:color w:val="000000"/>
          <w:szCs w:val="21"/>
          <w:u w:val="single"/>
          <w:lang w:val="en-US" w:eastAsia="zh-CN"/>
        </w:rPr>
        <w:t>系统</w:t>
      </w:r>
      <w:r>
        <w:rPr>
          <w:rFonts w:hint="eastAsia" w:ascii="宋体" w:hAnsi="宋体" w:eastAsia="宋体" w:cs="宋体"/>
          <w:b w:val="0"/>
          <w:bCs/>
          <w:color w:val="000000"/>
          <w:szCs w:val="21"/>
          <w:u w:val="single"/>
        </w:rPr>
        <w:t>(应急照明及</w:t>
      </w:r>
      <w:r>
        <w:rPr>
          <w:rFonts w:hint="eastAsia" w:ascii="宋体" w:hAnsi="宋体" w:cs="宋体"/>
          <w:b w:val="0"/>
          <w:bCs/>
          <w:color w:val="000000"/>
          <w:szCs w:val="21"/>
          <w:u w:val="single"/>
          <w:lang w:eastAsia="zh-CN"/>
        </w:rPr>
        <w:t>疏散</w:t>
      </w:r>
      <w:r>
        <w:rPr>
          <w:rFonts w:hint="eastAsia" w:ascii="宋体" w:hAnsi="宋体" w:eastAsia="宋体" w:cs="宋体"/>
          <w:b w:val="0"/>
          <w:bCs/>
          <w:color w:val="000000"/>
          <w:szCs w:val="21"/>
          <w:u w:val="single"/>
        </w:rPr>
        <w:t>标志）</w:t>
      </w:r>
      <w:r>
        <w:rPr>
          <w:rFonts w:hint="eastAsia" w:ascii="宋体" w:hAnsi="宋体" w:eastAsia="宋体" w:cs="宋体"/>
          <w:b w:val="0"/>
          <w:bCs/>
          <w:color w:val="000000"/>
          <w:szCs w:val="21"/>
          <w:u w:val="single"/>
          <w:lang w:eastAsia="zh-CN"/>
        </w:rPr>
        <w:t>；⑩</w:t>
      </w:r>
      <w:r>
        <w:rPr>
          <w:rFonts w:hint="eastAsia" w:ascii="宋体" w:hAnsi="宋体" w:eastAsia="宋体" w:cs="宋体"/>
          <w:b w:val="0"/>
          <w:bCs/>
          <w:color w:val="000000"/>
          <w:szCs w:val="21"/>
          <w:u w:val="single"/>
          <w:lang w:val="en-US" w:eastAsia="zh-CN"/>
        </w:rPr>
        <w:t>.</w:t>
      </w:r>
      <w:r>
        <w:rPr>
          <w:rFonts w:hint="eastAsia" w:ascii="宋体" w:hAnsi="宋体" w:eastAsia="宋体" w:cs="宋体"/>
          <w:b w:val="0"/>
          <w:bCs/>
          <w:color w:val="000000"/>
          <w:szCs w:val="21"/>
          <w:u w:val="single"/>
        </w:rPr>
        <w:t>其他建筑消防设施箱式消火栓、消防喷淋系统应急动力电源、防火门/防爆门、灭火器材</w:t>
      </w:r>
      <w:r>
        <w:rPr>
          <w:rFonts w:hint="eastAsia" w:ascii="宋体" w:hAnsi="宋体" w:eastAsia="宋体" w:cs="宋体"/>
          <w:b w:val="0"/>
          <w:bCs/>
          <w:color w:val="000000"/>
          <w:szCs w:val="21"/>
          <w:u w:val="single"/>
          <w:lang w:val="en-US" w:eastAsia="zh-CN"/>
        </w:rPr>
        <w:t>等</w:t>
      </w:r>
      <w:r>
        <w:rPr>
          <w:rFonts w:hint="eastAsia" w:ascii="宋体" w:hAnsi="宋体" w:eastAsia="宋体" w:cs="宋体"/>
          <w:b w:val="0"/>
          <w:bCs/>
          <w:color w:val="000000"/>
          <w:szCs w:val="21"/>
          <w:u w:val="single"/>
        </w:rPr>
        <w:t>。</w:t>
      </w:r>
    </w:p>
    <w:p w14:paraId="49C60630">
      <w:pPr>
        <w:topLinePunct/>
        <w:adjustRightInd w:val="0"/>
        <w:snapToGrid w:val="0"/>
        <w:spacing w:line="440" w:lineRule="exact"/>
        <w:rPr>
          <w:rFonts w:hint="default" w:ascii="宋体" w:hAnsi="宋体" w:eastAsia="宋体" w:cs="宋体"/>
          <w:kern w:val="0"/>
          <w:szCs w:val="21"/>
        </w:rPr>
      </w:pPr>
      <w:r>
        <w:rPr>
          <w:rFonts w:hint="eastAsia" w:ascii="宋体" w:hAnsi="宋体"/>
          <w:color w:val="000000"/>
          <w:szCs w:val="21"/>
        </w:rPr>
        <w:t xml:space="preserve">2.3 </w:t>
      </w:r>
      <w:r>
        <w:rPr>
          <w:rFonts w:hint="eastAsia" w:ascii="宋体" w:hAnsi="宋体" w:eastAsia="宋体" w:cs="宋体"/>
          <w:kern w:val="0"/>
          <w:szCs w:val="21"/>
        </w:rPr>
        <w:t>采购服务</w:t>
      </w:r>
      <w:r>
        <w:rPr>
          <w:rFonts w:hint="default" w:ascii="宋体" w:hAnsi="宋体" w:eastAsia="宋体" w:cs="宋体"/>
          <w:kern w:val="0"/>
          <w:szCs w:val="21"/>
        </w:rPr>
        <w:t>期限：自合同签订之日起至委托事项完成之日止。</w:t>
      </w:r>
    </w:p>
    <w:p w14:paraId="04667EE9">
      <w:pPr>
        <w:topLinePunct/>
        <w:adjustRightInd w:val="0"/>
        <w:snapToGrid w:val="0"/>
        <w:spacing w:line="440" w:lineRule="exact"/>
        <w:rPr>
          <w:rFonts w:ascii="宋体" w:hAnsi="宋体"/>
          <w:szCs w:val="21"/>
        </w:rPr>
      </w:pPr>
      <w:r>
        <w:rPr>
          <w:rFonts w:hint="eastAsia" w:ascii="宋体" w:hAnsi="宋体" w:eastAsia="宋体" w:cs="宋体"/>
          <w:kern w:val="0"/>
          <w:szCs w:val="21"/>
        </w:rPr>
        <w:t xml:space="preserve">2.4 </w:t>
      </w:r>
      <w:r>
        <w:rPr>
          <w:rFonts w:hint="eastAsia" w:ascii="宋体" w:hAnsi="宋体" w:eastAsia="宋体" w:cs="宋体"/>
          <w:kern w:val="0"/>
          <w:szCs w:val="21"/>
          <w:lang w:val="en-US" w:eastAsia="zh-CN"/>
        </w:rPr>
        <w:t>服务</w:t>
      </w:r>
      <w:r>
        <w:rPr>
          <w:rFonts w:hint="eastAsia" w:ascii="宋体" w:hAnsi="宋体" w:eastAsia="宋体" w:cs="宋体"/>
          <w:kern w:val="0"/>
          <w:szCs w:val="21"/>
        </w:rPr>
        <w:t>地点：重庆国际复合材料股份有限公司</w:t>
      </w:r>
      <w:r>
        <w:rPr>
          <w:rFonts w:hint="eastAsia" w:ascii="宋体" w:hAnsi="宋体" w:cs="宋体"/>
          <w:kern w:val="0"/>
          <w:szCs w:val="21"/>
          <w:lang w:val="en-US" w:eastAsia="zh-CN"/>
        </w:rPr>
        <w:t>长寿厂区</w:t>
      </w:r>
      <w:r>
        <w:rPr>
          <w:rFonts w:hint="eastAsia" w:ascii="宋体" w:hAnsi="宋体" w:eastAsia="宋体" w:cs="宋体"/>
          <w:kern w:val="0"/>
          <w:szCs w:val="21"/>
        </w:rPr>
        <w:t>。</w:t>
      </w:r>
    </w:p>
    <w:p w14:paraId="08E18FF3">
      <w:pPr>
        <w:topLinePunct/>
        <w:adjustRightInd w:val="0"/>
        <w:snapToGrid w:val="0"/>
        <w:spacing w:line="440" w:lineRule="exact"/>
        <w:rPr>
          <w:rFonts w:ascii="宋体" w:hAnsi="宋体"/>
          <w:szCs w:val="21"/>
        </w:rPr>
      </w:pPr>
      <w:r>
        <w:rPr>
          <w:rFonts w:hint="eastAsia" w:ascii="宋体" w:hAnsi="宋体"/>
          <w:szCs w:val="21"/>
        </w:rPr>
        <w:t xml:space="preserve">2.5 </w:t>
      </w:r>
      <w:r>
        <w:rPr>
          <w:rFonts w:hint="eastAsia" w:ascii="宋体" w:hAnsi="宋体" w:cs="宋体"/>
          <w:kern w:val="0"/>
          <w:szCs w:val="21"/>
        </w:rPr>
        <w:t>该项目设置最高限价：人民币</w:t>
      </w:r>
      <w:r>
        <w:rPr>
          <w:rFonts w:hint="eastAsia" w:ascii="宋体" w:hAnsi="宋体" w:cs="宋体"/>
          <w:color w:val="FF0000"/>
          <w:kern w:val="0"/>
          <w:szCs w:val="21"/>
          <w:lang w:val="en-US" w:eastAsia="zh-CN"/>
        </w:rPr>
        <w:t>28</w:t>
      </w:r>
      <w:r>
        <w:rPr>
          <w:rFonts w:hint="eastAsia" w:ascii="宋体" w:hAnsi="宋体" w:cs="宋体"/>
          <w:kern w:val="0"/>
          <w:szCs w:val="21"/>
        </w:rPr>
        <w:t>万元，所有单位报价不得超过最高限价，</w:t>
      </w:r>
      <w:r>
        <w:rPr>
          <w:rFonts w:hint="eastAsia" w:ascii="宋体" w:hAnsi="宋体" w:cs="宋体"/>
          <w:szCs w:val="21"/>
        </w:rPr>
        <w:t>该最高限价的范围包括卖方为完成合同全部义务应承担的一切成本、费用和支出以及卖方的合理利润。</w:t>
      </w:r>
    </w:p>
    <w:p w14:paraId="6EEC738E">
      <w:pPr>
        <w:topLinePunct/>
        <w:adjustRightInd w:val="0"/>
        <w:snapToGrid w:val="0"/>
        <w:spacing w:line="440" w:lineRule="exact"/>
        <w:rPr>
          <w:rFonts w:ascii="宋体" w:hAnsi="宋体" w:cs="宋体"/>
          <w:color w:val="FF0000"/>
          <w:szCs w:val="21"/>
        </w:rPr>
      </w:pPr>
      <w:r>
        <w:rPr>
          <w:rFonts w:hint="eastAsia" w:ascii="宋体" w:hAnsi="宋体"/>
          <w:szCs w:val="21"/>
        </w:rPr>
        <w:t>2.6 付款方式：</w:t>
      </w:r>
      <w:r>
        <w:rPr>
          <w:rFonts w:hint="eastAsia" w:ascii="宋体" w:hAnsi="宋体" w:cs="宋体"/>
          <w:szCs w:val="21"/>
        </w:rPr>
        <w:t>现金电汇</w:t>
      </w:r>
      <w:r>
        <w:rPr>
          <w:rFonts w:hint="eastAsia" w:ascii="宋体" w:hAnsi="宋体" w:eastAsia="宋体" w:cs="宋体"/>
          <w:szCs w:val="21"/>
        </w:rPr>
        <w:t>。按照核定工作量完成及开具增值税专用发票后</w:t>
      </w:r>
      <w:r>
        <w:rPr>
          <w:rFonts w:hint="eastAsia" w:ascii="宋体" w:hAnsi="宋体" w:eastAsia="宋体" w:cs="宋体"/>
          <w:szCs w:val="21"/>
          <w:lang w:val="en-US" w:eastAsia="zh-CN"/>
        </w:rPr>
        <w:t>半年内。</w:t>
      </w:r>
    </w:p>
    <w:p w14:paraId="2D97F22C">
      <w:pPr>
        <w:spacing w:line="440" w:lineRule="exact"/>
        <w:jc w:val="left"/>
        <w:outlineLvl w:val="0"/>
        <w:rPr>
          <w:rFonts w:ascii="宋体" w:hAnsi="宋体"/>
          <w:b/>
          <w:snapToGrid w:val="0"/>
          <w:kern w:val="0"/>
          <w:szCs w:val="21"/>
        </w:rPr>
      </w:pPr>
      <w:r>
        <w:rPr>
          <w:rFonts w:hint="eastAsia" w:ascii="宋体" w:hAnsi="宋体"/>
          <w:b/>
          <w:snapToGrid w:val="0"/>
          <w:kern w:val="0"/>
          <w:szCs w:val="21"/>
        </w:rPr>
        <w:t>3. 供应商资格要求</w:t>
      </w:r>
    </w:p>
    <w:p w14:paraId="30CFA2B9">
      <w:pPr>
        <w:topLinePunct/>
        <w:adjustRightInd w:val="0"/>
        <w:snapToGrid w:val="0"/>
        <w:spacing w:line="440" w:lineRule="exact"/>
        <w:rPr>
          <w:rFonts w:ascii="宋体" w:hAnsi="宋体"/>
          <w:szCs w:val="21"/>
        </w:rPr>
      </w:pPr>
      <w:r>
        <w:rPr>
          <w:rFonts w:hint="eastAsia" w:ascii="宋体" w:hAnsi="宋体"/>
          <w:szCs w:val="21"/>
        </w:rPr>
        <w:t>3.1本次谈判</w:t>
      </w:r>
      <w:r>
        <w:rPr>
          <w:rFonts w:hint="eastAsia" w:ascii="宋体" w:hAnsi="宋体"/>
          <w:szCs w:val="21"/>
          <w:lang w:val="en-US" w:eastAsia="zh-CN"/>
        </w:rPr>
        <w:t>采购</w:t>
      </w:r>
      <w:r>
        <w:rPr>
          <w:rFonts w:hint="eastAsia" w:ascii="宋体" w:hAnsi="宋体"/>
          <w:szCs w:val="21"/>
        </w:rPr>
        <w:t>实行资格后审，供应商应满足下列资格条件：</w:t>
      </w:r>
    </w:p>
    <w:p w14:paraId="78A203A0">
      <w:pPr>
        <w:topLinePunct/>
        <w:adjustRightInd w:val="0"/>
        <w:snapToGrid w:val="0"/>
        <w:spacing w:line="440" w:lineRule="exact"/>
        <w:rPr>
          <w:rFonts w:hint="eastAsia" w:ascii="宋体" w:hAnsi="宋体" w:eastAsia="宋体" w:cs="Times New Roman"/>
          <w:szCs w:val="21"/>
        </w:rPr>
      </w:pPr>
      <w:r>
        <w:rPr>
          <w:rFonts w:hint="eastAsia" w:ascii="宋体" w:hAnsi="宋体"/>
          <w:szCs w:val="21"/>
        </w:rPr>
        <w:t>3.1.1</w:t>
      </w:r>
      <w:r>
        <w:rPr>
          <w:rFonts w:hint="eastAsia" w:ascii="宋体" w:hAnsi="宋体" w:eastAsia="宋体" w:cs="Times New Roman"/>
          <w:szCs w:val="21"/>
        </w:rPr>
        <w:t>企业须具有合格有效的营业执照</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近三年</w:t>
      </w:r>
      <w:r>
        <w:rPr>
          <w:rFonts w:hint="eastAsia" w:ascii="宋体" w:hAnsi="宋体" w:eastAsia="宋体" w:cs="Times New Roman"/>
          <w:szCs w:val="21"/>
        </w:rPr>
        <w:t>项目业绩</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主要包含化工、工贸行业业绩5个及以上</w:t>
      </w:r>
      <w:r>
        <w:rPr>
          <w:rFonts w:hint="eastAsia" w:ascii="宋体" w:hAnsi="宋体" w:eastAsia="宋体" w:cs="Times New Roman"/>
          <w:szCs w:val="21"/>
        </w:rPr>
        <w:t>。</w:t>
      </w:r>
    </w:p>
    <w:p w14:paraId="2F4F8616">
      <w:pPr>
        <w:topLinePunct/>
        <w:adjustRightInd w:val="0"/>
        <w:snapToGrid w:val="0"/>
        <w:spacing w:line="440" w:lineRule="exact"/>
        <w:rPr>
          <w:rFonts w:ascii="宋体" w:hAnsi="宋体"/>
          <w:szCs w:val="21"/>
        </w:rPr>
      </w:pPr>
      <w:r>
        <w:rPr>
          <w:rFonts w:hint="eastAsia" w:ascii="宋体" w:hAnsi="宋体"/>
          <w:szCs w:val="21"/>
        </w:rPr>
        <w:t>3.1.2</w:t>
      </w:r>
      <w:r>
        <w:rPr>
          <w:rFonts w:hint="eastAsia" w:ascii="宋体" w:hAnsi="宋体" w:eastAsia="宋体" w:cs="Times New Roman"/>
          <w:szCs w:val="21"/>
          <w:lang w:val="en-US" w:eastAsia="zh-CN"/>
        </w:rPr>
        <w:t>满足招标文件要求且近两年内未被工商、消防主管部门处罚过（需要出具相关证明及投标单位的承诺文件）</w:t>
      </w:r>
      <w:r>
        <w:rPr>
          <w:rFonts w:hint="eastAsia" w:ascii="宋体" w:hAnsi="宋体" w:eastAsia="宋体" w:cs="Times New Roman"/>
          <w:szCs w:val="21"/>
        </w:rPr>
        <w:t>。</w:t>
      </w:r>
    </w:p>
    <w:p w14:paraId="5C1E3537">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3.1.3企业需至少有两名人员取得一级注册消防工程师资格证书，项目负责人取得一级注册消防工程师资格证书。</w:t>
      </w:r>
    </w:p>
    <w:p w14:paraId="4DD62AAF">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3.1.4从事消防设施维修的人员需取得消防设施操作员国家职业资格证书（职业资格为消防设施操作员，职业方向为消防设施检测维修保养）。</w:t>
      </w:r>
    </w:p>
    <w:p w14:paraId="2C88BE13">
      <w:pPr>
        <w:topLinePunct/>
        <w:adjustRightInd w:val="0"/>
        <w:snapToGrid w:val="0"/>
        <w:spacing w:line="44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3.1.5企业应为“重庆市消防技术服务管理系统”中红名单，积分等级应为“A级（诚信优秀级）”。</w:t>
      </w:r>
    </w:p>
    <w:p w14:paraId="24F804FB">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3.1.6每次到场维护保养的人数至少为2人，要求每天均到厂区内进行巡查，发现故障及时处理。</w:t>
      </w:r>
    </w:p>
    <w:p w14:paraId="23E6CD99">
      <w:pPr>
        <w:topLinePunct/>
        <w:adjustRightInd w:val="0"/>
        <w:snapToGrid w:val="0"/>
        <w:spacing w:line="44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3.1.7消防技术服务基础设备和消防设施维护保养检测设备配备符合有关规定要求。</w:t>
      </w:r>
    </w:p>
    <w:p w14:paraId="43E26C60">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3.1.8在接到甲方消防设施故障的通知后应积极响应，一般故障24小时内到达现场处理，紧急故障（如消防风机不能正常启停、两台水泵同时不能正常启停、控制器故障与备用电源故障、消防管道突发性漏水现象）或业主方有特殊要求的情况下当天接到电话通知后半小时内到达现场处理，不能及时到场处理的按《安全环保协议》有关条款考核，合同期限内未按规定到达次数达3次将解除合同。</w:t>
      </w:r>
    </w:p>
    <w:p w14:paraId="0170D1B4">
      <w:pPr>
        <w:spacing w:line="440" w:lineRule="exact"/>
        <w:jc w:val="left"/>
        <w:outlineLvl w:val="0"/>
        <w:rPr>
          <w:rFonts w:ascii="宋体" w:hAnsi="宋体"/>
          <w:b/>
          <w:snapToGrid w:val="0"/>
          <w:kern w:val="0"/>
          <w:szCs w:val="21"/>
        </w:rPr>
      </w:pPr>
      <w:r>
        <w:rPr>
          <w:rFonts w:hint="eastAsia" w:ascii="宋体" w:hAnsi="宋体"/>
          <w:b/>
          <w:snapToGrid w:val="0"/>
          <w:kern w:val="0"/>
          <w:szCs w:val="21"/>
        </w:rPr>
        <w:t>4. 谈判规则</w:t>
      </w:r>
    </w:p>
    <w:p w14:paraId="7DDED1A9">
      <w:pPr>
        <w:topLinePunct/>
        <w:adjustRightInd w:val="0"/>
        <w:snapToGrid w:val="0"/>
        <w:spacing w:line="440" w:lineRule="exact"/>
        <w:rPr>
          <w:rFonts w:ascii="宋体" w:hAnsi="宋体"/>
          <w:color w:val="000000"/>
          <w:szCs w:val="21"/>
        </w:rPr>
      </w:pPr>
      <w:r>
        <w:rPr>
          <w:rFonts w:hint="eastAsia" w:ascii="宋体" w:hAnsi="宋体"/>
          <w:color w:val="000000"/>
          <w:szCs w:val="21"/>
        </w:rPr>
        <w:t>4.1谈判文件要求密封，并加盖单位公章。</w:t>
      </w:r>
    </w:p>
    <w:p w14:paraId="54EF5E8A">
      <w:pPr>
        <w:topLinePunct/>
        <w:adjustRightInd w:val="0"/>
        <w:snapToGrid w:val="0"/>
        <w:spacing w:line="440" w:lineRule="exact"/>
        <w:rPr>
          <w:rFonts w:ascii="宋体" w:hAnsi="宋体"/>
          <w:color w:val="000000"/>
          <w:szCs w:val="21"/>
        </w:rPr>
      </w:pPr>
      <w:r>
        <w:rPr>
          <w:rFonts w:hint="eastAsia" w:ascii="宋体" w:hAnsi="宋体"/>
          <w:color w:val="000000"/>
          <w:szCs w:val="21"/>
        </w:rPr>
        <w:t>4.2供应商</w:t>
      </w:r>
      <w:r>
        <w:rPr>
          <w:rFonts w:hint="eastAsia" w:ascii="宋体" w:hAnsi="宋体" w:cs="宋体"/>
          <w:color w:val="000000"/>
          <w:szCs w:val="21"/>
        </w:rPr>
        <w:t>应根据自身实力和对</w:t>
      </w:r>
      <w:r>
        <w:rPr>
          <w:rFonts w:hint="eastAsia" w:ascii="宋体" w:hAnsi="宋体" w:cs="宋体"/>
          <w:color w:val="000000"/>
          <w:szCs w:val="21"/>
          <w:lang w:eastAsia="zh-CN"/>
        </w:rPr>
        <w:t>谈判采购</w:t>
      </w:r>
      <w:r>
        <w:rPr>
          <w:rFonts w:hint="eastAsia" w:ascii="宋体" w:hAnsi="宋体" w:cs="宋体"/>
          <w:color w:val="000000"/>
          <w:szCs w:val="21"/>
        </w:rPr>
        <w:t>文件的理解，结合市场行情自主报价</w:t>
      </w:r>
      <w:r>
        <w:rPr>
          <w:rFonts w:hint="eastAsia" w:ascii="宋体" w:hAnsi="宋体"/>
          <w:color w:val="000000"/>
          <w:szCs w:val="21"/>
        </w:rPr>
        <w:t>。</w:t>
      </w:r>
    </w:p>
    <w:p w14:paraId="551F9C79">
      <w:pPr>
        <w:topLinePunct/>
        <w:adjustRightInd w:val="0"/>
        <w:snapToGrid w:val="0"/>
        <w:spacing w:line="440" w:lineRule="exact"/>
        <w:rPr>
          <w:rFonts w:hint="eastAsia" w:ascii="宋体" w:hAnsi="宋体" w:eastAsia="宋体" w:cs="Times New Roman"/>
          <w:color w:val="000000"/>
          <w:szCs w:val="21"/>
        </w:rPr>
      </w:pPr>
      <w:r>
        <w:rPr>
          <w:rFonts w:hint="eastAsia" w:ascii="宋体" w:hAnsi="宋体"/>
          <w:color w:val="000000"/>
          <w:szCs w:val="21"/>
        </w:rPr>
        <w:t>4.3谈判</w:t>
      </w:r>
      <w:r>
        <w:rPr>
          <w:rFonts w:hint="eastAsia" w:ascii="宋体" w:hAnsi="宋体" w:cs="宋体"/>
          <w:color w:val="000000"/>
          <w:szCs w:val="21"/>
        </w:rPr>
        <w:t>报价货币为人民币(RMB)，</w:t>
      </w:r>
      <w:r>
        <w:rPr>
          <w:rFonts w:hint="eastAsia" w:ascii="宋体" w:hAnsi="宋体"/>
          <w:color w:val="000000"/>
          <w:szCs w:val="21"/>
        </w:rPr>
        <w:t>应</w:t>
      </w:r>
      <w:r>
        <w:rPr>
          <w:rFonts w:hint="eastAsia" w:ascii="宋体" w:hAnsi="宋体" w:eastAsia="宋体" w:cs="Times New Roman"/>
          <w:color w:val="000000"/>
          <w:szCs w:val="21"/>
        </w:rPr>
        <w:t>包含</w:t>
      </w:r>
      <w:r>
        <w:rPr>
          <w:rFonts w:hint="eastAsia" w:ascii="宋体" w:hAnsi="宋体" w:eastAsia="宋体" w:cs="Times New Roman"/>
          <w:color w:val="000000"/>
          <w:szCs w:val="21"/>
          <w:lang w:val="en-US" w:eastAsia="zh-CN"/>
        </w:rPr>
        <w:t>消防设施部件维修材料费用清单</w:t>
      </w:r>
      <w:r>
        <w:rPr>
          <w:rFonts w:hint="eastAsia" w:ascii="宋体" w:hAnsi="宋体" w:eastAsia="宋体" w:cs="Times New Roman"/>
          <w:color w:val="000000"/>
          <w:szCs w:val="21"/>
        </w:rPr>
        <w:t>。</w:t>
      </w:r>
    </w:p>
    <w:p w14:paraId="6F407BF6">
      <w:pPr>
        <w:pStyle w:val="15"/>
        <w:spacing w:beforeAutospacing="0" w:afterAutospacing="0" w:line="420" w:lineRule="atLeast"/>
        <w:rPr>
          <w:rFonts w:ascii="宋体" w:hAnsi="宋体" w:cs="宋体"/>
          <w:sz w:val="21"/>
          <w:szCs w:val="21"/>
          <w:shd w:val="clear" w:color="auto" w:fill="FFFFFF"/>
        </w:rPr>
      </w:pPr>
      <w:r>
        <w:rPr>
          <w:rFonts w:hint="eastAsia" w:ascii="宋体" w:hAnsi="宋体"/>
          <w:color w:val="000000"/>
          <w:sz w:val="21"/>
          <w:szCs w:val="21"/>
        </w:rPr>
        <w:t>4.4</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资料包括但不限于：</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报价函、营业执照、法人委托书。</w:t>
      </w:r>
    </w:p>
    <w:p w14:paraId="4D75FCF2">
      <w:pPr>
        <w:spacing w:line="440" w:lineRule="exact"/>
        <w:jc w:val="left"/>
        <w:outlineLvl w:val="0"/>
        <w:rPr>
          <w:rFonts w:ascii="宋体" w:hAnsi="宋体"/>
          <w:b/>
          <w:snapToGrid w:val="0"/>
          <w:kern w:val="0"/>
          <w:szCs w:val="21"/>
        </w:rPr>
      </w:pPr>
      <w:r>
        <w:rPr>
          <w:rFonts w:hint="eastAsia" w:ascii="宋体" w:hAnsi="宋体" w:cs="宋体"/>
          <w:szCs w:val="21"/>
          <w:shd w:val="clear" w:color="auto" w:fill="FFFFFF"/>
        </w:rPr>
        <w:t>4</w:t>
      </w:r>
      <w:r>
        <w:rPr>
          <w:rFonts w:ascii="宋体" w:hAnsi="宋体" w:cs="宋体"/>
          <w:szCs w:val="21"/>
          <w:shd w:val="clear" w:color="auto" w:fill="FFFFFF"/>
        </w:rPr>
        <w:t>.5</w:t>
      </w:r>
      <w:r>
        <w:rPr>
          <w:rFonts w:hint="eastAsia" w:ascii="宋体" w:hAnsi="宋体" w:cs="宋体"/>
          <w:szCs w:val="21"/>
        </w:rPr>
        <w:t>谈判附件</w:t>
      </w:r>
      <w:r>
        <w:rPr>
          <w:rFonts w:ascii="宋体" w:hAnsi="宋体" w:cs="宋体"/>
          <w:szCs w:val="21"/>
        </w:rPr>
        <w:t>电子表格顺序和项目</w:t>
      </w:r>
      <w:r>
        <w:rPr>
          <w:rFonts w:hint="eastAsia" w:ascii="宋体" w:hAnsi="宋体" w:cs="宋体"/>
          <w:szCs w:val="21"/>
        </w:rPr>
        <w:t>不能</w:t>
      </w:r>
      <w:r>
        <w:rPr>
          <w:rFonts w:ascii="宋体" w:hAnsi="宋体" w:cs="宋体"/>
          <w:szCs w:val="21"/>
        </w:rPr>
        <w:t>颠倒顺序及删减，不按照要求报价</w:t>
      </w:r>
      <w:r>
        <w:rPr>
          <w:rFonts w:hint="eastAsia" w:ascii="宋体" w:hAnsi="宋体" w:cs="宋体"/>
          <w:szCs w:val="21"/>
        </w:rPr>
        <w:t>采购</w:t>
      </w:r>
      <w:r>
        <w:rPr>
          <w:rFonts w:ascii="宋体" w:hAnsi="宋体" w:cs="宋体"/>
          <w:szCs w:val="21"/>
        </w:rPr>
        <w:t>方可以做否决处理</w:t>
      </w:r>
      <w:r>
        <w:rPr>
          <w:rFonts w:hint="eastAsia" w:ascii="宋体" w:hAnsi="宋体" w:cs="宋体"/>
          <w:szCs w:val="21"/>
        </w:rPr>
        <w:t>。</w:t>
      </w:r>
    </w:p>
    <w:p w14:paraId="2BD02C6B">
      <w:pPr>
        <w:spacing w:line="440" w:lineRule="exact"/>
        <w:jc w:val="left"/>
        <w:outlineLvl w:val="0"/>
        <w:rPr>
          <w:rFonts w:hint="eastAsia" w:ascii="宋体" w:hAnsi="宋体" w:eastAsia="宋体" w:cs="Times New Roman"/>
          <w:b/>
          <w:snapToGrid w:val="0"/>
          <w:kern w:val="0"/>
          <w:szCs w:val="21"/>
        </w:rPr>
      </w:pPr>
      <w:r>
        <w:rPr>
          <w:rFonts w:hint="eastAsia" w:ascii="宋体" w:hAnsi="宋体" w:eastAsia="宋体" w:cs="Times New Roman"/>
          <w:b/>
          <w:snapToGrid w:val="0"/>
          <w:kern w:val="0"/>
          <w:szCs w:val="21"/>
          <w:lang w:val="en-US" w:eastAsia="zh-CN"/>
        </w:rPr>
        <w:t>5.</w:t>
      </w:r>
      <w:r>
        <w:rPr>
          <w:rFonts w:hint="eastAsia" w:ascii="宋体" w:hAnsi="宋体" w:eastAsia="宋体" w:cs="Times New Roman"/>
          <w:b/>
          <w:snapToGrid w:val="0"/>
          <w:kern w:val="0"/>
          <w:szCs w:val="21"/>
        </w:rPr>
        <w:t>拟采取的方式、评审方法和标准</w:t>
      </w:r>
    </w:p>
    <w:p w14:paraId="1BF14B4F">
      <w:pPr>
        <w:spacing w:line="440" w:lineRule="exact"/>
        <w:jc w:val="left"/>
        <w:outlineLvl w:val="0"/>
        <w:rPr>
          <w:rFonts w:hint="default" w:ascii="宋体" w:hAnsi="宋体" w:eastAsia="宋体" w:cs="宋体"/>
          <w:szCs w:val="21"/>
        </w:rPr>
      </w:pPr>
      <w:r>
        <w:rPr>
          <w:rFonts w:hint="eastAsia" w:ascii="宋体" w:hAnsi="宋体" w:eastAsia="宋体" w:cs="宋体"/>
          <w:szCs w:val="21"/>
        </w:rPr>
        <w:t>5.1本次谈判采取</w:t>
      </w:r>
      <w:r>
        <w:rPr>
          <w:rFonts w:ascii="宋体" w:hAnsi="宋体" w:eastAsia="宋体" w:cs="宋体"/>
          <w:szCs w:val="21"/>
        </w:rPr>
        <w:t>综合评分法</w:t>
      </w:r>
      <w:r>
        <w:rPr>
          <w:rFonts w:hint="default" w:ascii="宋体" w:hAnsi="宋体" w:eastAsia="宋体" w:cs="宋体"/>
          <w:szCs w:val="21"/>
        </w:rPr>
        <w:t>，包括价格部分、企业资质、同类项目业绩案例、项目团队及项目负责人、服务方案，确定成交候选供应商。</w:t>
      </w:r>
    </w:p>
    <w:p w14:paraId="79213B0F">
      <w:pPr>
        <w:spacing w:line="440" w:lineRule="exact"/>
        <w:jc w:val="left"/>
        <w:outlineLvl w:val="0"/>
        <w:rPr>
          <w:rFonts w:hint="eastAsia" w:ascii="宋体" w:hAnsi="宋体" w:eastAsia="宋体" w:cs="宋体"/>
          <w:szCs w:val="21"/>
          <w:lang w:val="en-US" w:eastAsia="zh-CN"/>
        </w:rPr>
      </w:pPr>
      <w:r>
        <w:rPr>
          <w:rFonts w:hint="eastAsia" w:ascii="宋体" w:hAnsi="宋体" w:eastAsia="宋体" w:cs="宋体"/>
          <w:szCs w:val="21"/>
          <w:lang w:val="en-US" w:eastAsia="zh-CN"/>
        </w:rPr>
        <w:t>5.2评分细则</w:t>
      </w:r>
    </w:p>
    <w:tbl>
      <w:tblPr>
        <w:tblStyle w:val="1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66"/>
        <w:gridCol w:w="686"/>
        <w:gridCol w:w="4504"/>
        <w:gridCol w:w="1164"/>
      </w:tblGrid>
      <w:tr w14:paraId="1CB3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318124D4">
            <w:pPr>
              <w:spacing w:line="440" w:lineRule="exact"/>
              <w:jc w:val="left"/>
              <w:outlineLvl w:val="0"/>
              <w:rPr>
                <w:rFonts w:hint="default" w:ascii="宋体" w:hAnsi="宋体" w:eastAsia="宋体" w:cs="宋体"/>
                <w:szCs w:val="21"/>
              </w:rPr>
            </w:pPr>
            <w:r>
              <w:rPr>
                <w:rFonts w:hint="eastAsia" w:ascii="宋体" w:hAnsi="宋体" w:eastAsia="宋体" w:cs="宋体"/>
                <w:szCs w:val="21"/>
              </w:rPr>
              <w:t>序号</w:t>
            </w:r>
          </w:p>
        </w:tc>
        <w:tc>
          <w:tcPr>
            <w:tcW w:w="1266" w:type="dxa"/>
            <w:tcBorders>
              <w:top w:val="single" w:color="auto" w:sz="4" w:space="0"/>
              <w:left w:val="single" w:color="auto" w:sz="4" w:space="0"/>
              <w:bottom w:val="single" w:color="auto" w:sz="4" w:space="0"/>
              <w:right w:val="single" w:color="auto" w:sz="4" w:space="0"/>
            </w:tcBorders>
            <w:vAlign w:val="center"/>
          </w:tcPr>
          <w:p w14:paraId="15E50BEF">
            <w:pPr>
              <w:spacing w:line="440" w:lineRule="exact"/>
              <w:jc w:val="left"/>
              <w:outlineLvl w:val="0"/>
              <w:rPr>
                <w:rFonts w:hint="default" w:ascii="宋体" w:hAnsi="宋体" w:eastAsia="宋体" w:cs="宋体"/>
                <w:szCs w:val="21"/>
              </w:rPr>
            </w:pPr>
            <w:r>
              <w:rPr>
                <w:rFonts w:hint="eastAsia" w:ascii="宋体" w:hAnsi="宋体" w:eastAsia="宋体" w:cs="宋体"/>
                <w:szCs w:val="21"/>
              </w:rPr>
              <w:t>评分因素及权重</w:t>
            </w:r>
          </w:p>
        </w:tc>
        <w:tc>
          <w:tcPr>
            <w:tcW w:w="686" w:type="dxa"/>
            <w:tcBorders>
              <w:top w:val="single" w:color="auto" w:sz="4" w:space="0"/>
              <w:left w:val="single" w:color="auto" w:sz="4" w:space="0"/>
              <w:bottom w:val="single" w:color="auto" w:sz="4" w:space="0"/>
              <w:right w:val="single" w:color="auto" w:sz="4" w:space="0"/>
            </w:tcBorders>
            <w:vAlign w:val="center"/>
          </w:tcPr>
          <w:p w14:paraId="1B463AE1">
            <w:pPr>
              <w:spacing w:line="440" w:lineRule="exact"/>
              <w:jc w:val="left"/>
              <w:outlineLvl w:val="0"/>
              <w:rPr>
                <w:rFonts w:hint="default" w:ascii="宋体" w:hAnsi="宋体" w:eastAsia="宋体" w:cs="宋体"/>
                <w:szCs w:val="21"/>
              </w:rPr>
            </w:pPr>
            <w:r>
              <w:rPr>
                <w:rFonts w:hint="eastAsia" w:ascii="宋体" w:hAnsi="宋体" w:eastAsia="宋体" w:cs="宋体"/>
                <w:szCs w:val="21"/>
              </w:rPr>
              <w:t>分值</w:t>
            </w:r>
          </w:p>
        </w:tc>
        <w:tc>
          <w:tcPr>
            <w:tcW w:w="4504" w:type="dxa"/>
            <w:tcBorders>
              <w:top w:val="single" w:color="auto" w:sz="4" w:space="0"/>
              <w:left w:val="single" w:color="auto" w:sz="4" w:space="0"/>
              <w:bottom w:val="single" w:color="auto" w:sz="4" w:space="0"/>
              <w:right w:val="single" w:color="auto" w:sz="4" w:space="0"/>
            </w:tcBorders>
            <w:vAlign w:val="center"/>
          </w:tcPr>
          <w:p w14:paraId="16D2E316">
            <w:pPr>
              <w:spacing w:line="440" w:lineRule="exact"/>
              <w:jc w:val="left"/>
              <w:outlineLvl w:val="0"/>
              <w:rPr>
                <w:rFonts w:hint="default" w:ascii="宋体" w:hAnsi="宋体" w:eastAsia="宋体" w:cs="宋体"/>
                <w:szCs w:val="21"/>
              </w:rPr>
            </w:pPr>
            <w:r>
              <w:rPr>
                <w:rFonts w:hint="eastAsia" w:ascii="宋体" w:hAnsi="宋体" w:eastAsia="宋体" w:cs="宋体"/>
                <w:szCs w:val="21"/>
              </w:rPr>
              <w:t>评分标准</w:t>
            </w:r>
          </w:p>
        </w:tc>
        <w:tc>
          <w:tcPr>
            <w:tcW w:w="1164" w:type="dxa"/>
            <w:tcBorders>
              <w:top w:val="single" w:color="auto" w:sz="4" w:space="0"/>
              <w:left w:val="single" w:color="auto" w:sz="4" w:space="0"/>
              <w:bottom w:val="single" w:color="auto" w:sz="4" w:space="0"/>
              <w:right w:val="single" w:color="auto" w:sz="4" w:space="0"/>
            </w:tcBorders>
            <w:vAlign w:val="center"/>
          </w:tcPr>
          <w:p w14:paraId="61EC6D3E">
            <w:pPr>
              <w:spacing w:line="440" w:lineRule="exact"/>
              <w:jc w:val="left"/>
              <w:outlineLvl w:val="0"/>
              <w:rPr>
                <w:rFonts w:hint="default" w:ascii="宋体" w:hAnsi="宋体" w:eastAsia="宋体" w:cs="宋体"/>
                <w:szCs w:val="21"/>
              </w:rPr>
            </w:pPr>
            <w:r>
              <w:rPr>
                <w:rFonts w:hint="eastAsia" w:ascii="宋体" w:hAnsi="宋体" w:eastAsia="宋体" w:cs="宋体"/>
                <w:szCs w:val="21"/>
              </w:rPr>
              <w:t>评分类别</w:t>
            </w:r>
          </w:p>
        </w:tc>
      </w:tr>
      <w:tr w14:paraId="1F55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5B061232">
            <w:pPr>
              <w:spacing w:line="440" w:lineRule="exact"/>
              <w:jc w:val="left"/>
              <w:outlineLvl w:val="0"/>
              <w:rPr>
                <w:rFonts w:hint="default" w:ascii="宋体" w:hAnsi="宋体" w:eastAsia="宋体" w:cs="宋体"/>
                <w:szCs w:val="21"/>
              </w:rPr>
            </w:pPr>
            <w:r>
              <w:rPr>
                <w:rFonts w:hint="eastAsia" w:ascii="宋体" w:hAnsi="宋体" w:eastAsia="宋体" w:cs="宋体"/>
                <w:szCs w:val="21"/>
              </w:rPr>
              <w:t>1</w:t>
            </w:r>
          </w:p>
        </w:tc>
        <w:tc>
          <w:tcPr>
            <w:tcW w:w="1266" w:type="dxa"/>
            <w:tcBorders>
              <w:top w:val="single" w:color="auto" w:sz="4" w:space="0"/>
              <w:left w:val="single" w:color="auto" w:sz="4" w:space="0"/>
              <w:bottom w:val="single" w:color="auto" w:sz="4" w:space="0"/>
              <w:right w:val="single" w:color="auto" w:sz="4" w:space="0"/>
            </w:tcBorders>
            <w:vAlign w:val="center"/>
          </w:tcPr>
          <w:p w14:paraId="39FD1107">
            <w:pPr>
              <w:spacing w:line="440" w:lineRule="exact"/>
              <w:jc w:val="left"/>
              <w:outlineLvl w:val="0"/>
              <w:rPr>
                <w:rFonts w:hint="default" w:ascii="宋体" w:hAnsi="宋体" w:eastAsia="宋体" w:cs="宋体"/>
                <w:szCs w:val="21"/>
              </w:rPr>
            </w:pPr>
            <w:r>
              <w:rPr>
                <w:rFonts w:hint="eastAsia" w:ascii="宋体" w:hAnsi="宋体" w:eastAsia="宋体" w:cs="宋体"/>
                <w:szCs w:val="21"/>
              </w:rPr>
              <w:t>报价</w:t>
            </w:r>
            <w:r>
              <w:rPr>
                <w:rFonts w:hint="eastAsia" w:ascii="宋体" w:hAnsi="宋体" w:eastAsia="宋体" w:cs="宋体"/>
                <w:szCs w:val="21"/>
                <w:lang w:val="en-US" w:eastAsia="zh-CN"/>
              </w:rPr>
              <w:t>70</w:t>
            </w:r>
            <w:r>
              <w:rPr>
                <w:rFonts w:hint="eastAsia" w:ascii="宋体" w:hAnsi="宋体" w:eastAsia="宋体" w:cs="宋体"/>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63609006">
            <w:pPr>
              <w:spacing w:line="440" w:lineRule="exact"/>
              <w:jc w:val="left"/>
              <w:outlineLvl w:val="0"/>
              <w:rPr>
                <w:rFonts w:hint="default" w:ascii="宋体" w:hAnsi="宋体" w:eastAsia="宋体" w:cs="宋体"/>
                <w:szCs w:val="21"/>
              </w:rPr>
            </w:pPr>
            <w:r>
              <w:rPr>
                <w:rFonts w:hint="eastAsia" w:ascii="宋体" w:hAnsi="宋体" w:eastAsia="宋体" w:cs="宋体"/>
                <w:szCs w:val="21"/>
                <w:lang w:val="en-US" w:eastAsia="zh-CN"/>
              </w:rPr>
              <w:t>70</w:t>
            </w:r>
            <w:r>
              <w:rPr>
                <w:rFonts w:hint="eastAsia" w:ascii="宋体" w:hAnsi="宋体" w:eastAsia="宋体" w:cs="宋体"/>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3723C6AA">
            <w:pPr>
              <w:spacing w:line="440" w:lineRule="exact"/>
              <w:jc w:val="left"/>
              <w:outlineLvl w:val="0"/>
              <w:rPr>
                <w:rFonts w:hint="default" w:ascii="宋体" w:hAnsi="宋体" w:eastAsia="宋体" w:cs="宋体"/>
                <w:szCs w:val="21"/>
              </w:rPr>
            </w:pPr>
            <w:r>
              <w:rPr>
                <w:rFonts w:hint="eastAsia" w:ascii="宋体" w:hAnsi="宋体" w:eastAsia="宋体" w:cs="宋体"/>
                <w:szCs w:val="21"/>
              </w:rPr>
              <w:t>满足磋商文件要求且最后报价的所有供应商的平均价格作为磋商基准价，磋商报价得分=(磋商基准价／最后磋商报价)×</w:t>
            </w:r>
            <w:r>
              <w:rPr>
                <w:rFonts w:hint="eastAsia" w:ascii="宋体" w:hAnsi="宋体" w:eastAsia="宋体" w:cs="宋体"/>
                <w:szCs w:val="21"/>
                <w:lang w:val="en-US" w:eastAsia="zh-CN"/>
              </w:rPr>
              <w:t>70</w:t>
            </w:r>
            <w:r>
              <w:rPr>
                <w:rFonts w:hint="eastAsia" w:ascii="宋体" w:hAnsi="宋体" w:eastAsia="宋体" w:cs="宋体"/>
                <w:szCs w:val="21"/>
              </w:rPr>
              <w:t>，若最后磋商价格≤磋商基准价，按此项得满分计算，即</w:t>
            </w:r>
            <w:r>
              <w:rPr>
                <w:rFonts w:hint="eastAsia" w:ascii="宋体" w:hAnsi="宋体" w:eastAsia="宋体" w:cs="宋体"/>
                <w:szCs w:val="21"/>
                <w:lang w:val="en-US" w:eastAsia="zh-CN"/>
              </w:rPr>
              <w:t>70</w:t>
            </w:r>
            <w:r>
              <w:rPr>
                <w:rFonts w:hint="eastAsia" w:ascii="宋体" w:hAnsi="宋体" w:eastAsia="宋体" w:cs="宋体"/>
                <w:szCs w:val="21"/>
              </w:rPr>
              <w:t xml:space="preserve">分。 </w:t>
            </w:r>
          </w:p>
          <w:p w14:paraId="4C87EE05">
            <w:pPr>
              <w:spacing w:line="440" w:lineRule="exact"/>
              <w:jc w:val="left"/>
              <w:outlineLvl w:val="0"/>
              <w:rPr>
                <w:rFonts w:hint="default" w:ascii="宋体" w:hAnsi="宋体" w:eastAsia="宋体" w:cs="宋体"/>
                <w:szCs w:val="21"/>
              </w:rPr>
            </w:pPr>
            <w:r>
              <w:rPr>
                <w:rFonts w:hint="eastAsia" w:ascii="宋体" w:hAnsi="宋体" w:eastAsia="宋体" w:cs="宋体"/>
                <w:szCs w:val="21"/>
              </w:rPr>
              <w:t>注：最终结果四舍五入保留小数点后两位。</w:t>
            </w:r>
          </w:p>
        </w:tc>
        <w:tc>
          <w:tcPr>
            <w:tcW w:w="1164" w:type="dxa"/>
            <w:tcBorders>
              <w:top w:val="single" w:color="auto" w:sz="4" w:space="0"/>
              <w:left w:val="single" w:color="auto" w:sz="4" w:space="0"/>
              <w:bottom w:val="single" w:color="auto" w:sz="4" w:space="0"/>
              <w:right w:val="single" w:color="auto" w:sz="4" w:space="0"/>
            </w:tcBorders>
            <w:vAlign w:val="center"/>
          </w:tcPr>
          <w:p w14:paraId="55F7F330">
            <w:pPr>
              <w:spacing w:line="440" w:lineRule="exact"/>
              <w:jc w:val="left"/>
              <w:outlineLvl w:val="0"/>
              <w:rPr>
                <w:rFonts w:hint="default" w:ascii="宋体" w:hAnsi="宋体" w:eastAsia="宋体" w:cs="宋体"/>
                <w:szCs w:val="21"/>
              </w:rPr>
            </w:pPr>
            <w:r>
              <w:rPr>
                <w:rFonts w:hint="eastAsia" w:ascii="宋体" w:hAnsi="宋体" w:eastAsia="宋体" w:cs="宋体"/>
                <w:szCs w:val="21"/>
              </w:rPr>
              <w:t>共同评分因素</w:t>
            </w:r>
          </w:p>
        </w:tc>
      </w:tr>
      <w:tr w14:paraId="74DE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19FFF7DB">
            <w:pPr>
              <w:spacing w:line="440" w:lineRule="exact"/>
              <w:jc w:val="left"/>
              <w:outlineLvl w:val="0"/>
              <w:rPr>
                <w:rFonts w:hint="default" w:ascii="宋体" w:hAnsi="宋体" w:eastAsia="宋体" w:cs="宋体"/>
                <w:szCs w:val="21"/>
              </w:rPr>
            </w:pPr>
            <w:r>
              <w:rPr>
                <w:rFonts w:hint="eastAsia" w:ascii="宋体" w:hAnsi="宋体" w:eastAsia="宋体" w:cs="宋体"/>
                <w:szCs w:val="21"/>
              </w:rPr>
              <w:t>2</w:t>
            </w:r>
          </w:p>
        </w:tc>
        <w:tc>
          <w:tcPr>
            <w:tcW w:w="1266" w:type="dxa"/>
            <w:tcBorders>
              <w:top w:val="single" w:color="auto" w:sz="4" w:space="0"/>
              <w:left w:val="single" w:color="auto" w:sz="4" w:space="0"/>
              <w:bottom w:val="single" w:color="auto" w:sz="4" w:space="0"/>
              <w:right w:val="single" w:color="auto" w:sz="4" w:space="0"/>
            </w:tcBorders>
            <w:vAlign w:val="center"/>
          </w:tcPr>
          <w:p w14:paraId="1FB4C0F7">
            <w:pPr>
              <w:spacing w:line="440" w:lineRule="exact"/>
              <w:jc w:val="left"/>
              <w:outlineLvl w:val="0"/>
              <w:rPr>
                <w:rFonts w:hint="default" w:ascii="宋体" w:hAnsi="宋体" w:eastAsia="宋体" w:cs="宋体"/>
                <w:szCs w:val="21"/>
              </w:rPr>
            </w:pPr>
            <w:r>
              <w:rPr>
                <w:rFonts w:hint="eastAsia" w:ascii="宋体" w:hAnsi="宋体" w:eastAsia="宋体" w:cs="宋体"/>
                <w:szCs w:val="21"/>
              </w:rPr>
              <w:t>业绩</w:t>
            </w:r>
            <w:r>
              <w:rPr>
                <w:rFonts w:hint="default" w:ascii="宋体" w:hAnsi="宋体" w:eastAsia="宋体" w:cs="宋体"/>
                <w:szCs w:val="21"/>
              </w:rPr>
              <w:t>15</w:t>
            </w:r>
            <w:r>
              <w:rPr>
                <w:rFonts w:hint="eastAsia" w:ascii="宋体" w:hAnsi="宋体" w:eastAsia="宋体" w:cs="宋体"/>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66AD8425">
            <w:pPr>
              <w:spacing w:line="440" w:lineRule="exact"/>
              <w:jc w:val="left"/>
              <w:outlineLvl w:val="0"/>
              <w:rPr>
                <w:rFonts w:hint="default" w:ascii="宋体" w:hAnsi="宋体" w:eastAsia="宋体" w:cs="宋体"/>
                <w:szCs w:val="21"/>
              </w:rPr>
            </w:pPr>
            <w:r>
              <w:rPr>
                <w:rFonts w:hint="default" w:ascii="宋体" w:hAnsi="宋体" w:eastAsia="宋体" w:cs="宋体"/>
                <w:szCs w:val="21"/>
              </w:rPr>
              <w:t>15</w:t>
            </w:r>
            <w:r>
              <w:rPr>
                <w:rFonts w:hint="eastAsia" w:ascii="宋体" w:hAnsi="宋体" w:eastAsia="宋体" w:cs="宋体"/>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62E67978">
            <w:pPr>
              <w:spacing w:line="440" w:lineRule="exact"/>
              <w:jc w:val="left"/>
              <w:outlineLvl w:val="0"/>
              <w:rPr>
                <w:rFonts w:hint="default" w:ascii="宋体" w:hAnsi="宋体" w:eastAsia="宋体" w:cs="宋体"/>
                <w:szCs w:val="21"/>
              </w:rPr>
            </w:pPr>
            <w:r>
              <w:rPr>
                <w:rFonts w:hint="eastAsia" w:ascii="宋体" w:hAnsi="宋体" w:eastAsia="宋体" w:cs="宋体"/>
                <w:szCs w:val="21"/>
              </w:rPr>
              <w:t>1</w:t>
            </w:r>
            <w:r>
              <w:rPr>
                <w:rFonts w:hint="default" w:ascii="宋体" w:hAnsi="宋体" w:eastAsia="宋体" w:cs="宋体"/>
                <w:szCs w:val="21"/>
              </w:rPr>
              <w:t>.在</w:t>
            </w:r>
            <w:r>
              <w:rPr>
                <w:rFonts w:hint="eastAsia" w:ascii="宋体" w:hAnsi="宋体" w:eastAsia="宋体" w:cs="宋体"/>
                <w:szCs w:val="21"/>
              </w:rPr>
              <w:t>近三年项目业绩</w:t>
            </w:r>
            <w:r>
              <w:rPr>
                <w:rFonts w:hint="eastAsia" w:ascii="宋体" w:hAnsi="宋体" w:eastAsia="宋体" w:cs="宋体"/>
                <w:szCs w:val="21"/>
                <w:lang w:eastAsia="zh-CN"/>
              </w:rPr>
              <w:t>（</w:t>
            </w:r>
            <w:r>
              <w:rPr>
                <w:rFonts w:hint="eastAsia" w:ascii="宋体" w:hAnsi="宋体" w:eastAsia="宋体" w:cs="宋体"/>
                <w:szCs w:val="21"/>
                <w:lang w:val="en-US" w:eastAsia="zh-CN"/>
              </w:rPr>
              <w:t>5个及以上</w:t>
            </w:r>
            <w:r>
              <w:rPr>
                <w:rFonts w:hint="eastAsia" w:ascii="宋体" w:hAnsi="宋体" w:eastAsia="宋体" w:cs="宋体"/>
                <w:szCs w:val="21"/>
                <w:lang w:eastAsia="zh-CN"/>
              </w:rPr>
              <w:t>）</w:t>
            </w:r>
            <w:r>
              <w:rPr>
                <w:rFonts w:hint="eastAsia" w:ascii="宋体" w:hAnsi="宋体" w:eastAsia="宋体" w:cs="宋体"/>
                <w:szCs w:val="21"/>
              </w:rPr>
              <w:t>，主要包含化工、工贸行业</w:t>
            </w:r>
            <w:r>
              <w:rPr>
                <w:rFonts w:hint="default" w:ascii="宋体" w:hAnsi="宋体" w:eastAsia="宋体" w:cs="宋体"/>
                <w:szCs w:val="21"/>
              </w:rPr>
              <w:t>类型维护业绩</w:t>
            </w:r>
            <w:r>
              <w:rPr>
                <w:rFonts w:hint="eastAsia" w:ascii="宋体" w:hAnsi="宋体" w:cs="宋体"/>
                <w:szCs w:val="21"/>
                <w:lang w:eastAsia="zh-CN"/>
              </w:rPr>
              <w:t>，得</w:t>
            </w:r>
            <w:r>
              <w:rPr>
                <w:rFonts w:hint="eastAsia" w:ascii="宋体" w:hAnsi="宋体" w:eastAsia="宋体" w:cs="宋体"/>
                <w:szCs w:val="21"/>
                <w:lang w:val="en-US" w:eastAsia="zh-CN"/>
              </w:rPr>
              <w:t>5</w:t>
            </w:r>
            <w:r>
              <w:rPr>
                <w:rFonts w:hint="eastAsia" w:ascii="宋体" w:hAnsi="宋体" w:eastAsia="宋体" w:cs="宋体"/>
                <w:szCs w:val="21"/>
              </w:rPr>
              <w:t>分。（注：提供项目合同业绩得合同关键页复印件，合同关键页包含但不限于：合同名称或项目项目名称、合同签订双方的名称、双方签章页等。）</w:t>
            </w:r>
          </w:p>
          <w:p w14:paraId="12C4C6E7">
            <w:pPr>
              <w:spacing w:line="440" w:lineRule="exact"/>
              <w:jc w:val="left"/>
              <w:outlineLvl w:val="0"/>
              <w:rPr>
                <w:rFonts w:hint="default"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评委根据投标方案，进行横向比较独立打分，优秀得7</w:t>
            </w:r>
            <w:r>
              <w:rPr>
                <w:rFonts w:hint="default" w:ascii="宋体" w:hAnsi="宋体" w:eastAsia="宋体" w:cs="宋体"/>
                <w:szCs w:val="21"/>
              </w:rPr>
              <w:t>-10</w:t>
            </w:r>
            <w:r>
              <w:rPr>
                <w:rFonts w:hint="eastAsia" w:ascii="宋体" w:hAnsi="宋体" w:eastAsia="宋体" w:cs="宋体"/>
                <w:szCs w:val="21"/>
              </w:rPr>
              <w:t>分，良好得4</w:t>
            </w:r>
            <w:r>
              <w:rPr>
                <w:rFonts w:hint="default" w:ascii="宋体" w:hAnsi="宋体" w:eastAsia="宋体" w:cs="宋体"/>
                <w:szCs w:val="21"/>
              </w:rPr>
              <w:t>-7</w:t>
            </w:r>
            <w:r>
              <w:rPr>
                <w:rFonts w:hint="eastAsia" w:ascii="宋体" w:hAnsi="宋体" w:eastAsia="宋体" w:cs="宋体"/>
                <w:szCs w:val="21"/>
              </w:rPr>
              <w:t>分，一般得0</w:t>
            </w:r>
            <w:r>
              <w:rPr>
                <w:rFonts w:hint="default" w:ascii="宋体" w:hAnsi="宋体" w:eastAsia="宋体" w:cs="宋体"/>
                <w:szCs w:val="21"/>
              </w:rPr>
              <w:t>-4</w:t>
            </w:r>
            <w:r>
              <w:rPr>
                <w:rFonts w:hint="eastAsia" w:ascii="宋体" w:hAnsi="宋体" w:eastAsia="宋体" w:cs="宋体"/>
                <w:szCs w:val="21"/>
              </w:rPr>
              <w:t>分。</w:t>
            </w:r>
          </w:p>
        </w:tc>
        <w:tc>
          <w:tcPr>
            <w:tcW w:w="1164" w:type="dxa"/>
            <w:tcBorders>
              <w:top w:val="single" w:color="auto" w:sz="4" w:space="0"/>
              <w:left w:val="single" w:color="auto" w:sz="4" w:space="0"/>
              <w:bottom w:val="single" w:color="auto" w:sz="4" w:space="0"/>
              <w:right w:val="single" w:color="auto" w:sz="4" w:space="0"/>
            </w:tcBorders>
            <w:vAlign w:val="center"/>
          </w:tcPr>
          <w:p w14:paraId="18D4679B">
            <w:pPr>
              <w:spacing w:line="440" w:lineRule="exact"/>
              <w:jc w:val="left"/>
              <w:outlineLvl w:val="0"/>
              <w:rPr>
                <w:rFonts w:hint="default" w:ascii="宋体" w:hAnsi="宋体" w:eastAsia="宋体" w:cs="宋体"/>
                <w:szCs w:val="21"/>
              </w:rPr>
            </w:pPr>
            <w:r>
              <w:rPr>
                <w:rFonts w:hint="eastAsia" w:ascii="宋体" w:hAnsi="宋体" w:eastAsia="宋体" w:cs="宋体"/>
                <w:szCs w:val="21"/>
              </w:rPr>
              <w:t>共同评分因素</w:t>
            </w:r>
          </w:p>
        </w:tc>
      </w:tr>
      <w:tr w14:paraId="3917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7B4DE487">
            <w:pPr>
              <w:spacing w:line="440" w:lineRule="exact"/>
              <w:jc w:val="left"/>
              <w:outlineLvl w:val="0"/>
              <w:rPr>
                <w:rFonts w:hint="default" w:ascii="宋体" w:hAnsi="宋体" w:eastAsia="宋体" w:cs="宋体"/>
                <w:szCs w:val="21"/>
              </w:rPr>
            </w:pPr>
            <w:r>
              <w:rPr>
                <w:rFonts w:hint="eastAsia" w:ascii="宋体" w:hAnsi="宋体" w:eastAsia="宋体" w:cs="宋体"/>
                <w:szCs w:val="21"/>
              </w:rPr>
              <w:t>3</w:t>
            </w:r>
          </w:p>
        </w:tc>
        <w:tc>
          <w:tcPr>
            <w:tcW w:w="1266" w:type="dxa"/>
            <w:tcBorders>
              <w:top w:val="single" w:color="auto" w:sz="4" w:space="0"/>
              <w:left w:val="single" w:color="auto" w:sz="4" w:space="0"/>
              <w:bottom w:val="single" w:color="auto" w:sz="4" w:space="0"/>
              <w:right w:val="single" w:color="auto" w:sz="4" w:space="0"/>
            </w:tcBorders>
            <w:vAlign w:val="center"/>
          </w:tcPr>
          <w:p w14:paraId="2DDC7FB7">
            <w:pPr>
              <w:spacing w:line="440" w:lineRule="exact"/>
              <w:jc w:val="left"/>
              <w:outlineLvl w:val="0"/>
              <w:rPr>
                <w:rFonts w:hint="default" w:ascii="宋体" w:hAnsi="宋体" w:eastAsia="宋体" w:cs="宋体"/>
                <w:szCs w:val="21"/>
              </w:rPr>
            </w:pPr>
            <w:r>
              <w:rPr>
                <w:rFonts w:hint="eastAsia" w:ascii="宋体" w:hAnsi="宋体" w:eastAsia="宋体" w:cs="宋体"/>
                <w:szCs w:val="21"/>
              </w:rPr>
              <w:t>服务方案</w:t>
            </w:r>
            <w:r>
              <w:rPr>
                <w:rFonts w:hint="eastAsia" w:ascii="宋体" w:hAnsi="宋体" w:eastAsia="宋体" w:cs="宋体"/>
                <w:szCs w:val="21"/>
                <w:lang w:val="en-US" w:eastAsia="zh-CN"/>
              </w:rPr>
              <w:t>15</w:t>
            </w:r>
            <w:r>
              <w:rPr>
                <w:rFonts w:hint="eastAsia" w:ascii="宋体" w:hAnsi="宋体" w:eastAsia="宋体" w:cs="宋体"/>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0373719D">
            <w:pPr>
              <w:spacing w:line="440" w:lineRule="exact"/>
              <w:jc w:val="left"/>
              <w:outlineLvl w:val="0"/>
              <w:rPr>
                <w:rFonts w:hint="default" w:ascii="宋体" w:hAnsi="宋体" w:eastAsia="宋体" w:cs="宋体"/>
                <w:szCs w:val="21"/>
              </w:rPr>
            </w:pPr>
            <w:r>
              <w:rPr>
                <w:rFonts w:hint="eastAsia" w:ascii="宋体" w:hAnsi="宋体" w:eastAsia="宋体" w:cs="宋体"/>
                <w:szCs w:val="21"/>
                <w:lang w:val="en-US" w:eastAsia="zh-CN"/>
              </w:rPr>
              <w:t>15</w:t>
            </w:r>
            <w:r>
              <w:rPr>
                <w:rFonts w:hint="eastAsia" w:ascii="宋体" w:hAnsi="宋体" w:eastAsia="宋体" w:cs="宋体"/>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69862F39">
            <w:pPr>
              <w:spacing w:line="440" w:lineRule="exact"/>
              <w:jc w:val="left"/>
              <w:outlineLvl w:val="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满足招标文件要求且近两年内未被工商、消防主管部门处罚过，无不良信用的得5分，否则0分。（需出具相关证明及投标单位的承诺文件）。</w:t>
            </w:r>
          </w:p>
          <w:p w14:paraId="299C15DF">
            <w:pPr>
              <w:spacing w:line="440" w:lineRule="exact"/>
              <w:jc w:val="left"/>
              <w:outlineLvl w:val="0"/>
              <w:rPr>
                <w:rFonts w:hint="default" w:ascii="宋体" w:hAnsi="宋体" w:eastAsia="宋体" w:cs="宋体"/>
                <w:szCs w:val="21"/>
              </w:rPr>
            </w:pPr>
            <w:r>
              <w:rPr>
                <w:rFonts w:hint="eastAsia" w:ascii="宋体" w:hAnsi="宋体" w:eastAsia="宋体" w:cs="宋体"/>
                <w:szCs w:val="21"/>
              </w:rPr>
              <w:t>近三年获得世界500强、大型国营、上市化工企业、市、区颁发的荣誉证书的一个加</w:t>
            </w:r>
            <w:r>
              <w:rPr>
                <w:rFonts w:hint="eastAsia" w:ascii="宋体" w:hAnsi="宋体" w:eastAsia="宋体" w:cs="宋体"/>
                <w:szCs w:val="21"/>
                <w:lang w:val="en-US" w:eastAsia="zh-CN"/>
              </w:rPr>
              <w:t>2</w:t>
            </w:r>
            <w:r>
              <w:rPr>
                <w:rFonts w:hint="eastAsia" w:ascii="宋体" w:hAnsi="宋体" w:eastAsia="宋体" w:cs="宋体"/>
                <w:szCs w:val="21"/>
              </w:rPr>
              <w:t>分。</w:t>
            </w:r>
            <w:r>
              <w:rPr>
                <w:rFonts w:hint="eastAsia" w:ascii="宋体" w:hAnsi="宋体" w:eastAsia="宋体" w:cs="宋体"/>
                <w:szCs w:val="21"/>
                <w:lang w:val="en-US" w:eastAsia="zh-CN"/>
              </w:rPr>
              <w:t>2.同时</w:t>
            </w:r>
            <w:r>
              <w:rPr>
                <w:rFonts w:hint="eastAsia" w:ascii="宋体" w:hAnsi="宋体" w:eastAsia="宋体" w:cs="宋体"/>
                <w:szCs w:val="21"/>
              </w:rPr>
              <w:t>有职业健康、质量体系、环境认证的</w:t>
            </w:r>
            <w:r>
              <w:rPr>
                <w:rFonts w:hint="eastAsia" w:ascii="宋体" w:hAnsi="宋体" w:eastAsia="宋体" w:cs="宋体"/>
                <w:szCs w:val="21"/>
                <w:lang w:val="en-US" w:eastAsia="zh-CN"/>
              </w:rPr>
              <w:t>加</w:t>
            </w:r>
            <w:r>
              <w:rPr>
                <w:rFonts w:hint="eastAsia" w:ascii="宋体" w:hAnsi="宋体" w:eastAsia="宋体" w:cs="宋体"/>
                <w:szCs w:val="21"/>
              </w:rPr>
              <w:t>2分；获得AA企业信用等级证书的</w:t>
            </w:r>
            <w:r>
              <w:rPr>
                <w:rFonts w:hint="eastAsia" w:ascii="宋体" w:hAnsi="宋体" w:eastAsia="宋体" w:cs="宋体"/>
                <w:szCs w:val="21"/>
                <w:lang w:val="en-US" w:eastAsia="zh-CN"/>
              </w:rPr>
              <w:t>加</w:t>
            </w:r>
            <w:r>
              <w:rPr>
                <w:rFonts w:hint="eastAsia" w:ascii="宋体" w:hAnsi="宋体" w:eastAsia="宋体" w:cs="宋体"/>
                <w:szCs w:val="21"/>
              </w:rPr>
              <w:t>1分，获得AAA企业信用等级证书的</w:t>
            </w:r>
            <w:r>
              <w:rPr>
                <w:rFonts w:hint="eastAsia" w:ascii="宋体" w:hAnsi="宋体" w:eastAsia="宋体" w:cs="宋体"/>
                <w:szCs w:val="21"/>
                <w:lang w:val="en-US" w:eastAsia="zh-CN"/>
              </w:rPr>
              <w:t>加</w:t>
            </w:r>
            <w:r>
              <w:rPr>
                <w:rFonts w:hint="eastAsia" w:ascii="宋体" w:hAnsi="宋体" w:eastAsia="宋体" w:cs="宋体"/>
                <w:szCs w:val="21"/>
              </w:rPr>
              <w:t>5分，累计最多得10分。</w:t>
            </w:r>
          </w:p>
        </w:tc>
        <w:tc>
          <w:tcPr>
            <w:tcW w:w="1164" w:type="dxa"/>
            <w:tcBorders>
              <w:top w:val="single" w:color="auto" w:sz="4" w:space="0"/>
              <w:left w:val="single" w:color="auto" w:sz="4" w:space="0"/>
              <w:bottom w:val="single" w:color="auto" w:sz="4" w:space="0"/>
              <w:right w:val="single" w:color="auto" w:sz="4" w:space="0"/>
            </w:tcBorders>
            <w:vAlign w:val="center"/>
          </w:tcPr>
          <w:p w14:paraId="235C25CE">
            <w:pPr>
              <w:spacing w:line="440" w:lineRule="exact"/>
              <w:jc w:val="left"/>
              <w:outlineLvl w:val="0"/>
              <w:rPr>
                <w:rFonts w:hint="default" w:ascii="宋体" w:hAnsi="宋体" w:eastAsia="宋体" w:cs="宋体"/>
                <w:szCs w:val="21"/>
              </w:rPr>
            </w:pPr>
            <w:r>
              <w:rPr>
                <w:rFonts w:hint="eastAsia" w:ascii="宋体" w:hAnsi="宋体" w:eastAsia="宋体" w:cs="宋体"/>
                <w:szCs w:val="21"/>
              </w:rPr>
              <w:t>技术类评分因素</w:t>
            </w:r>
          </w:p>
        </w:tc>
      </w:tr>
    </w:tbl>
    <w:p w14:paraId="08035E94">
      <w:pPr>
        <w:spacing w:line="440" w:lineRule="exact"/>
        <w:jc w:val="left"/>
        <w:outlineLvl w:val="0"/>
        <w:rPr>
          <w:rFonts w:hint="default" w:ascii="宋体" w:hAnsi="宋体" w:eastAsia="宋体" w:cs="宋体"/>
          <w:szCs w:val="21"/>
        </w:rPr>
      </w:pPr>
      <w:r>
        <w:rPr>
          <w:rFonts w:hint="eastAsia" w:ascii="宋体" w:hAnsi="宋体" w:eastAsia="宋体" w:cs="宋体"/>
          <w:szCs w:val="21"/>
        </w:rPr>
        <w:t>注：评分的取值按四舍五入法，保留小数点后两位。</w:t>
      </w:r>
    </w:p>
    <w:p w14:paraId="3ABFAE13">
      <w:pPr>
        <w:spacing w:line="440" w:lineRule="exact"/>
        <w:jc w:val="left"/>
        <w:outlineLvl w:val="0"/>
        <w:rPr>
          <w:rFonts w:ascii="宋体" w:hAnsi="宋体"/>
          <w:b/>
          <w:snapToGrid w:val="0"/>
          <w:kern w:val="0"/>
          <w:szCs w:val="21"/>
        </w:rPr>
      </w:pPr>
      <w:r>
        <w:rPr>
          <w:rFonts w:hint="eastAsia" w:ascii="宋体" w:hAnsi="宋体"/>
          <w:b/>
          <w:snapToGrid w:val="0"/>
          <w:kern w:val="0"/>
          <w:szCs w:val="21"/>
        </w:rPr>
        <w:t>6.谈判文件的获取</w:t>
      </w:r>
    </w:p>
    <w:p w14:paraId="5602AE4E">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6.1 凡有意参加谈判者，请于北京时间</w:t>
      </w:r>
      <w:r>
        <w:rPr>
          <w:rFonts w:hint="eastAsia" w:ascii="宋体" w:hAnsi="宋体" w:cs="宋体"/>
          <w:szCs w:val="21"/>
          <w:u w:val="single"/>
          <w:lang w:val="en-US" w:eastAsia="zh-CN"/>
        </w:rPr>
        <w:t>2026</w:t>
      </w:r>
      <w:r>
        <w:rPr>
          <w:rFonts w:hint="eastAsia" w:ascii="宋体" w:hAnsi="宋体" w:cs="宋体"/>
          <w:szCs w:val="21"/>
          <w:u w:val="single"/>
        </w:rPr>
        <w:t>　</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 xml:space="preserve">月 </w:t>
      </w:r>
      <w:r>
        <w:rPr>
          <w:rFonts w:hint="eastAsia" w:ascii="宋体" w:hAnsi="宋体" w:cs="宋体"/>
          <w:szCs w:val="21"/>
          <w:u w:val="single"/>
          <w:lang w:val="en-US" w:eastAsia="zh-CN"/>
        </w:rPr>
        <w:t>28</w:t>
      </w:r>
      <w:r>
        <w:rPr>
          <w:rFonts w:hint="eastAsia" w:ascii="宋体" w:hAnsi="宋体" w:cs="宋体"/>
          <w:szCs w:val="21"/>
        </w:rPr>
        <w:t>日至</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 xml:space="preserve">年 </w:t>
      </w:r>
      <w:r>
        <w:rPr>
          <w:rFonts w:hint="eastAsia" w:ascii="宋体" w:hAnsi="宋体" w:cs="宋体"/>
          <w:szCs w:val="21"/>
          <w:u w:val="single"/>
        </w:rPr>
        <w:t xml:space="preserve"> </w:t>
      </w:r>
      <w:r>
        <w:rPr>
          <w:rFonts w:hint="eastAsia" w:ascii="宋体" w:hAnsi="宋体" w:cs="宋体"/>
          <w:szCs w:val="21"/>
          <w:u w:val="single"/>
          <w:lang w:val="en-US" w:eastAsia="zh-CN"/>
        </w:rPr>
        <w:t>11</w:t>
      </w:r>
      <w:r>
        <w:rPr>
          <w:rFonts w:hint="eastAsia" w:ascii="宋体" w:hAnsi="宋体" w:cs="宋体"/>
          <w:szCs w:val="21"/>
        </w:rPr>
        <w:t>月</w:t>
      </w:r>
      <w:r>
        <w:rPr>
          <w:rFonts w:hint="eastAsia" w:ascii="宋体" w:hAnsi="宋体" w:cs="宋体"/>
          <w:szCs w:val="21"/>
          <w:u w:val="single"/>
          <w:lang w:val="en-US" w:eastAsia="zh-CN"/>
        </w:rPr>
        <w:t>2</w:t>
      </w:r>
      <w:r>
        <w:rPr>
          <w:rFonts w:hint="eastAsia" w:ascii="宋体" w:hAnsi="宋体" w:cs="宋体"/>
          <w:szCs w:val="21"/>
        </w:rPr>
        <w:t>日，每日9:00时至17:00时通过6.2载明的方式获取</w:t>
      </w:r>
      <w:r>
        <w:rPr>
          <w:rFonts w:hint="eastAsia" w:ascii="宋体" w:hAnsi="宋体" w:cs="宋体"/>
          <w:szCs w:val="21"/>
          <w:lang w:eastAsia="zh-CN"/>
        </w:rPr>
        <w:t>谈判采购</w:t>
      </w:r>
      <w:r>
        <w:rPr>
          <w:rFonts w:hint="eastAsia" w:ascii="宋体" w:hAnsi="宋体" w:cs="宋体"/>
          <w:szCs w:val="21"/>
        </w:rPr>
        <w:t>文件。</w:t>
      </w:r>
    </w:p>
    <w:p w14:paraId="6AB7F118">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取得谈判文件的方式：</w:t>
      </w:r>
    </w:p>
    <w:p w14:paraId="42B422AF">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1B8B364A">
      <w:pPr>
        <w:spacing w:line="440" w:lineRule="exact"/>
        <w:ind w:firstLine="424" w:firstLineChars="202"/>
        <w:rPr>
          <w:rFonts w:ascii="宋体" w:hAnsi="宋体"/>
          <w:szCs w:val="21"/>
        </w:rPr>
      </w:pPr>
      <w:r>
        <w:rPr>
          <w:rFonts w:ascii="宋体" w:hAnsi="宋体"/>
          <w:szCs w:val="21"/>
        </w:rPr>
        <w:t>办公地址：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7BB5C113">
      <w:pPr>
        <w:spacing w:line="440" w:lineRule="exact"/>
        <w:ind w:firstLine="424" w:firstLineChars="202"/>
        <w:rPr>
          <w:rFonts w:ascii="宋体" w:hAnsi="宋体" w:cs="宋体"/>
          <w:szCs w:val="21"/>
        </w:rPr>
      </w:pPr>
      <w:r>
        <w:rPr>
          <w:rFonts w:ascii="宋体" w:hAnsi="宋体"/>
          <w:szCs w:val="21"/>
        </w:rPr>
        <w:t>联系人：</w:t>
      </w:r>
      <w:r>
        <w:rPr>
          <w:rFonts w:hint="eastAsia" w:ascii="宋体" w:hAnsi="宋体"/>
          <w:szCs w:val="21"/>
          <w:u w:val="single"/>
        </w:rPr>
        <w:t xml:space="preserve">   </w:t>
      </w:r>
      <w:r>
        <w:rPr>
          <w:rFonts w:hint="eastAsia" w:ascii="宋体" w:hAnsi="宋体"/>
          <w:szCs w:val="21"/>
          <w:u w:val="single"/>
          <w:lang w:val="en-US" w:eastAsia="zh-CN"/>
        </w:rPr>
        <w:t>彭德招</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联系电话：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lang w:val="en-US" w:eastAsia="zh-CN"/>
        </w:rPr>
        <w:t>18485350205</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8B2CC76">
      <w:pPr>
        <w:spacing w:line="440" w:lineRule="exact"/>
        <w:jc w:val="left"/>
        <w:outlineLvl w:val="0"/>
        <w:rPr>
          <w:rFonts w:ascii="宋体" w:hAnsi="宋体"/>
          <w:b/>
          <w:snapToGrid w:val="0"/>
          <w:kern w:val="0"/>
          <w:szCs w:val="21"/>
        </w:rPr>
      </w:pPr>
      <w:r>
        <w:rPr>
          <w:rFonts w:hint="eastAsia" w:ascii="宋体" w:hAnsi="宋体"/>
          <w:b/>
          <w:snapToGrid w:val="0"/>
          <w:kern w:val="0"/>
          <w:szCs w:val="21"/>
        </w:rPr>
        <w:t>7. 谈判文件的递交</w:t>
      </w:r>
    </w:p>
    <w:p w14:paraId="47772CB2">
      <w:pPr>
        <w:tabs>
          <w:tab w:val="left" w:pos="1425"/>
        </w:tabs>
        <w:spacing w:line="440" w:lineRule="exact"/>
        <w:rPr>
          <w:rFonts w:ascii="宋体" w:hAnsi="宋体" w:cs="宋体"/>
          <w:color w:val="000000"/>
          <w:szCs w:val="21"/>
        </w:rPr>
      </w:pPr>
      <w:r>
        <w:rPr>
          <w:rFonts w:hint="eastAsia" w:ascii="宋体" w:hAnsi="宋体" w:cs="宋体"/>
          <w:snapToGrid w:val="0"/>
          <w:kern w:val="0"/>
          <w:szCs w:val="21"/>
        </w:rPr>
        <w:t>7.1</w:t>
      </w:r>
      <w:r>
        <w:rPr>
          <w:rFonts w:hint="eastAsia" w:ascii="宋体" w:hAnsi="宋体" w:cs="宋体"/>
          <w:szCs w:val="21"/>
        </w:rPr>
        <w:t>谈判文件递交截止时间（投递截止时间，下同）：</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w:t>
      </w:r>
      <w:r>
        <w:rPr>
          <w:rFonts w:hint="eastAsia" w:ascii="宋体" w:hAnsi="宋体" w:cs="宋体"/>
          <w:szCs w:val="21"/>
        </w:rPr>
        <w:t>年</w:t>
      </w:r>
      <w:r>
        <w:rPr>
          <w:rFonts w:hint="eastAsia" w:ascii="宋体" w:hAnsi="宋体" w:cs="宋体"/>
          <w:szCs w:val="21"/>
          <w:u w:val="single"/>
          <w:lang w:val="en-US" w:eastAsia="zh-CN"/>
        </w:rPr>
        <w:t>11</w:t>
      </w:r>
      <w:r>
        <w:rPr>
          <w:rFonts w:hint="eastAsia" w:ascii="宋体" w:hAnsi="宋体" w:cs="宋体"/>
          <w:szCs w:val="21"/>
        </w:rPr>
        <w:t>月</w:t>
      </w:r>
      <w:r>
        <w:rPr>
          <w:rFonts w:hint="eastAsia" w:ascii="宋体" w:hAnsi="宋体" w:cs="宋体"/>
          <w:szCs w:val="21"/>
          <w:lang w:val="en-US" w:eastAsia="zh-CN"/>
        </w:rPr>
        <w:t>3</w:t>
      </w:r>
      <w:r>
        <w:rPr>
          <w:rFonts w:hint="eastAsia" w:ascii="宋体" w:hAnsi="宋体" w:cs="宋体"/>
          <w:szCs w:val="21"/>
        </w:rPr>
        <w:t>日</w:t>
      </w:r>
      <w:r>
        <w:rPr>
          <w:rFonts w:hint="eastAsia" w:ascii="宋体" w:hAnsi="宋体" w:eastAsia="宋体" w:cs="宋体"/>
          <w:i w:val="0"/>
          <w:caps w:val="0"/>
          <w:color w:val="333333"/>
          <w:spacing w:val="0"/>
          <w:sz w:val="21"/>
          <w:szCs w:val="21"/>
          <w:u w:val="single"/>
          <w:shd w:val="clear" w:color="auto" w:fill="FFFFFF"/>
        </w:rPr>
        <w:t> 12 </w:t>
      </w:r>
      <w:r>
        <w:rPr>
          <w:rFonts w:hint="eastAsia" w:ascii="宋体" w:hAnsi="宋体" w:eastAsia="宋体" w:cs="宋体"/>
          <w:i w:val="0"/>
          <w:caps w:val="0"/>
          <w:color w:val="333333"/>
          <w:spacing w:val="0"/>
          <w:sz w:val="21"/>
          <w:szCs w:val="21"/>
          <w:shd w:val="clear" w:color="auto" w:fill="FFFFFF"/>
        </w:rPr>
        <w:t>时</w:t>
      </w:r>
      <w:r>
        <w:rPr>
          <w:rFonts w:hint="eastAsia" w:ascii="宋体" w:hAnsi="宋体" w:eastAsia="宋体" w:cs="宋体"/>
          <w:i w:val="0"/>
          <w:caps w:val="0"/>
          <w:color w:val="333333"/>
          <w:spacing w:val="0"/>
          <w:sz w:val="21"/>
          <w:szCs w:val="21"/>
          <w:u w:val="single"/>
          <w:shd w:val="clear" w:color="auto" w:fill="FFFFFF"/>
        </w:rPr>
        <w:t>00 </w:t>
      </w:r>
      <w:r>
        <w:rPr>
          <w:rFonts w:hint="eastAsia" w:ascii="宋体" w:hAnsi="宋体" w:cs="宋体"/>
          <w:szCs w:val="21"/>
        </w:rPr>
        <w:t>；递交地点为：重庆市大渡口区重庆国际复合材料股份有限公司</w:t>
      </w:r>
      <w:r>
        <w:rPr>
          <w:rFonts w:hint="eastAsia" w:ascii="宋体" w:hAnsi="宋体" w:cs="宋体"/>
          <w:szCs w:val="21"/>
          <w:lang w:val="en-US" w:eastAsia="zh-CN"/>
        </w:rPr>
        <w:t>安全环保部（办公楼二楼209）</w:t>
      </w:r>
      <w:r>
        <w:rPr>
          <w:rFonts w:hint="eastAsia" w:ascii="宋体" w:hAnsi="宋体" w:cs="宋体"/>
          <w:szCs w:val="21"/>
        </w:rPr>
        <w:t>。</w:t>
      </w:r>
    </w:p>
    <w:p w14:paraId="52FD7D67">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 xml:space="preserve">7.2 </w:t>
      </w:r>
      <w:r>
        <w:rPr>
          <w:rFonts w:hint="eastAsia" w:ascii="宋体" w:hAnsi="宋体" w:cs="宋体"/>
          <w:szCs w:val="21"/>
          <w:lang w:eastAsia="zh-CN"/>
        </w:rPr>
        <w:t>谈判采购</w:t>
      </w:r>
      <w:r>
        <w:rPr>
          <w:rFonts w:hint="eastAsia" w:ascii="宋体" w:hAnsi="宋体" w:cs="宋体"/>
          <w:szCs w:val="21"/>
        </w:rPr>
        <w:t>时间：谈判文件截止之日后三个工作日</w:t>
      </w:r>
      <w:bookmarkStart w:id="22" w:name="_GoBack"/>
      <w:bookmarkEnd w:id="22"/>
      <w:r>
        <w:rPr>
          <w:rFonts w:hint="eastAsia" w:ascii="宋体" w:hAnsi="宋体" w:cs="宋体"/>
          <w:szCs w:val="21"/>
        </w:rPr>
        <w:t>内。</w:t>
      </w:r>
    </w:p>
    <w:p w14:paraId="275DF8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7.3</w:t>
      </w:r>
      <w:r>
        <w:rPr>
          <w:rFonts w:ascii="宋体" w:hAnsi="宋体" w:cs="宋体"/>
          <w:szCs w:val="21"/>
        </w:rPr>
        <w:t xml:space="preserve"> </w:t>
      </w:r>
      <w:r>
        <w:rPr>
          <w:rFonts w:hint="eastAsia" w:ascii="宋体" w:hAnsi="宋体" w:cs="宋体"/>
          <w:szCs w:val="21"/>
          <w:lang w:eastAsia="zh-CN"/>
        </w:rPr>
        <w:t>谈判采购</w:t>
      </w:r>
      <w:r>
        <w:rPr>
          <w:rFonts w:hint="eastAsia" w:ascii="宋体" w:hAnsi="宋体" w:cs="宋体"/>
          <w:szCs w:val="21"/>
        </w:rPr>
        <w:t>地点：重庆市大渡口区重庆国际复合材料股份有限公司。</w:t>
      </w:r>
    </w:p>
    <w:p w14:paraId="1FB73BAA">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w:t>
      </w:r>
      <w:r>
        <w:rPr>
          <w:rFonts w:hint="eastAsia" w:ascii="宋体" w:hAnsi="宋体" w:cs="宋体"/>
          <w:color w:val="000000"/>
          <w:szCs w:val="21"/>
          <w:lang w:eastAsia="zh-CN"/>
        </w:rPr>
        <w:t>谈判采购</w:t>
      </w:r>
      <w:r>
        <w:rPr>
          <w:rFonts w:hint="eastAsia" w:ascii="宋体" w:hAnsi="宋体" w:cs="宋体"/>
          <w:color w:val="000000"/>
          <w:szCs w:val="21"/>
        </w:rPr>
        <w:t>文件要求密封的</w:t>
      </w:r>
      <w:r>
        <w:rPr>
          <w:rFonts w:hint="eastAsia" w:ascii="宋体" w:hAnsi="宋体" w:cs="宋体"/>
          <w:szCs w:val="21"/>
        </w:rPr>
        <w:t>谈判文件，</w:t>
      </w:r>
      <w:r>
        <w:rPr>
          <w:rFonts w:hint="eastAsia" w:ascii="宋体" w:hAnsi="宋体" w:cs="宋体"/>
          <w:szCs w:val="21"/>
          <w:lang w:eastAsia="zh-CN"/>
        </w:rPr>
        <w:t>谈判采购</w:t>
      </w:r>
      <w:r>
        <w:rPr>
          <w:rFonts w:hint="eastAsia" w:ascii="宋体" w:hAnsi="宋体" w:cs="宋体"/>
          <w:szCs w:val="21"/>
        </w:rPr>
        <w:t>单位不予受理。</w:t>
      </w:r>
    </w:p>
    <w:p w14:paraId="3A4CA3F5">
      <w:pPr>
        <w:spacing w:line="440" w:lineRule="exact"/>
        <w:jc w:val="left"/>
        <w:outlineLvl w:val="0"/>
        <w:rPr>
          <w:rFonts w:ascii="宋体" w:hAnsi="宋体"/>
          <w:b/>
          <w:snapToGrid w:val="0"/>
          <w:kern w:val="0"/>
          <w:szCs w:val="21"/>
        </w:rPr>
      </w:pPr>
      <w:r>
        <w:rPr>
          <w:rFonts w:hint="eastAsia" w:ascii="宋体" w:hAnsi="宋体"/>
          <w:b/>
          <w:snapToGrid w:val="0"/>
          <w:kern w:val="0"/>
          <w:szCs w:val="21"/>
        </w:rPr>
        <w:t>8. 发布公告的媒介</w:t>
      </w:r>
    </w:p>
    <w:p w14:paraId="506CFC6F">
      <w:pPr>
        <w:spacing w:line="440" w:lineRule="exact"/>
        <w:ind w:firstLine="420"/>
        <w:jc w:val="left"/>
        <w:rPr>
          <w:rFonts w:ascii="宋体" w:hAnsi="宋体"/>
          <w:szCs w:val="21"/>
        </w:rPr>
      </w:pPr>
      <w:r>
        <w:rPr>
          <w:rFonts w:hint="eastAsia" w:ascii="宋体" w:hAnsi="宋体" w:cs="宋体"/>
          <w:snapToGrid w:val="0"/>
          <w:kern w:val="0"/>
          <w:szCs w:val="21"/>
        </w:rPr>
        <w:t>本次</w:t>
      </w:r>
      <w:r>
        <w:rPr>
          <w:rFonts w:hint="eastAsia" w:ascii="宋体" w:hAnsi="宋体" w:cs="宋体"/>
          <w:snapToGrid w:val="0"/>
          <w:kern w:val="0"/>
          <w:szCs w:val="21"/>
          <w:lang w:eastAsia="zh-CN"/>
        </w:rPr>
        <w:t>谈判采购</w:t>
      </w:r>
      <w:r>
        <w:rPr>
          <w:rFonts w:hint="eastAsia" w:ascii="宋体" w:hAnsi="宋体" w:cs="宋体"/>
          <w:snapToGrid w:val="0"/>
          <w:kern w:val="0"/>
          <w:szCs w:val="21"/>
        </w:rPr>
        <w:t>公告在</w:t>
      </w:r>
      <w:r>
        <w:rPr>
          <w:rFonts w:hint="eastAsia" w:ascii="宋体" w:hAnsi="宋体"/>
          <w:szCs w:val="21"/>
        </w:rPr>
        <w:t>重庆国际复合材料</w:t>
      </w:r>
      <w:r>
        <w:rPr>
          <w:rFonts w:ascii="宋体" w:hAnsi="宋体"/>
          <w:szCs w:val="21"/>
        </w:rPr>
        <w:t>股份有限公司（http://www.cpicfiber.com/）上发布。</w:t>
      </w:r>
    </w:p>
    <w:p w14:paraId="7ED5159C">
      <w:pPr>
        <w:spacing w:line="440" w:lineRule="exact"/>
        <w:jc w:val="left"/>
        <w:outlineLvl w:val="0"/>
        <w:rPr>
          <w:rFonts w:ascii="宋体" w:hAnsi="宋体"/>
          <w:b/>
          <w:snapToGrid w:val="0"/>
          <w:kern w:val="0"/>
          <w:szCs w:val="21"/>
        </w:rPr>
      </w:pPr>
      <w:r>
        <w:rPr>
          <w:rFonts w:hint="eastAsia" w:ascii="宋体" w:hAnsi="宋体"/>
          <w:b/>
          <w:snapToGrid w:val="0"/>
          <w:kern w:val="0"/>
          <w:szCs w:val="21"/>
        </w:rPr>
        <w:t>9</w:t>
      </w:r>
      <w:r>
        <w:rPr>
          <w:rFonts w:ascii="宋体" w:hAnsi="宋体"/>
          <w:b/>
          <w:snapToGrid w:val="0"/>
          <w:kern w:val="0"/>
          <w:szCs w:val="21"/>
        </w:rPr>
        <w:t>.</w:t>
      </w:r>
      <w:r>
        <w:rPr>
          <w:rFonts w:hint="eastAsia" w:ascii="宋体" w:hAnsi="宋体"/>
          <w:b/>
          <w:snapToGrid w:val="0"/>
          <w:kern w:val="0"/>
          <w:szCs w:val="21"/>
        </w:rPr>
        <w:t>特别注意</w:t>
      </w:r>
    </w:p>
    <w:p w14:paraId="4B473C34">
      <w:pPr>
        <w:spacing w:line="440" w:lineRule="exact"/>
        <w:ind w:firstLine="420"/>
        <w:jc w:val="left"/>
        <w:rPr>
          <w:rFonts w:ascii="宋体" w:hAnsi="宋体"/>
          <w:szCs w:val="21"/>
        </w:rPr>
      </w:pPr>
      <w:r>
        <w:rPr>
          <w:rFonts w:hint="eastAsia" w:ascii="宋体" w:hAnsi="宋体"/>
          <w:szCs w:val="21"/>
        </w:rPr>
        <w:t>单位负责人为同一人或者存在控股、管理关系的不同单位，不得同时参加本次</w:t>
      </w:r>
      <w:r>
        <w:rPr>
          <w:rFonts w:hint="eastAsia" w:ascii="宋体" w:hAnsi="宋体"/>
          <w:szCs w:val="21"/>
          <w:lang w:eastAsia="zh-CN"/>
        </w:rPr>
        <w:t>谈判采购</w:t>
      </w:r>
      <w:r>
        <w:rPr>
          <w:rFonts w:hint="eastAsia" w:ascii="宋体" w:hAnsi="宋体"/>
          <w:szCs w:val="21"/>
        </w:rPr>
        <w:t>。</w:t>
      </w:r>
    </w:p>
    <w:p w14:paraId="6937AD4B">
      <w:pPr>
        <w:spacing w:line="440" w:lineRule="exact"/>
        <w:jc w:val="left"/>
        <w:outlineLvl w:val="0"/>
        <w:rPr>
          <w:rFonts w:ascii="宋体" w:hAnsi="宋体"/>
          <w:b/>
          <w:snapToGrid w:val="0"/>
          <w:kern w:val="0"/>
          <w:szCs w:val="21"/>
        </w:rPr>
      </w:pPr>
      <w:r>
        <w:rPr>
          <w:rFonts w:hint="eastAsia" w:ascii="宋体" w:hAnsi="宋体"/>
          <w:b/>
          <w:snapToGrid w:val="0"/>
          <w:kern w:val="0"/>
          <w:szCs w:val="21"/>
        </w:rPr>
        <w:t>10. 联系方式</w:t>
      </w:r>
    </w:p>
    <w:p w14:paraId="0F9E53D3">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40F2FA32">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7988A008">
      <w:pPr>
        <w:spacing w:line="440" w:lineRule="exact"/>
        <w:ind w:firstLine="424" w:firstLineChars="202"/>
        <w:rPr>
          <w:rFonts w:hint="eastAsia" w:ascii="宋体" w:hAnsi="宋体" w:eastAsia="宋体"/>
          <w:szCs w:val="21"/>
          <w:lang w:eastAsia="zh-CN"/>
        </w:rPr>
      </w:pPr>
      <w:r>
        <w:rPr>
          <w:rFonts w:ascii="宋体" w:hAnsi="宋体"/>
          <w:szCs w:val="21"/>
        </w:rPr>
        <w:t>联系人：</w:t>
      </w:r>
      <w:r>
        <w:rPr>
          <w:rFonts w:hint="eastAsia" w:ascii="宋体" w:hAnsi="宋体"/>
          <w:szCs w:val="21"/>
          <w:lang w:val="en-US" w:eastAsia="zh-CN"/>
        </w:rPr>
        <w:t>彭德招</w:t>
      </w:r>
    </w:p>
    <w:p w14:paraId="23869AFE">
      <w:pPr>
        <w:spacing w:line="440" w:lineRule="exact"/>
        <w:ind w:firstLine="424" w:firstLineChars="202"/>
        <w:rPr>
          <w:rFonts w:hint="default" w:ascii="宋体" w:hAnsi="宋体" w:eastAsia="宋体"/>
          <w:szCs w:val="21"/>
          <w:lang w:val="en-US" w:eastAsia="zh-CN"/>
        </w:rPr>
      </w:pPr>
      <w:r>
        <w:rPr>
          <w:rFonts w:ascii="宋体" w:hAnsi="宋体"/>
          <w:szCs w:val="21"/>
        </w:rPr>
        <w:t>联系电话：</w:t>
      </w:r>
      <w:r>
        <w:rPr>
          <w:rFonts w:hint="eastAsia" w:ascii="宋体" w:hAnsi="宋体"/>
          <w:szCs w:val="21"/>
          <w:lang w:val="en-US" w:eastAsia="zh-CN"/>
        </w:rPr>
        <w:t>18485350205</w:t>
      </w:r>
    </w:p>
    <w:p w14:paraId="296FD60F">
      <w:pPr>
        <w:spacing w:line="440" w:lineRule="exact"/>
        <w:ind w:firstLine="424" w:firstLineChars="202"/>
        <w:rPr>
          <w:rFonts w:ascii="宋体" w:hAnsi="宋体"/>
          <w:szCs w:val="21"/>
        </w:rPr>
      </w:pPr>
      <w:r>
        <w:rPr>
          <w:rFonts w:hint="eastAsia" w:ascii="宋体" w:hAnsi="宋体"/>
          <w:szCs w:val="21"/>
        </w:rPr>
        <w:t>监督人：重庆国际复合材料股份有限公司风险管理部</w:t>
      </w:r>
    </w:p>
    <w:p w14:paraId="2A0BADE6">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55D66262">
      <w:pPr>
        <w:spacing w:line="440" w:lineRule="exact"/>
        <w:ind w:firstLine="424" w:firstLineChars="202"/>
        <w:rPr>
          <w:rFonts w:ascii="宋体" w:hAnsi="宋体"/>
          <w:szCs w:val="21"/>
        </w:rPr>
      </w:pPr>
      <w:r>
        <w:rPr>
          <w:rFonts w:hint="eastAsia" w:ascii="宋体" w:hAnsi="宋体"/>
          <w:szCs w:val="21"/>
        </w:rPr>
        <w:t>联系人：付老师</w:t>
      </w:r>
    </w:p>
    <w:p w14:paraId="2BC528CE">
      <w:pPr>
        <w:spacing w:line="440" w:lineRule="exact"/>
        <w:ind w:firstLine="424" w:firstLineChars="202"/>
        <w:rPr>
          <w:rFonts w:ascii="宋体" w:hAnsi="宋体"/>
          <w:szCs w:val="21"/>
        </w:rPr>
      </w:pPr>
      <w:r>
        <w:rPr>
          <w:rFonts w:hint="eastAsia" w:ascii="宋体" w:hAnsi="宋体"/>
          <w:szCs w:val="21"/>
        </w:rPr>
        <w:t>联系电话：</w:t>
      </w:r>
      <w:r>
        <w:rPr>
          <w:rFonts w:hint="eastAsia" w:ascii="宋体" w:hAnsi="宋体" w:eastAsia="宋体" w:cs="宋体"/>
          <w:i w:val="0"/>
          <w:iCs w:val="0"/>
          <w:caps w:val="0"/>
          <w:color w:val="333333"/>
          <w:spacing w:val="0"/>
          <w:sz w:val="21"/>
          <w:szCs w:val="21"/>
          <w:shd w:val="clear" w:fill="FFFFFF"/>
        </w:rPr>
        <w:t>023-68536643</w:t>
      </w:r>
    </w:p>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14:paraId="1B5D6622">
      <w:pPr>
        <w:spacing w:line="360" w:lineRule="auto"/>
        <w:jc w:val="left"/>
        <w:outlineLvl w:val="0"/>
        <w:rPr>
          <w:rFonts w:ascii="宋体" w:hAnsi="宋体"/>
          <w:szCs w:val="21"/>
          <w:highlight w:val="yellow"/>
        </w:rPr>
      </w:pPr>
    </w:p>
    <w:p w14:paraId="38D5380C">
      <w:pPr>
        <w:spacing w:line="360" w:lineRule="auto"/>
        <w:jc w:val="left"/>
        <w:outlineLvl w:val="0"/>
        <w:rPr>
          <w:rFonts w:ascii="宋体" w:hAnsi="宋体"/>
          <w:szCs w:val="21"/>
          <w:highlight w:val="yellow"/>
        </w:rPr>
      </w:pPr>
    </w:p>
    <w:p w14:paraId="08813875">
      <w:pPr>
        <w:spacing w:line="360" w:lineRule="auto"/>
        <w:jc w:val="left"/>
        <w:outlineLvl w:val="0"/>
        <w:rPr>
          <w:rFonts w:ascii="宋体" w:hAnsi="宋体"/>
          <w:szCs w:val="21"/>
          <w:highlight w:val="yellow"/>
        </w:rPr>
      </w:pPr>
    </w:p>
    <w:p w14:paraId="374AEC17">
      <w:pPr>
        <w:spacing w:line="360" w:lineRule="auto"/>
        <w:jc w:val="left"/>
        <w:outlineLvl w:val="0"/>
        <w:rPr>
          <w:rFonts w:ascii="宋体" w:hAnsi="宋体"/>
          <w:szCs w:val="21"/>
          <w:highlight w:val="yellow"/>
        </w:rPr>
      </w:pPr>
    </w:p>
    <w:p w14:paraId="3819A966">
      <w:pPr>
        <w:spacing w:line="360" w:lineRule="auto"/>
        <w:jc w:val="left"/>
        <w:outlineLvl w:val="0"/>
        <w:rPr>
          <w:rFonts w:ascii="宋体" w:hAnsi="宋体"/>
          <w:szCs w:val="21"/>
          <w:highlight w:val="yellow"/>
        </w:rPr>
      </w:pPr>
    </w:p>
    <w:p w14:paraId="3F529DDF">
      <w:pPr>
        <w:spacing w:line="360" w:lineRule="auto"/>
        <w:jc w:val="left"/>
        <w:outlineLvl w:val="0"/>
        <w:rPr>
          <w:rFonts w:ascii="宋体" w:hAnsi="宋体"/>
          <w:szCs w:val="21"/>
          <w:highlight w:val="yellow"/>
        </w:rPr>
      </w:pPr>
    </w:p>
    <w:p w14:paraId="0AEAF84E">
      <w:pPr>
        <w:spacing w:line="360" w:lineRule="auto"/>
        <w:jc w:val="left"/>
        <w:outlineLvl w:val="0"/>
        <w:rPr>
          <w:rFonts w:ascii="宋体" w:hAnsi="宋体"/>
          <w:szCs w:val="21"/>
          <w:highlight w:val="yellow"/>
        </w:rPr>
      </w:pPr>
    </w:p>
    <w:p w14:paraId="0E30C0B4">
      <w:pPr>
        <w:spacing w:line="360" w:lineRule="auto"/>
        <w:jc w:val="left"/>
        <w:outlineLvl w:val="0"/>
        <w:rPr>
          <w:rFonts w:ascii="宋体" w:hAnsi="宋体"/>
          <w:szCs w:val="21"/>
          <w:highlight w:val="yellow"/>
        </w:rPr>
      </w:pPr>
    </w:p>
    <w:p w14:paraId="056E2882">
      <w:pPr>
        <w:spacing w:line="360" w:lineRule="auto"/>
        <w:jc w:val="left"/>
        <w:outlineLvl w:val="0"/>
        <w:rPr>
          <w:rFonts w:ascii="宋体" w:hAnsi="宋体"/>
          <w:szCs w:val="21"/>
          <w:highlight w:val="yellow"/>
        </w:rPr>
      </w:pPr>
    </w:p>
    <w:p w14:paraId="0F97B602">
      <w:pPr>
        <w:spacing w:line="360" w:lineRule="auto"/>
        <w:jc w:val="left"/>
        <w:outlineLvl w:val="0"/>
        <w:rPr>
          <w:rFonts w:ascii="宋体" w:hAnsi="宋体"/>
          <w:szCs w:val="21"/>
          <w:highlight w:val="yellow"/>
        </w:rPr>
      </w:pPr>
    </w:p>
    <w:p w14:paraId="3584F25D">
      <w:pPr>
        <w:spacing w:line="360" w:lineRule="auto"/>
        <w:jc w:val="left"/>
        <w:outlineLvl w:val="0"/>
        <w:rPr>
          <w:rFonts w:ascii="宋体" w:hAnsi="宋体"/>
          <w:szCs w:val="21"/>
          <w:highlight w:val="yellow"/>
        </w:rPr>
      </w:pPr>
    </w:p>
    <w:p w14:paraId="57F1AF94">
      <w:pPr>
        <w:spacing w:line="360" w:lineRule="auto"/>
        <w:jc w:val="left"/>
        <w:outlineLvl w:val="0"/>
        <w:rPr>
          <w:rFonts w:ascii="宋体" w:hAnsi="宋体"/>
          <w:szCs w:val="21"/>
          <w:highlight w:val="yellow"/>
        </w:rPr>
      </w:pPr>
    </w:p>
    <w:p w14:paraId="16D37D38">
      <w:pPr>
        <w:spacing w:line="360" w:lineRule="auto"/>
        <w:jc w:val="left"/>
        <w:outlineLvl w:val="0"/>
        <w:rPr>
          <w:rFonts w:ascii="宋体" w:hAnsi="宋体"/>
          <w:szCs w:val="21"/>
          <w:highlight w:val="yellow"/>
        </w:rPr>
      </w:pPr>
    </w:p>
    <w:p w14:paraId="5991F9C2">
      <w:pPr>
        <w:spacing w:line="360" w:lineRule="auto"/>
        <w:jc w:val="left"/>
        <w:outlineLvl w:val="0"/>
        <w:rPr>
          <w:rFonts w:ascii="宋体" w:hAnsi="宋体"/>
          <w:szCs w:val="21"/>
          <w:highlight w:val="yellow"/>
        </w:rPr>
      </w:pPr>
    </w:p>
    <w:p w14:paraId="5F672037">
      <w:pPr>
        <w:spacing w:line="360" w:lineRule="auto"/>
        <w:jc w:val="left"/>
        <w:outlineLvl w:val="0"/>
        <w:rPr>
          <w:rFonts w:ascii="宋体" w:hAnsi="宋体"/>
          <w:szCs w:val="21"/>
          <w:highlight w:val="yellow"/>
        </w:rPr>
      </w:pPr>
    </w:p>
    <w:p w14:paraId="549061AE">
      <w:pPr>
        <w:spacing w:line="360" w:lineRule="auto"/>
        <w:jc w:val="left"/>
        <w:outlineLvl w:val="0"/>
        <w:rPr>
          <w:rFonts w:ascii="宋体" w:hAnsi="宋体"/>
          <w:szCs w:val="21"/>
          <w:highlight w:val="yellow"/>
        </w:rPr>
      </w:pPr>
    </w:p>
    <w:p w14:paraId="7F2A1AAD">
      <w:pPr>
        <w:spacing w:line="360" w:lineRule="auto"/>
        <w:jc w:val="left"/>
        <w:outlineLvl w:val="0"/>
        <w:rPr>
          <w:rFonts w:ascii="宋体" w:hAnsi="宋体"/>
          <w:szCs w:val="21"/>
          <w:highlight w:val="yellow"/>
        </w:rPr>
      </w:pPr>
    </w:p>
    <w:p w14:paraId="21F48A53">
      <w:pPr>
        <w:spacing w:line="360" w:lineRule="auto"/>
        <w:jc w:val="left"/>
        <w:outlineLvl w:val="0"/>
        <w:rPr>
          <w:rFonts w:ascii="宋体" w:hAnsi="宋体"/>
          <w:szCs w:val="21"/>
          <w:highlight w:val="yellow"/>
        </w:rPr>
      </w:pPr>
    </w:p>
    <w:p w14:paraId="7D4FCAA9">
      <w:pPr>
        <w:pStyle w:val="2"/>
        <w:rPr>
          <w:highlight w:val="yellow"/>
        </w:rPr>
      </w:pPr>
    </w:p>
    <w:p w14:paraId="423BF348">
      <w:pPr>
        <w:rPr>
          <w:highlight w:val="yellow"/>
        </w:rPr>
      </w:pPr>
    </w:p>
    <w:p w14:paraId="6AC619DA">
      <w:pPr>
        <w:pStyle w:val="2"/>
        <w:rPr>
          <w:highlight w:val="yellow"/>
        </w:rPr>
      </w:pPr>
    </w:p>
    <w:p w14:paraId="48C19B86">
      <w:pPr>
        <w:spacing w:line="360" w:lineRule="auto"/>
        <w:jc w:val="left"/>
        <w:outlineLvl w:val="0"/>
        <w:rPr>
          <w:rFonts w:ascii="宋体" w:hAnsi="宋体"/>
          <w:szCs w:val="21"/>
          <w:highlight w:val="yellow"/>
        </w:rPr>
      </w:pPr>
    </w:p>
    <w:p w14:paraId="3B2CA96D">
      <w:pPr>
        <w:pStyle w:val="3"/>
        <w:spacing w:before="240" w:beforeLines="100" w:after="360" w:afterLines="150" w:line="276" w:lineRule="auto"/>
        <w:jc w:val="center"/>
        <w:rPr>
          <w:rFonts w:ascii="宋体" w:hAnsi="宋体"/>
        </w:rPr>
      </w:pPr>
      <w:r>
        <w:rPr>
          <w:rFonts w:hint="eastAsia" w:ascii="宋体" w:hAnsi="宋体"/>
        </w:rPr>
        <w:t>第二章  采购内容</w:t>
      </w:r>
    </w:p>
    <w:p w14:paraId="6F0DAC00">
      <w:pPr>
        <w:topLinePunct/>
        <w:adjustRightInd w:val="0"/>
        <w:snapToGrid w:val="0"/>
        <w:spacing w:line="440" w:lineRule="exact"/>
        <w:outlineLvl w:val="0"/>
        <w:rPr>
          <w:rFonts w:ascii="宋体" w:hAnsi="宋体"/>
          <w:b/>
          <w:snapToGrid w:val="0"/>
          <w:kern w:val="0"/>
          <w:sz w:val="28"/>
          <w:szCs w:val="28"/>
        </w:rPr>
      </w:pPr>
      <w:r>
        <w:rPr>
          <w:rFonts w:hint="eastAsia" w:ascii="宋体" w:hAnsi="宋体"/>
          <w:b/>
          <w:snapToGrid w:val="0"/>
          <w:kern w:val="0"/>
          <w:sz w:val="28"/>
          <w:szCs w:val="28"/>
        </w:rPr>
        <w:t>1.项目概况</w:t>
      </w:r>
    </w:p>
    <w:p w14:paraId="5824A04F">
      <w:pPr>
        <w:topLinePunct/>
        <w:adjustRightInd w:val="0"/>
        <w:snapToGrid w:val="0"/>
        <w:spacing w:line="440" w:lineRule="exact"/>
        <w:ind w:firstLine="420" w:firstLineChars="200"/>
        <w:outlineLvl w:val="1"/>
        <w:rPr>
          <w:rFonts w:ascii="宋体" w:hAnsi="宋体"/>
          <w:color w:val="000000"/>
          <w:szCs w:val="21"/>
        </w:rPr>
      </w:pPr>
      <w:r>
        <w:rPr>
          <w:rFonts w:ascii="宋体" w:hAnsi="宋体"/>
          <w:color w:val="000000"/>
          <w:szCs w:val="21"/>
        </w:rPr>
        <w:t>重庆国际复合材料股份有限公司（以下简称</w:t>
      </w:r>
      <w:r>
        <w:rPr>
          <w:rFonts w:hAnsi="宋体"/>
          <w:color w:val="000000"/>
          <w:szCs w:val="21"/>
        </w:rPr>
        <w:t>“采购人”）</w:t>
      </w:r>
      <w:r>
        <w:rPr>
          <w:rFonts w:ascii="宋体" w:hAnsi="宋体"/>
          <w:color w:val="000000"/>
          <w:szCs w:val="21"/>
        </w:rPr>
        <w:t>成立于1991年，是云天化集团旗下玻纤新材料产业板块的重要支柱企业。自成立以来，采购人始终专注于高性能新材料，致力于研制品质稳定、持续创新的高性能产品，为客户提供更具价值的服务和应用解决方案，是一家以研发、生产、销售玻璃纤维及复合材料为核心业务的高新技术企业。</w:t>
      </w:r>
    </w:p>
    <w:p w14:paraId="3DC0A0E8">
      <w:pPr>
        <w:topLinePunct/>
        <w:adjustRightInd w:val="0"/>
        <w:snapToGrid w:val="0"/>
        <w:spacing w:line="440" w:lineRule="exact"/>
        <w:ind w:firstLine="420" w:firstLineChars="200"/>
        <w:outlineLvl w:val="1"/>
        <w:rPr>
          <w:rFonts w:ascii="宋体" w:hAnsi="宋体"/>
          <w:color w:val="000000"/>
          <w:szCs w:val="21"/>
        </w:rPr>
      </w:pPr>
      <w:r>
        <w:rPr>
          <w:rFonts w:ascii="宋体" w:hAnsi="宋体"/>
          <w:color w:val="000000"/>
          <w:szCs w:val="21"/>
        </w:rPr>
        <w:t>采购人生产的玻璃纤维作为复合材料的增强材料，具有轻质、高强、耐久、绿色环保等特点，广泛运用于风电叶片、光伏支架边框、汽车及轨道交通、电子电器、电力绝缘、建材、门窗、工业管罐、航空航天等重要领域。经过30余年的不断发展，采购人现在全球拥有7个生产基地、17条玻纤池窑生产线，旗下共有23家全资、控股子公司，玻纤年产能达121万吨，产能规模位居全球前三，在清洁能源、节能减排、5G通讯等核心业务领域居于全球领先地位。拥有遍布全球的营销网络，在美国、荷兰和香港等设立贸易子公司，产品畅销全球数十个国家和地区，与通用电气、杜邦、帝斯曼、西门子歌美飒、维斯塔斯、华为、时代新材、中材科技、金发科技等国际知名企业建立了长期稳定的战略合作关系。</w:t>
      </w:r>
    </w:p>
    <w:p w14:paraId="16B3A3EB">
      <w:pPr>
        <w:topLinePunct/>
        <w:adjustRightInd w:val="0"/>
        <w:snapToGrid w:val="0"/>
        <w:spacing w:line="440" w:lineRule="exact"/>
        <w:outlineLvl w:val="0"/>
        <w:rPr>
          <w:rFonts w:ascii="宋体" w:hAnsi="宋体"/>
          <w:b/>
          <w:snapToGrid w:val="0"/>
          <w:kern w:val="0"/>
          <w:sz w:val="28"/>
          <w:szCs w:val="28"/>
        </w:rPr>
      </w:pPr>
      <w:r>
        <w:rPr>
          <w:rFonts w:ascii="宋体" w:hAnsi="宋体"/>
          <w:b/>
          <w:snapToGrid w:val="0"/>
          <w:kern w:val="0"/>
          <w:sz w:val="28"/>
          <w:szCs w:val="28"/>
        </w:rPr>
        <w:t>2.服务</w:t>
      </w:r>
      <w:r>
        <w:rPr>
          <w:rFonts w:hint="eastAsia" w:ascii="宋体" w:hAnsi="宋体"/>
          <w:b/>
          <w:snapToGrid w:val="0"/>
          <w:kern w:val="0"/>
          <w:sz w:val="28"/>
          <w:szCs w:val="28"/>
        </w:rPr>
        <w:t>要求</w:t>
      </w:r>
    </w:p>
    <w:p w14:paraId="1115D5C2">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2.1</w:t>
      </w:r>
      <w:r>
        <w:rPr>
          <w:rFonts w:hint="eastAsia" w:ascii="宋体" w:hAnsi="宋体" w:eastAsia="宋体" w:cs="仿宋"/>
          <w:szCs w:val="21"/>
        </w:rPr>
        <w:t>维护保养范围：</w:t>
      </w:r>
      <w:r>
        <w:rPr>
          <w:rFonts w:hint="eastAsia" w:ascii="宋体" w:hAnsi="宋体" w:eastAsia="宋体" w:cs="仿宋"/>
          <w:szCs w:val="21"/>
          <w:lang w:val="en-US" w:eastAsia="zh-CN"/>
        </w:rPr>
        <w:t>①.</w:t>
      </w:r>
      <w:r>
        <w:rPr>
          <w:rFonts w:hint="eastAsia" w:ascii="宋体" w:hAnsi="宋体" w:eastAsia="宋体" w:cs="仿宋"/>
          <w:szCs w:val="21"/>
        </w:rPr>
        <w:t>火灾自动报警及联动控制系统；</w:t>
      </w:r>
      <w:r>
        <w:rPr>
          <w:rFonts w:hint="eastAsia" w:ascii="宋体" w:hAnsi="宋体" w:eastAsia="宋体" w:cs="仿宋"/>
          <w:szCs w:val="21"/>
          <w:lang w:val="en-US" w:eastAsia="zh-CN"/>
        </w:rPr>
        <w:t>②.</w:t>
      </w:r>
      <w:r>
        <w:rPr>
          <w:rFonts w:hint="eastAsia" w:ascii="宋体" w:hAnsi="宋体" w:eastAsia="宋体" w:cs="仿宋"/>
          <w:szCs w:val="21"/>
        </w:rPr>
        <w:t>消火栓给水系统；</w:t>
      </w:r>
      <w:r>
        <w:rPr>
          <w:rFonts w:hint="eastAsia" w:ascii="宋体" w:hAnsi="宋体" w:eastAsia="宋体" w:cs="仿宋"/>
          <w:szCs w:val="21"/>
          <w:lang w:val="en-US" w:eastAsia="zh-CN"/>
        </w:rPr>
        <w:t>③.</w:t>
      </w:r>
      <w:r>
        <w:rPr>
          <w:rFonts w:hint="eastAsia" w:ascii="宋体" w:hAnsi="宋体" w:eastAsia="宋体" w:cs="仿宋"/>
          <w:szCs w:val="21"/>
        </w:rPr>
        <w:t>自动喷水灭火系统；</w:t>
      </w:r>
      <w:r>
        <w:rPr>
          <w:rFonts w:hint="eastAsia" w:ascii="宋体" w:hAnsi="宋体" w:eastAsia="宋体" w:cs="仿宋"/>
          <w:szCs w:val="21"/>
          <w:lang w:val="en-US" w:eastAsia="zh-CN"/>
        </w:rPr>
        <w:t>④.</w:t>
      </w:r>
      <w:r>
        <w:rPr>
          <w:rFonts w:hint="eastAsia" w:ascii="宋体" w:hAnsi="宋体" w:eastAsia="宋体" w:cs="仿宋"/>
          <w:szCs w:val="21"/>
        </w:rPr>
        <w:t>气体灭火系统；</w:t>
      </w:r>
      <w:r>
        <w:rPr>
          <w:rFonts w:hint="eastAsia" w:ascii="宋体" w:hAnsi="宋体" w:eastAsia="宋体" w:cs="仿宋"/>
          <w:szCs w:val="21"/>
          <w:lang w:val="en-US" w:eastAsia="zh-CN"/>
        </w:rPr>
        <w:t>⑤.</w:t>
      </w:r>
      <w:r>
        <w:rPr>
          <w:rFonts w:hint="eastAsia" w:ascii="宋体" w:hAnsi="宋体" w:eastAsia="宋体" w:cs="仿宋"/>
          <w:szCs w:val="21"/>
        </w:rPr>
        <w:t>泡沫灭火系统</w:t>
      </w:r>
      <w:r>
        <w:rPr>
          <w:rFonts w:hint="eastAsia" w:ascii="宋体" w:hAnsi="宋体" w:eastAsia="宋体" w:cs="仿宋"/>
          <w:szCs w:val="21"/>
          <w:lang w:eastAsia="zh-CN"/>
        </w:rPr>
        <w:t>；</w:t>
      </w:r>
      <w:r>
        <w:rPr>
          <w:rFonts w:hint="eastAsia" w:ascii="宋体" w:hAnsi="宋体" w:eastAsia="宋体" w:cs="仿宋"/>
          <w:szCs w:val="21"/>
          <w:lang w:val="en-US" w:eastAsia="zh-CN"/>
        </w:rPr>
        <w:t>⑥.</w:t>
      </w:r>
      <w:r>
        <w:rPr>
          <w:rFonts w:hint="eastAsia" w:ascii="宋体" w:hAnsi="宋体" w:eastAsia="宋体" w:cs="仿宋"/>
          <w:szCs w:val="21"/>
        </w:rPr>
        <w:t>防排烟系统；</w:t>
      </w:r>
      <w:r>
        <w:rPr>
          <w:rFonts w:hint="eastAsia" w:ascii="宋体" w:hAnsi="宋体" w:eastAsia="宋体" w:cs="仿宋"/>
          <w:szCs w:val="21"/>
          <w:lang w:val="en-US" w:eastAsia="zh-CN"/>
        </w:rPr>
        <w:t>⑦.干粉灭火系统</w:t>
      </w:r>
      <w:r>
        <w:rPr>
          <w:rFonts w:hint="eastAsia" w:ascii="宋体" w:hAnsi="宋体" w:eastAsia="宋体" w:cs="仿宋"/>
          <w:szCs w:val="21"/>
        </w:rPr>
        <w:t>；</w:t>
      </w:r>
      <w:r>
        <w:rPr>
          <w:rFonts w:hint="eastAsia" w:ascii="宋体" w:hAnsi="宋体" w:eastAsia="宋体" w:cs="仿宋"/>
          <w:szCs w:val="21"/>
          <w:lang w:val="en-US" w:eastAsia="zh-CN"/>
        </w:rPr>
        <w:t>⑧.</w:t>
      </w:r>
      <w:r>
        <w:rPr>
          <w:rFonts w:hint="eastAsia" w:ascii="宋体" w:hAnsi="宋体" w:eastAsia="宋体" w:cs="仿宋"/>
          <w:szCs w:val="21"/>
        </w:rPr>
        <w:t>防火分隔设施（防火卷帘）；</w:t>
      </w:r>
      <w:r>
        <w:rPr>
          <w:rFonts w:hint="eastAsia" w:ascii="宋体" w:hAnsi="宋体" w:eastAsia="宋体" w:cs="仿宋"/>
          <w:szCs w:val="21"/>
          <w:lang w:val="en-US" w:eastAsia="zh-CN"/>
        </w:rPr>
        <w:t>⑨.</w:t>
      </w:r>
      <w:r>
        <w:rPr>
          <w:rFonts w:hint="eastAsia" w:ascii="宋体" w:hAnsi="宋体" w:eastAsia="宋体" w:cs="仿宋"/>
          <w:szCs w:val="21"/>
        </w:rPr>
        <w:t>消防电气</w:t>
      </w:r>
      <w:r>
        <w:rPr>
          <w:rFonts w:hint="eastAsia" w:ascii="宋体" w:hAnsi="宋体" w:eastAsia="宋体" w:cs="仿宋"/>
          <w:szCs w:val="21"/>
          <w:lang w:val="en-US" w:eastAsia="zh-CN"/>
        </w:rPr>
        <w:t>系统</w:t>
      </w:r>
      <w:r>
        <w:rPr>
          <w:rFonts w:hint="eastAsia" w:ascii="宋体" w:hAnsi="宋体" w:eastAsia="宋体" w:cs="仿宋"/>
          <w:szCs w:val="21"/>
        </w:rPr>
        <w:t>(应急照明及疏散指标志）</w:t>
      </w:r>
      <w:r>
        <w:rPr>
          <w:rFonts w:hint="eastAsia" w:ascii="宋体" w:hAnsi="宋体" w:eastAsia="宋体" w:cs="仿宋"/>
          <w:szCs w:val="21"/>
          <w:lang w:eastAsia="zh-CN"/>
        </w:rPr>
        <w:t>；⑩</w:t>
      </w:r>
      <w:r>
        <w:rPr>
          <w:rFonts w:hint="eastAsia" w:ascii="宋体" w:hAnsi="宋体" w:eastAsia="宋体" w:cs="仿宋"/>
          <w:szCs w:val="21"/>
          <w:lang w:val="en-US" w:eastAsia="zh-CN"/>
        </w:rPr>
        <w:t>.</w:t>
      </w:r>
      <w:r>
        <w:rPr>
          <w:rFonts w:hint="eastAsia" w:ascii="宋体" w:hAnsi="宋体" w:eastAsia="宋体" w:cs="仿宋"/>
          <w:szCs w:val="21"/>
        </w:rPr>
        <w:t>其他建筑消防设施箱式消火栓、消防喷淋系统应急动力电源、防火门/防爆门、灭火器材</w:t>
      </w:r>
      <w:r>
        <w:rPr>
          <w:rFonts w:hint="eastAsia" w:ascii="宋体" w:hAnsi="宋体" w:eastAsia="宋体" w:cs="仿宋"/>
          <w:szCs w:val="21"/>
          <w:lang w:val="en-US" w:eastAsia="zh-CN"/>
        </w:rPr>
        <w:t>等</w:t>
      </w:r>
      <w:r>
        <w:rPr>
          <w:rFonts w:hint="eastAsia" w:ascii="宋体" w:hAnsi="宋体" w:eastAsia="宋体" w:cs="仿宋"/>
          <w:szCs w:val="21"/>
        </w:rPr>
        <w:t>。</w:t>
      </w:r>
    </w:p>
    <w:p w14:paraId="2FE7665C">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2.2</w:t>
      </w:r>
      <w:r>
        <w:rPr>
          <w:rFonts w:hint="eastAsia" w:ascii="宋体" w:hAnsi="宋体" w:eastAsia="宋体" w:cs="仿宋"/>
          <w:szCs w:val="21"/>
        </w:rPr>
        <w:t>维护的设施器材：见后附件明细表。</w:t>
      </w:r>
    </w:p>
    <w:p w14:paraId="4B6EDB87">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2.3</w:t>
      </w:r>
      <w:r>
        <w:rPr>
          <w:rFonts w:hint="eastAsia" w:ascii="宋体" w:hAnsi="宋体" w:eastAsia="宋体" w:cs="仿宋"/>
          <w:szCs w:val="21"/>
        </w:rPr>
        <w:t>维保</w:t>
      </w:r>
      <w:r>
        <w:rPr>
          <w:rFonts w:hint="eastAsia" w:ascii="宋体" w:hAnsi="宋体" w:eastAsia="宋体" w:cs="仿宋"/>
          <w:szCs w:val="21"/>
          <w:lang w:eastAsia="zh-CN"/>
        </w:rPr>
        <w:t>要求</w:t>
      </w:r>
      <w:r>
        <w:rPr>
          <w:rFonts w:hint="eastAsia" w:ascii="宋体" w:hAnsi="宋体" w:eastAsia="宋体" w:cs="仿宋"/>
          <w:szCs w:val="21"/>
        </w:rPr>
        <w:t>按照《建筑消防设施的维护管理》（GB25201－2010）</w:t>
      </w:r>
      <w:r>
        <w:rPr>
          <w:rFonts w:hint="eastAsia" w:ascii="宋体" w:hAnsi="宋体" w:eastAsia="宋体" w:cs="仿宋"/>
          <w:szCs w:val="21"/>
          <w:lang w:val="en-US" w:eastAsia="zh-CN"/>
        </w:rPr>
        <w:t>与行业相关部门</w:t>
      </w:r>
      <w:r>
        <w:rPr>
          <w:rFonts w:hint="eastAsia" w:ascii="宋体" w:hAnsi="宋体" w:eastAsia="宋体" w:cs="仿宋"/>
          <w:szCs w:val="21"/>
        </w:rPr>
        <w:t>等规定具体要求，采用符合标准的工器具等检测设备对</w:t>
      </w:r>
      <w:r>
        <w:rPr>
          <w:rFonts w:hint="eastAsia" w:ascii="宋体" w:hAnsi="宋体" w:eastAsia="宋体" w:cs="仿宋"/>
          <w:szCs w:val="21"/>
          <w:lang w:val="en-US" w:eastAsia="zh-CN"/>
        </w:rPr>
        <w:t>建筑相关</w:t>
      </w:r>
      <w:r>
        <w:rPr>
          <w:rFonts w:hint="eastAsia" w:ascii="宋体" w:hAnsi="宋体" w:eastAsia="宋体" w:cs="仿宋"/>
          <w:szCs w:val="21"/>
        </w:rPr>
        <w:t>消防设施</w:t>
      </w:r>
      <w:r>
        <w:rPr>
          <w:rFonts w:hint="eastAsia" w:ascii="宋体" w:hAnsi="宋体" w:eastAsia="宋体" w:cs="仿宋"/>
          <w:szCs w:val="21"/>
          <w:lang w:val="en-US" w:eastAsia="zh-CN"/>
        </w:rPr>
        <w:t>设备</w:t>
      </w:r>
      <w:r>
        <w:rPr>
          <w:rFonts w:hint="eastAsia" w:ascii="宋体" w:hAnsi="宋体" w:eastAsia="宋体" w:cs="仿宋"/>
          <w:szCs w:val="21"/>
        </w:rPr>
        <w:t>进行维护保养，并编制报告。主要包括对整个消防系统、设备及设施的全面维护保养工作：</w:t>
      </w:r>
    </w:p>
    <w:p w14:paraId="1411F5A9">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2.4</w:t>
      </w:r>
      <w:r>
        <w:rPr>
          <w:rFonts w:hint="eastAsia" w:ascii="宋体" w:hAnsi="宋体" w:eastAsia="宋体" w:cs="仿宋"/>
          <w:szCs w:val="21"/>
        </w:rPr>
        <w:t>委托消防维保服务范围内各系统故障以及隐患的处理、排除；</w:t>
      </w:r>
      <w:r>
        <w:rPr>
          <w:rFonts w:hint="eastAsia" w:ascii="宋体" w:hAnsi="宋体" w:eastAsia="宋体" w:cs="仿宋"/>
          <w:szCs w:val="21"/>
          <w:lang w:val="en-US" w:eastAsia="zh-CN"/>
        </w:rPr>
        <w:t>接到甲方故障处理通知，随时到场处理。</w:t>
      </w:r>
    </w:p>
    <w:p w14:paraId="6410B6F3">
      <w:pPr>
        <w:widowControl/>
        <w:tabs>
          <w:tab w:val="left" w:pos="5865"/>
        </w:tabs>
        <w:spacing w:line="360" w:lineRule="auto"/>
        <w:ind w:firstLine="420" w:firstLineChars="200"/>
        <w:textAlignment w:val="center"/>
        <w:rPr>
          <w:rFonts w:hint="eastAsia" w:ascii="宋体" w:hAnsi="宋体" w:eastAsia="宋体" w:cs="仿宋"/>
          <w:szCs w:val="21"/>
          <w:lang w:eastAsia="zh-CN"/>
        </w:rPr>
      </w:pPr>
      <w:r>
        <w:rPr>
          <w:rFonts w:hint="eastAsia" w:ascii="宋体" w:hAnsi="宋体" w:eastAsia="宋体" w:cs="仿宋"/>
          <w:szCs w:val="21"/>
          <w:lang w:val="en-US" w:eastAsia="zh-CN"/>
        </w:rPr>
        <w:t>2.5</w:t>
      </w:r>
      <w:r>
        <w:rPr>
          <w:rFonts w:hint="eastAsia" w:ascii="宋体" w:hAnsi="宋体" w:eastAsia="宋体" w:cs="仿宋"/>
          <w:szCs w:val="21"/>
        </w:rPr>
        <w:t>制定维护保养细则</w:t>
      </w:r>
      <w:r>
        <w:rPr>
          <w:rFonts w:hint="eastAsia" w:ascii="宋体" w:hAnsi="宋体" w:eastAsia="宋体" w:cs="仿宋"/>
          <w:szCs w:val="21"/>
          <w:lang w:eastAsia="zh-CN"/>
        </w:rPr>
        <w:t>。</w:t>
      </w:r>
    </w:p>
    <w:p w14:paraId="303F7E9D">
      <w:pPr>
        <w:widowControl/>
        <w:tabs>
          <w:tab w:val="left" w:pos="5865"/>
        </w:tabs>
        <w:spacing w:line="360" w:lineRule="auto"/>
        <w:ind w:firstLine="420" w:firstLineChars="200"/>
        <w:textAlignment w:val="center"/>
        <w:rPr>
          <w:rFonts w:hint="eastAsia" w:ascii="宋体" w:hAnsi="宋体" w:eastAsia="宋体" w:cs="仿宋"/>
          <w:szCs w:val="21"/>
          <w:lang w:eastAsia="zh-CN"/>
        </w:rPr>
      </w:pPr>
      <w:r>
        <w:rPr>
          <w:rFonts w:hint="eastAsia" w:ascii="宋体" w:hAnsi="宋体" w:eastAsia="宋体" w:cs="仿宋"/>
          <w:szCs w:val="21"/>
          <w:lang w:val="en-US" w:eastAsia="zh-CN"/>
        </w:rPr>
        <w:t>2.6每月维护保养工作至少包含</w:t>
      </w:r>
      <w:r>
        <w:rPr>
          <w:rFonts w:hint="eastAsia" w:ascii="宋体" w:hAnsi="宋体" w:eastAsia="宋体" w:cs="仿宋"/>
          <w:szCs w:val="21"/>
          <w:lang w:eastAsia="zh-CN"/>
        </w:rPr>
        <w:t>消防给水及消火栓系统（</w:t>
      </w:r>
      <w:r>
        <w:rPr>
          <w:rFonts w:hint="eastAsia" w:ascii="宋体" w:hAnsi="宋体" w:eastAsia="宋体" w:cs="仿宋"/>
          <w:szCs w:val="21"/>
          <w:lang w:val="en-US" w:eastAsia="zh-CN"/>
        </w:rPr>
        <w:t>a.</w:t>
      </w:r>
      <w:r>
        <w:rPr>
          <w:rFonts w:hint="eastAsia" w:ascii="宋体" w:hAnsi="宋体" w:eastAsia="宋体" w:cs="仿宋"/>
          <w:szCs w:val="21"/>
          <w:lang w:eastAsia="zh-CN"/>
        </w:rPr>
        <w:t>应对消防水池、高位消防水池、高位消防水箱等消防水源设施的水位等进行一次检测；消防水池（箱）玻璃水位计两端的角阀在不进行水位观察时应关闭；</w:t>
      </w:r>
      <w:r>
        <w:rPr>
          <w:rFonts w:hint="eastAsia" w:ascii="宋体" w:hAnsi="宋体" w:eastAsia="宋体" w:cs="仿宋"/>
          <w:szCs w:val="21"/>
          <w:lang w:val="en-US" w:eastAsia="zh-CN"/>
        </w:rPr>
        <w:t>b.</w:t>
      </w:r>
      <w:r>
        <w:rPr>
          <w:rFonts w:hint="eastAsia" w:ascii="宋体" w:hAnsi="宋体" w:eastAsia="宋体" w:cs="仿宋"/>
          <w:szCs w:val="21"/>
          <w:lang w:eastAsia="zh-CN"/>
        </w:rPr>
        <w:t>应手动启动消防水泵运转一次，并应检查供电电源的情况；</w:t>
      </w:r>
      <w:r>
        <w:rPr>
          <w:rFonts w:hint="eastAsia" w:ascii="宋体" w:hAnsi="宋体" w:eastAsia="宋体" w:cs="仿宋"/>
          <w:szCs w:val="21"/>
          <w:lang w:val="en-US" w:eastAsia="zh-CN"/>
        </w:rPr>
        <w:t>c.</w:t>
      </w:r>
      <w:r>
        <w:rPr>
          <w:rFonts w:hint="eastAsia" w:ascii="宋体" w:hAnsi="宋体" w:eastAsia="宋体" w:cs="仿宋"/>
          <w:szCs w:val="21"/>
          <w:lang w:eastAsia="zh-CN"/>
        </w:rPr>
        <w:t>应对气压水罐的压力和有效容积等进行一次检测；</w:t>
      </w:r>
      <w:r>
        <w:rPr>
          <w:rFonts w:hint="eastAsia" w:ascii="宋体" w:hAnsi="宋体" w:eastAsia="宋体" w:cs="仿宋"/>
          <w:szCs w:val="21"/>
          <w:lang w:val="en-US" w:eastAsia="zh-CN"/>
        </w:rPr>
        <w:t>d.</w:t>
      </w:r>
      <w:r>
        <w:rPr>
          <w:rFonts w:hint="eastAsia" w:ascii="宋体" w:hAnsi="宋体" w:eastAsia="宋体" w:cs="仿宋"/>
          <w:szCs w:val="21"/>
          <w:lang w:eastAsia="zh-CN"/>
        </w:rPr>
        <w:t>应对减压阀组进行一次放水试验，并应检测和记录减压阀前后的压力，当不符合设计值时应采取满足系统要求的调试和维修等措施；</w:t>
      </w:r>
      <w:r>
        <w:rPr>
          <w:rFonts w:hint="eastAsia" w:ascii="宋体" w:hAnsi="宋体" w:eastAsia="宋体" w:cs="仿宋"/>
          <w:szCs w:val="21"/>
          <w:lang w:val="en-US" w:eastAsia="zh-CN"/>
        </w:rPr>
        <w:t>e.</w:t>
      </w:r>
      <w:r>
        <w:rPr>
          <w:rFonts w:hint="eastAsia" w:ascii="宋体" w:hAnsi="宋体" w:eastAsia="宋体" w:cs="仿宋"/>
          <w:szCs w:val="21"/>
          <w:lang w:eastAsia="zh-CN"/>
        </w:rPr>
        <w:t>雨淋阀的附属电磁阀应每月检查并应作启动试验，动作失常时应及时更换；</w:t>
      </w:r>
      <w:r>
        <w:rPr>
          <w:rFonts w:hint="eastAsia" w:ascii="宋体" w:hAnsi="宋体" w:eastAsia="宋体" w:cs="仿宋"/>
          <w:szCs w:val="21"/>
          <w:lang w:val="en-US" w:eastAsia="zh-CN"/>
        </w:rPr>
        <w:t>f.</w:t>
      </w:r>
      <w:r>
        <w:rPr>
          <w:rFonts w:hint="eastAsia" w:ascii="宋体" w:hAnsi="宋体" w:eastAsia="宋体" w:cs="仿宋"/>
          <w:szCs w:val="21"/>
          <w:lang w:eastAsia="zh-CN"/>
        </w:rPr>
        <w:t>应对电动阀和电磁阀的供电和启闭性能进行检测；</w:t>
      </w:r>
      <w:r>
        <w:rPr>
          <w:rFonts w:hint="eastAsia" w:ascii="宋体" w:hAnsi="宋体" w:eastAsia="宋体" w:cs="仿宋"/>
          <w:szCs w:val="21"/>
          <w:lang w:val="en-US" w:eastAsia="zh-CN"/>
        </w:rPr>
        <w:t>g.</w:t>
      </w:r>
      <w:r>
        <w:rPr>
          <w:rFonts w:hint="eastAsia" w:ascii="宋体" w:hAnsi="宋体" w:eastAsia="宋体" w:cs="仿宋"/>
          <w:szCs w:val="21"/>
          <w:lang w:eastAsia="zh-CN"/>
        </w:rPr>
        <w:t>系统上所有的控制阀门均应采用铅封或锁链固定在开启或规定的状态，每月应对铅封、锁链进行一次检查，当有破坏或损坏时应及时修理更换；</w:t>
      </w:r>
      <w:r>
        <w:rPr>
          <w:rFonts w:hint="eastAsia" w:ascii="宋体" w:hAnsi="宋体" w:eastAsia="宋体" w:cs="仿宋"/>
          <w:szCs w:val="21"/>
          <w:lang w:val="en-US" w:eastAsia="zh-CN"/>
        </w:rPr>
        <w:t>h.</w:t>
      </w:r>
      <w:r>
        <w:rPr>
          <w:rFonts w:hint="eastAsia" w:ascii="宋体" w:hAnsi="宋体" w:eastAsia="宋体" w:cs="仿宋"/>
          <w:szCs w:val="21"/>
          <w:lang w:eastAsia="zh-CN"/>
        </w:rPr>
        <w:t>在市政供水阀门处于完全开启状态时，每月应对倒流防止器的压差进行检测，并应符合国家现行标准《减压型倒流防止器》GB/T 25178、《低阻力倒流防止器》JB/T 11151和《双止回阀倒流防止器》CJ/T 160等的有关规定；</w:t>
      </w:r>
      <w:r>
        <w:rPr>
          <w:rFonts w:hint="eastAsia" w:ascii="宋体" w:hAnsi="宋体" w:eastAsia="宋体" w:cs="仿宋"/>
          <w:szCs w:val="21"/>
          <w:lang w:val="en-US" w:eastAsia="zh-CN"/>
        </w:rPr>
        <w:t>i.</w:t>
      </w:r>
      <w:r>
        <w:rPr>
          <w:rFonts w:hint="eastAsia" w:ascii="宋体" w:hAnsi="宋体" w:eastAsia="宋体" w:cs="仿宋"/>
          <w:szCs w:val="21"/>
          <w:lang w:eastAsia="zh-CN"/>
        </w:rPr>
        <w:t>检查喷头完好状况、清除异物、备用量；</w:t>
      </w:r>
      <w:r>
        <w:rPr>
          <w:rFonts w:hint="eastAsia" w:ascii="宋体" w:hAnsi="宋体" w:eastAsia="宋体" w:cs="仿宋"/>
          <w:szCs w:val="21"/>
          <w:lang w:val="en-US" w:eastAsia="zh-CN"/>
        </w:rPr>
        <w:t>j.</w:t>
      </w:r>
      <w:r>
        <w:rPr>
          <w:rFonts w:hint="eastAsia" w:ascii="宋体" w:hAnsi="宋体" w:eastAsia="宋体" w:cs="仿宋"/>
          <w:szCs w:val="21"/>
          <w:lang w:eastAsia="zh-CN"/>
        </w:rPr>
        <w:t>检查水泵接合器的完好状况。）。气体灭火系统（</w:t>
      </w:r>
      <w:r>
        <w:rPr>
          <w:rFonts w:hint="eastAsia" w:ascii="宋体" w:hAnsi="宋体" w:eastAsia="宋体" w:cs="仿宋"/>
          <w:szCs w:val="21"/>
          <w:lang w:val="en-US" w:eastAsia="zh-CN"/>
        </w:rPr>
        <w:t>a.灭火剂储存容器及容器阀、单向阀、连接管、集流管、安全泄放装置、选择阀、阀驱动装置、喷嘴、信号反馈装置、检漏装置、减压装置等全部系统组件应无碰撞变形及其他机械性损伤，表面应无锈蚀，保护涂层应完好，铭牌和标志牌应清晰，手动操作装置的防护罩、铅封和安全标志应完整；b.灭火剂和驱动气体储存容器内的压力，不得小于设计储存压力的90 %。）。</w:t>
      </w:r>
      <w:r>
        <w:rPr>
          <w:rFonts w:hint="eastAsia" w:ascii="宋体" w:hAnsi="宋体" w:eastAsia="宋体" w:cs="仿宋"/>
          <w:szCs w:val="21"/>
          <w:lang w:eastAsia="zh-CN"/>
        </w:rPr>
        <w:t>电池供电的应急疏散照明自动试验系统</w:t>
      </w:r>
      <w:r>
        <w:rPr>
          <w:rFonts w:hint="eastAsia" w:ascii="宋体" w:hAnsi="宋体" w:eastAsia="宋体" w:cs="仿宋"/>
          <w:szCs w:val="21"/>
          <w:lang w:val="en-US" w:eastAsia="zh-CN"/>
        </w:rPr>
        <w:t>（</w:t>
      </w:r>
      <w:r>
        <w:rPr>
          <w:rFonts w:hint="eastAsia" w:ascii="宋体" w:hAnsi="宋体" w:eastAsia="宋体" w:cs="仿宋"/>
          <w:szCs w:val="21"/>
          <w:lang w:eastAsia="zh-CN"/>
        </w:rPr>
        <w:t>试验持续时间应足够检查灯的照明，而且试验持续时间不应大于额定持续时间的10％。）。集中控制型消防应急照明和疏散指示系统（</w:t>
      </w:r>
      <w:r>
        <w:rPr>
          <w:rFonts w:hint="eastAsia" w:ascii="宋体" w:hAnsi="宋体" w:eastAsia="宋体" w:cs="仿宋"/>
          <w:szCs w:val="21"/>
          <w:lang w:val="en-US" w:eastAsia="zh-CN"/>
        </w:rPr>
        <w:t>a.</w:t>
      </w:r>
      <w:r>
        <w:rPr>
          <w:rFonts w:hint="eastAsia" w:ascii="宋体" w:hAnsi="宋体" w:eastAsia="宋体" w:cs="仿宋"/>
          <w:szCs w:val="21"/>
          <w:lang w:eastAsia="zh-CN"/>
        </w:rPr>
        <w:t>对系统进行一次手动应急启动功能检查；</w:t>
      </w:r>
      <w:r>
        <w:rPr>
          <w:rFonts w:hint="eastAsia" w:ascii="宋体" w:hAnsi="宋体" w:eastAsia="宋体" w:cs="仿宋"/>
          <w:szCs w:val="21"/>
          <w:lang w:val="en-US" w:eastAsia="zh-CN"/>
        </w:rPr>
        <w:t>b.</w:t>
      </w:r>
      <w:r>
        <w:rPr>
          <w:rFonts w:hint="eastAsia" w:ascii="宋体" w:hAnsi="宋体" w:eastAsia="宋体" w:cs="仿宋"/>
          <w:szCs w:val="21"/>
          <w:lang w:eastAsia="zh-CN"/>
        </w:rPr>
        <w:t>对每一台灯具进行一次蓄电池电源供电状态下的应急工作持续时间检查。）。防排烟系统</w:t>
      </w:r>
      <w:r>
        <w:rPr>
          <w:rFonts w:hint="eastAsia" w:ascii="宋体" w:hAnsi="宋体" w:eastAsia="宋体" w:cs="仿宋"/>
          <w:szCs w:val="21"/>
          <w:lang w:val="en-US" w:eastAsia="zh-CN"/>
        </w:rPr>
        <w:t>(每月对防排烟风机进行一次手动控制功能检查)。</w:t>
      </w:r>
    </w:p>
    <w:p w14:paraId="7D8CDF16">
      <w:pPr>
        <w:widowControl/>
        <w:tabs>
          <w:tab w:val="left" w:pos="5865"/>
        </w:tabs>
        <w:spacing w:line="360" w:lineRule="auto"/>
        <w:ind w:firstLine="420" w:firstLineChars="200"/>
        <w:textAlignment w:val="center"/>
        <w:rPr>
          <w:rFonts w:hint="eastAsia" w:ascii="宋体" w:hAnsi="宋体" w:eastAsia="宋体" w:cs="仿宋"/>
          <w:szCs w:val="21"/>
          <w:lang w:eastAsia="zh-CN"/>
        </w:rPr>
      </w:pPr>
      <w:r>
        <w:rPr>
          <w:rFonts w:hint="eastAsia" w:ascii="宋体" w:hAnsi="宋体" w:eastAsia="宋体" w:cs="仿宋"/>
          <w:szCs w:val="21"/>
          <w:lang w:val="en-US" w:eastAsia="zh-CN"/>
        </w:rPr>
        <w:t>2.7每季度维护保养工作至少包含消防给水及消火栓系统（a.应监测市政给水管网的压力和供水能力；b.应对消防水泵的出流量和压力进行一次试验；c.应对室外阀门井中，进水管上的控制阀门进行一次检查，并应核实其处于全开启状态；d.应对系统所有的末端试水阀和报警阀的放水试验阀进行一次放水试验，并应检查系统启动、报警功能以及出水情况是否正常；e.对消火栓进行一次外观和漏水检查，发现有不正常的消火栓应及时更换；f.应对消防水泵接合器的接口及附件进行一次检查，并应保证接口完好、无渗漏、闷盖齐)。气体灭火系统（进行1次全面检查，并应符合下列规定：a.可燃物的种类、分布情况，防护区的开口情况，应符合设计规定；b.储存装置间的设备、灭火剂输送管道和支、吊架的固定，应无松动；c. 连接管应无变形、裂纹及老化，必要时，送法定质量检验机构进行检测或更换；d.各喷嘴孔口应无堵塞；e.灭火剂输送管道有损伤与堵塞现象时，应按有关规定进行严密性试验和吹扫。）。防排烟系统（应对防烟、排烟风机、活动挡烟垂壁、自动排烟窗进行一次功能检测启动试验及供电线路检查）。</w:t>
      </w:r>
    </w:p>
    <w:p w14:paraId="193900D9">
      <w:pPr>
        <w:widowControl/>
        <w:tabs>
          <w:tab w:val="left" w:pos="5865"/>
        </w:tabs>
        <w:spacing w:line="360" w:lineRule="auto"/>
        <w:ind w:firstLine="420" w:firstLineChars="200"/>
        <w:textAlignment w:val="center"/>
        <w:rPr>
          <w:rFonts w:hint="eastAsia" w:ascii="宋体" w:hAnsi="宋体" w:eastAsia="宋体" w:cs="仿宋"/>
          <w:szCs w:val="21"/>
          <w:lang w:val="en-US" w:eastAsia="zh-CN"/>
        </w:rPr>
      </w:pPr>
      <w:r>
        <w:rPr>
          <w:rFonts w:hint="eastAsia" w:ascii="宋体" w:hAnsi="宋体" w:eastAsia="宋体" w:cs="仿宋"/>
          <w:szCs w:val="21"/>
          <w:lang w:val="en-US" w:eastAsia="zh-CN"/>
        </w:rPr>
        <w:t>2.8每半年维护保养工作至少包含防排烟系统（防火阀、排烟防火阀、送风阀（口）、排烟阀（口））的手动或自动启动、复位试验。</w:t>
      </w:r>
    </w:p>
    <w:p w14:paraId="05668A82">
      <w:pPr>
        <w:widowControl/>
        <w:tabs>
          <w:tab w:val="left" w:pos="5865"/>
        </w:tabs>
        <w:spacing w:line="360" w:lineRule="auto"/>
        <w:ind w:firstLine="420" w:firstLineChars="200"/>
        <w:textAlignment w:val="center"/>
        <w:rPr>
          <w:rFonts w:hint="eastAsia" w:ascii="宋体" w:hAnsi="宋体" w:eastAsia="宋体" w:cs="仿宋"/>
          <w:szCs w:val="21"/>
          <w:lang w:val="en-US" w:eastAsia="zh-CN"/>
        </w:rPr>
      </w:pPr>
      <w:r>
        <w:rPr>
          <w:rFonts w:hint="eastAsia" w:ascii="宋体" w:hAnsi="宋体" w:eastAsia="宋体" w:cs="仿宋"/>
          <w:szCs w:val="21"/>
          <w:lang w:val="en-US" w:eastAsia="zh-CN"/>
        </w:rPr>
        <w:t>2.9每年维护保养工作至少包含消防给水及消火栓系统（a.应保证每年对每一个消火栓按钮，至少进行一次报警功能检查；b.应对水井等地下水消防水源的常水位、最低水位、最高水位和出水量等进行一次测定；c.应对减压阀的流量和压力进行一次试验；d.应对系统过滤器进行至少一次排渣，并应检查过滤器是否处于完好状态，当堵塞或损坏时应及时检修；e.应检查消防水池、消防水箱等蓄水设施的结构材料是否完好，发现问题时应及时处理；f.对水泵接合器进行通水试验g.应保证每年对每一个水流指示器，压力开关，信号阀，液位探测器，至少进行一次动作信号反馈功能检查；h.对消火栓和其他水灭火系统等功能进行系统连锁试验。）防排烟系统（a.应保证每年对每一个电动送风口，电动挡烟垂壁排烟口排烟阀排烟窗，电动防火阀排烟风机入口处的总管上设置的280度排烟防火阀进行一次启动、反馈功能，动作信号反馈功能检查；b.应对全部防烟、排烟系统进行一次联动试验和性能检测，其联动功能和性能参数应符合原设计要求）。</w:t>
      </w:r>
      <w:r>
        <w:rPr>
          <w:rFonts w:hint="eastAsia" w:ascii="宋体" w:hAnsi="宋体" w:eastAsia="宋体" w:cs="仿宋"/>
          <w:szCs w:val="21"/>
          <w:lang w:eastAsia="zh-CN"/>
        </w:rPr>
        <w:t>集中控制型消防应急照明和疏散指示系统（应保证每年对每一个防火分区至少进行一次火灾</w:t>
      </w:r>
      <w:r>
        <w:rPr>
          <w:rFonts w:hint="eastAsia" w:ascii="宋体" w:hAnsi="宋体" w:eastAsia="宋体" w:cs="仿宋"/>
          <w:szCs w:val="21"/>
          <w:lang w:val="en-US" w:eastAsia="zh-CN"/>
        </w:rPr>
        <w:t>应</w:t>
      </w:r>
      <w:r>
        <w:rPr>
          <w:rFonts w:hint="eastAsia" w:ascii="宋体" w:hAnsi="宋体" w:eastAsia="宋体" w:cs="仿宋"/>
          <w:szCs w:val="21"/>
          <w:lang w:eastAsia="zh-CN"/>
        </w:rPr>
        <w:t>急启动功能状态下自动应急启动功能检查。）。火灾自动报警系统（a.应保证每年对每一只探测器、报警按钮至少进行一次火灾报警功能检查；b.应保证每年对每一台区域显示器至少进行一次火灾报警显示功能检查（火灾报警显示盘）；c.应保证每年对每一只输入</w:t>
      </w:r>
      <w:r>
        <w:rPr>
          <w:rFonts w:hint="eastAsia" w:ascii="宋体" w:hAnsi="宋体" w:eastAsia="宋体" w:cs="仿宋"/>
          <w:szCs w:val="21"/>
          <w:lang w:val="en-US" w:eastAsia="zh-CN"/>
        </w:rPr>
        <w:t>/</w:t>
      </w:r>
      <w:r>
        <w:rPr>
          <w:rFonts w:hint="eastAsia" w:ascii="宋体" w:hAnsi="宋体" w:eastAsia="宋体" w:cs="仿宋"/>
          <w:szCs w:val="21"/>
          <w:lang w:eastAsia="zh-CN"/>
        </w:rPr>
        <w:t>输出模块至少进行一次启动功能检查（消防联动控制器）；d.应保证每年对每一个分机、插孔至少进行一次呼叫功能检查（消防电话）；e.应保证每年对每一只探测器至少进行一次监控报警功能探测器检查（电气火灾监控器、线型感温火灾探测器）；f.应保证每年对每一只传感器至少进行一次消防设备电源故障报警功能检查（消防设备</w:t>
      </w:r>
      <w:r>
        <w:rPr>
          <w:rFonts w:hint="eastAsia" w:ascii="宋体" w:hAnsi="宋体" w:eastAsia="宋体" w:cs="仿宋"/>
          <w:szCs w:val="21"/>
          <w:lang w:val="en-US" w:eastAsia="zh-CN"/>
        </w:rPr>
        <w:t>的</w:t>
      </w:r>
      <w:r>
        <w:rPr>
          <w:rFonts w:hint="eastAsia" w:ascii="宋体" w:hAnsi="宋体" w:eastAsia="宋体" w:cs="仿宋"/>
          <w:szCs w:val="21"/>
          <w:lang w:eastAsia="zh-CN"/>
        </w:rPr>
        <w:t>监控器）；g.应保证每年对每一只火灾警报器至少进行一次火灾警报功能检查（火灾警报器）；h.应保证每年对每一只扬声器至少进行一次应急广播功能检查；i.应保证每年对每一个报警区域至少进行一次联动控制功能检查（消防警报和消防应急广播系统）；j.应保证每年对每一个手动控制装置进行至少一次控制功能检查（防火卷帘控制器）；k.应保证每年对每一台防火门监控器及其配接的现场部件至少进行一次启动、反馈功能</w:t>
      </w:r>
      <w:r>
        <w:rPr>
          <w:rFonts w:hint="eastAsia" w:ascii="宋体" w:hAnsi="宋体" w:eastAsia="宋体" w:cs="仿宋"/>
          <w:szCs w:val="21"/>
          <w:lang w:val="en-US" w:eastAsia="zh-CN"/>
        </w:rPr>
        <w:t>检查</w:t>
      </w:r>
      <w:r>
        <w:rPr>
          <w:rFonts w:hint="eastAsia" w:ascii="宋体" w:hAnsi="宋体" w:eastAsia="宋体" w:cs="仿宋"/>
          <w:szCs w:val="21"/>
          <w:lang w:eastAsia="zh-CN"/>
        </w:rPr>
        <w:t>，常闭防火门故障报警功能检查；l.应保证每年对每一个报警区域内的电梯与非消防电源等相关系统至少进行一次联动控制功能检查。）</w:t>
      </w:r>
    </w:p>
    <w:p w14:paraId="6D69F905">
      <w:pPr>
        <w:widowControl/>
        <w:tabs>
          <w:tab w:val="left" w:pos="5865"/>
        </w:tabs>
        <w:spacing w:line="360" w:lineRule="auto"/>
        <w:ind w:firstLine="420" w:firstLineChars="200"/>
        <w:textAlignment w:val="center"/>
        <w:rPr>
          <w:rFonts w:hint="eastAsia" w:ascii="宋体" w:hAnsi="宋体" w:eastAsia="宋体" w:cs="仿宋"/>
          <w:szCs w:val="21"/>
          <w:lang w:val="en-US" w:eastAsia="zh-CN"/>
        </w:rPr>
      </w:pPr>
      <w:r>
        <w:rPr>
          <w:rFonts w:hint="eastAsia" w:ascii="宋体" w:hAnsi="宋体" w:eastAsia="宋体" w:cs="仿宋"/>
          <w:szCs w:val="21"/>
          <w:lang w:val="en-US" w:eastAsia="zh-CN"/>
        </w:rPr>
        <w:t>2.10至少需完成厂区内屋顶试验消火栓及室外消火栓栓体进行刷漆防腐。</w:t>
      </w:r>
    </w:p>
    <w:p w14:paraId="167FCA8F">
      <w:pPr>
        <w:widowControl/>
        <w:tabs>
          <w:tab w:val="left" w:pos="5865"/>
        </w:tabs>
        <w:spacing w:line="360" w:lineRule="auto"/>
        <w:ind w:firstLine="420" w:firstLineChars="200"/>
        <w:textAlignment w:val="center"/>
        <w:rPr>
          <w:rFonts w:ascii="宋体" w:hAnsi="宋体" w:cs="仿宋"/>
          <w:szCs w:val="21"/>
        </w:rPr>
      </w:pPr>
      <w:r>
        <w:rPr>
          <w:rFonts w:hint="eastAsia" w:ascii="宋体" w:hAnsi="宋体" w:eastAsia="宋体" w:cs="仿宋"/>
          <w:szCs w:val="21"/>
          <w:lang w:val="en-US" w:eastAsia="zh-CN"/>
        </w:rPr>
        <w:t>2.11对易污染,易腐蚀生锈的消防设备、管道、阀门应定期清洁，除锈，注润滑剂。对于使用周期超过产品说明书标识寿命的易损件、消防设备，及经检查测试已不能正常使用的消防设施应及时配合更换。</w:t>
      </w:r>
    </w:p>
    <w:p w14:paraId="54F4FD59">
      <w:pPr>
        <w:topLinePunct/>
        <w:adjustRightInd w:val="0"/>
        <w:snapToGrid w:val="0"/>
        <w:spacing w:line="440" w:lineRule="exact"/>
        <w:outlineLvl w:val="0"/>
        <w:rPr>
          <w:rFonts w:ascii="宋体" w:hAnsi="宋体"/>
          <w:kern w:val="0"/>
          <w:szCs w:val="21"/>
        </w:rPr>
      </w:pPr>
      <w:r>
        <w:rPr>
          <w:rFonts w:hint="eastAsia" w:ascii="宋体" w:hAnsi="宋体"/>
          <w:b/>
          <w:snapToGrid w:val="0"/>
          <w:kern w:val="0"/>
          <w:sz w:val="28"/>
          <w:szCs w:val="28"/>
        </w:rPr>
        <w:t>3.项目方案要求</w:t>
      </w:r>
    </w:p>
    <w:p w14:paraId="57DFAA0C">
      <w:pPr>
        <w:spacing w:after="24" w:afterLines="10" w:line="400" w:lineRule="exact"/>
        <w:jc w:val="left"/>
        <w:outlineLvl w:val="1"/>
        <w:rPr>
          <w:rFonts w:ascii="宋体" w:hAnsi="宋体"/>
          <w:kern w:val="0"/>
          <w:szCs w:val="21"/>
        </w:rPr>
      </w:pPr>
      <w:r>
        <w:rPr>
          <w:rFonts w:ascii="宋体" w:hAnsi="宋体"/>
          <w:kern w:val="0"/>
          <w:szCs w:val="21"/>
        </w:rPr>
        <w:t>3.1</w:t>
      </w:r>
      <w:r>
        <w:rPr>
          <w:rFonts w:hint="eastAsia" w:ascii="宋体" w:hAnsi="宋体"/>
          <w:kern w:val="0"/>
          <w:szCs w:val="21"/>
        </w:rPr>
        <w:t>供应商需提供本项目</w:t>
      </w:r>
      <w:r>
        <w:rPr>
          <w:rFonts w:ascii="宋体" w:hAnsi="宋体"/>
          <w:kern w:val="0"/>
          <w:szCs w:val="21"/>
        </w:rPr>
        <w:t>所需服务的各类别内容及报价</w:t>
      </w:r>
      <w:r>
        <w:rPr>
          <w:rFonts w:hint="eastAsia" w:ascii="宋体" w:hAnsi="宋体"/>
          <w:kern w:val="0"/>
          <w:szCs w:val="21"/>
        </w:rPr>
        <w:t>;</w:t>
      </w:r>
    </w:p>
    <w:p w14:paraId="1BCD0E6C">
      <w:pPr>
        <w:spacing w:after="24" w:afterLines="10" w:line="400" w:lineRule="exact"/>
        <w:jc w:val="left"/>
        <w:outlineLvl w:val="1"/>
        <w:rPr>
          <w:rFonts w:ascii="宋体" w:hAnsi="宋体"/>
          <w:kern w:val="0"/>
          <w:szCs w:val="21"/>
        </w:rPr>
      </w:pPr>
      <w:r>
        <w:rPr>
          <w:rFonts w:ascii="宋体" w:hAnsi="宋体"/>
          <w:kern w:val="0"/>
          <w:szCs w:val="21"/>
        </w:rPr>
        <w:t>3.2</w:t>
      </w:r>
      <w:r>
        <w:rPr>
          <w:rFonts w:hint="eastAsia" w:ascii="宋体" w:hAnsi="宋体"/>
          <w:kern w:val="0"/>
          <w:szCs w:val="21"/>
        </w:rPr>
        <w:t>供应商需提供本项目</w:t>
      </w:r>
      <w:r>
        <w:rPr>
          <w:rFonts w:ascii="宋体" w:hAnsi="宋体"/>
          <w:kern w:val="0"/>
          <w:szCs w:val="21"/>
        </w:rPr>
        <w:t>服务</w:t>
      </w:r>
      <w:r>
        <w:rPr>
          <w:rFonts w:hint="eastAsia" w:ascii="宋体" w:hAnsi="宋体"/>
          <w:kern w:val="0"/>
          <w:szCs w:val="21"/>
        </w:rPr>
        <w:t>支持</w:t>
      </w:r>
      <w:r>
        <w:rPr>
          <w:rFonts w:ascii="宋体" w:hAnsi="宋体"/>
          <w:kern w:val="0"/>
          <w:szCs w:val="21"/>
        </w:rPr>
        <w:t>人员配备情况，</w:t>
      </w:r>
      <w:r>
        <w:rPr>
          <w:rFonts w:hint="eastAsia" w:ascii="宋体" w:hAnsi="宋体"/>
          <w:kern w:val="0"/>
          <w:szCs w:val="21"/>
        </w:rPr>
        <w:t>包括项目团队负责人及成员是否属于国家</w:t>
      </w:r>
      <w:r>
        <w:rPr>
          <w:rFonts w:hint="eastAsia" w:ascii="宋体" w:hAnsi="宋体"/>
          <w:kern w:val="0"/>
          <w:szCs w:val="21"/>
          <w:lang w:val="en-US" w:eastAsia="zh-CN"/>
        </w:rPr>
        <w:t>一级注册消防工程师</w:t>
      </w:r>
      <w:r>
        <w:rPr>
          <w:rFonts w:hint="eastAsia" w:ascii="宋体" w:hAnsi="宋体"/>
          <w:kern w:val="0"/>
          <w:szCs w:val="21"/>
        </w:rPr>
        <w:t>，服务经验</w:t>
      </w:r>
      <w:r>
        <w:rPr>
          <w:rFonts w:ascii="宋体" w:hAnsi="宋体"/>
          <w:kern w:val="0"/>
          <w:szCs w:val="21"/>
        </w:rPr>
        <w:t>及其他辅助说明材料</w:t>
      </w:r>
      <w:r>
        <w:rPr>
          <w:rFonts w:hint="eastAsia" w:ascii="宋体" w:hAnsi="宋体"/>
          <w:kern w:val="0"/>
          <w:szCs w:val="21"/>
        </w:rPr>
        <w:t>；</w:t>
      </w:r>
    </w:p>
    <w:p w14:paraId="37883275">
      <w:pPr>
        <w:topLinePunct/>
        <w:adjustRightInd w:val="0"/>
        <w:snapToGrid w:val="0"/>
        <w:spacing w:line="440" w:lineRule="exact"/>
        <w:outlineLvl w:val="1"/>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.4增值服务</w:t>
      </w:r>
    </w:p>
    <w:p w14:paraId="4CC74BBA">
      <w:pPr>
        <w:tabs>
          <w:tab w:val="left" w:pos="1275"/>
        </w:tabs>
        <w:adjustRightInd w:val="0"/>
        <w:snapToGrid w:val="0"/>
        <w:spacing w:line="440" w:lineRule="exact"/>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.4.1供应商根据采购人实际情况及自身工作能力，提供增值服务方案。</w:t>
      </w:r>
    </w:p>
    <w:p w14:paraId="23F7D50F">
      <w:pPr>
        <w:spacing w:line="360" w:lineRule="auto"/>
        <w:ind w:firstLine="480" w:firstLineChars="200"/>
        <w:rPr>
          <w:rFonts w:hint="eastAsia" w:ascii="宋体" w:hAnsi="宋体"/>
          <w:kern w:val="0"/>
          <w:sz w:val="24"/>
        </w:rPr>
      </w:pPr>
    </w:p>
    <w:p w14:paraId="13731F5D">
      <w:pPr>
        <w:pStyle w:val="3"/>
        <w:spacing w:before="240" w:beforeLines="100" w:after="360" w:afterLines="150" w:line="276" w:lineRule="auto"/>
        <w:jc w:val="center"/>
        <w:rPr>
          <w:rFonts w:ascii="宋体" w:hAnsi="宋体"/>
        </w:rPr>
      </w:pPr>
      <w:r>
        <w:rPr>
          <w:rFonts w:hint="eastAsia" w:ascii="宋体" w:hAnsi="宋体"/>
        </w:rPr>
        <w:t>第三章  供应商</w:t>
      </w:r>
      <w:r>
        <w:rPr>
          <w:rFonts w:ascii="宋体" w:hAnsi="宋体"/>
        </w:rPr>
        <w:t>须知</w:t>
      </w:r>
    </w:p>
    <w:p w14:paraId="272E1B46">
      <w:pPr>
        <w:spacing w:line="360" w:lineRule="auto"/>
        <w:rPr>
          <w:rFonts w:ascii="宋体" w:hAnsi="宋体"/>
          <w:b/>
          <w:kern w:val="0"/>
          <w:sz w:val="28"/>
          <w:szCs w:val="28"/>
        </w:rPr>
      </w:pPr>
      <w:r>
        <w:rPr>
          <w:rFonts w:hint="eastAsia" w:ascii="宋体" w:hAnsi="宋体"/>
          <w:b/>
          <w:kern w:val="0"/>
          <w:sz w:val="28"/>
          <w:szCs w:val="28"/>
        </w:rPr>
        <w:t>一</w:t>
      </w:r>
      <w:r>
        <w:rPr>
          <w:rFonts w:ascii="宋体" w:hAnsi="宋体"/>
          <w:b/>
          <w:kern w:val="0"/>
          <w:sz w:val="28"/>
          <w:szCs w:val="28"/>
        </w:rPr>
        <w:t>、总则</w:t>
      </w:r>
    </w:p>
    <w:p w14:paraId="2D6E5B3D">
      <w:pPr>
        <w:spacing w:line="360" w:lineRule="auto"/>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适用</w:t>
      </w:r>
      <w:r>
        <w:rPr>
          <w:rFonts w:ascii="宋体" w:hAnsi="宋体"/>
          <w:b/>
          <w:kern w:val="0"/>
          <w:sz w:val="28"/>
          <w:szCs w:val="28"/>
        </w:rPr>
        <w:t>范围</w:t>
      </w:r>
    </w:p>
    <w:p w14:paraId="6168E2E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本谈判文件仅适用于本谈判采购中所叙述项目下的采购，是供应商编制谈判文件的依据。</w:t>
      </w:r>
    </w:p>
    <w:p w14:paraId="030C9AD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本谈判文件及由本次谈判所形成的合同适用中华人民共和国法律。</w:t>
      </w:r>
    </w:p>
    <w:p w14:paraId="4F775D0A">
      <w:pPr>
        <w:spacing w:line="360" w:lineRule="auto"/>
        <w:rPr>
          <w:rFonts w:hint="eastAsia" w:ascii="宋体" w:hAnsi="宋体"/>
          <w:b/>
          <w:kern w:val="0"/>
          <w:sz w:val="28"/>
          <w:szCs w:val="28"/>
        </w:rPr>
      </w:pPr>
      <w:r>
        <w:rPr>
          <w:rFonts w:hint="eastAsia" w:ascii="宋体" w:hAnsi="宋体"/>
          <w:b/>
          <w:kern w:val="0"/>
          <w:sz w:val="28"/>
          <w:szCs w:val="28"/>
        </w:rPr>
        <w:t>2.合格的供应商</w:t>
      </w:r>
    </w:p>
    <w:p w14:paraId="3947AEE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凡在中华人民共和国注册的、具有法人资格的、具备资质要求的公司均可参与谈判采购。</w:t>
      </w:r>
    </w:p>
    <w:p w14:paraId="2CDF5EB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2.2 本次谈判采购对供应商的资格审查采用资格后审。</w:t>
      </w:r>
    </w:p>
    <w:p w14:paraId="0079CB5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2.3 供应商应遵守中国法律和法规。</w:t>
      </w:r>
    </w:p>
    <w:p w14:paraId="338B7ACC">
      <w:pPr>
        <w:spacing w:line="360" w:lineRule="auto"/>
        <w:rPr>
          <w:rFonts w:hint="eastAsia" w:ascii="宋体" w:hAnsi="宋体"/>
          <w:b/>
          <w:kern w:val="0"/>
          <w:sz w:val="28"/>
          <w:szCs w:val="28"/>
        </w:rPr>
      </w:pPr>
      <w:r>
        <w:rPr>
          <w:rFonts w:hint="eastAsia" w:ascii="宋体" w:hAnsi="宋体"/>
          <w:b/>
          <w:kern w:val="0"/>
          <w:sz w:val="28"/>
          <w:szCs w:val="28"/>
        </w:rPr>
        <w:t>3.</w:t>
      </w:r>
      <w:r>
        <w:rPr>
          <w:rFonts w:hint="eastAsia" w:ascii="宋体" w:hAnsi="宋体"/>
          <w:b/>
          <w:kern w:val="0"/>
          <w:sz w:val="28"/>
          <w:szCs w:val="28"/>
          <w:lang w:eastAsia="zh-CN"/>
        </w:rPr>
        <w:t>谈判采购</w:t>
      </w:r>
      <w:r>
        <w:rPr>
          <w:rFonts w:hint="eastAsia" w:ascii="宋体" w:hAnsi="宋体"/>
          <w:b/>
          <w:kern w:val="0"/>
          <w:sz w:val="28"/>
          <w:szCs w:val="28"/>
        </w:rPr>
        <w:t>费用</w:t>
      </w:r>
    </w:p>
    <w:p w14:paraId="33A4DDD5">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3.1供应商应承担其参与本次谈判采购所涉及的一切费用。不论谈判结果如何，采购人均无义务和责任承担这些费用。</w:t>
      </w:r>
    </w:p>
    <w:p w14:paraId="085BD317">
      <w:pPr>
        <w:spacing w:line="360" w:lineRule="auto"/>
        <w:rPr>
          <w:rFonts w:hint="eastAsia" w:ascii="宋体" w:hAnsi="宋体"/>
          <w:b/>
          <w:kern w:val="0"/>
          <w:sz w:val="28"/>
          <w:szCs w:val="28"/>
        </w:rPr>
      </w:pPr>
      <w:r>
        <w:rPr>
          <w:rFonts w:hint="eastAsia" w:ascii="宋体" w:hAnsi="宋体"/>
          <w:b/>
          <w:kern w:val="0"/>
          <w:sz w:val="28"/>
          <w:szCs w:val="28"/>
        </w:rPr>
        <w:t>4.特别注意</w:t>
      </w:r>
    </w:p>
    <w:p w14:paraId="53A91A4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单位负责人为同一人或者存在控股、管理关系的不同单位，不得同时参加本次谈判采购。</w:t>
      </w:r>
    </w:p>
    <w:p w14:paraId="0D6564F9">
      <w:pPr>
        <w:spacing w:line="360" w:lineRule="auto"/>
        <w:rPr>
          <w:rFonts w:ascii="宋体" w:hAnsi="宋体"/>
          <w:b/>
          <w:kern w:val="0"/>
          <w:sz w:val="28"/>
          <w:szCs w:val="28"/>
        </w:rPr>
      </w:pPr>
      <w:r>
        <w:rPr>
          <w:rFonts w:hint="eastAsia" w:ascii="宋体" w:hAnsi="宋体"/>
          <w:b/>
          <w:kern w:val="0"/>
          <w:sz w:val="28"/>
          <w:szCs w:val="28"/>
        </w:rPr>
        <w:t>二</w:t>
      </w:r>
      <w:r>
        <w:rPr>
          <w:rFonts w:ascii="宋体" w:hAnsi="宋体"/>
          <w:b/>
          <w:kern w:val="0"/>
          <w:sz w:val="28"/>
          <w:szCs w:val="28"/>
        </w:rPr>
        <w:t>、谈判文件说明</w:t>
      </w:r>
    </w:p>
    <w:p w14:paraId="21960C6F">
      <w:pPr>
        <w:spacing w:line="360" w:lineRule="auto"/>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.谈判文件</w:t>
      </w:r>
      <w:r>
        <w:rPr>
          <w:rFonts w:ascii="宋体" w:hAnsi="宋体"/>
          <w:b/>
          <w:kern w:val="0"/>
          <w:sz w:val="28"/>
          <w:szCs w:val="28"/>
        </w:rPr>
        <w:t>的构成</w:t>
      </w:r>
    </w:p>
    <w:p w14:paraId="4159A45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谈判文件用以阐明所需提供的服务内容和范围及谈判采购程序。谈判文件包括以下内容：</w:t>
      </w:r>
    </w:p>
    <w:p w14:paraId="10911C9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（1）谈判公告</w:t>
      </w:r>
    </w:p>
    <w:p w14:paraId="20FC68F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（2）供应商须知</w:t>
      </w:r>
    </w:p>
    <w:p w14:paraId="7D0D32A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（3）项目内容</w:t>
      </w:r>
    </w:p>
    <w:p w14:paraId="3B60542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（4）附件－谈判文件格式</w:t>
      </w:r>
    </w:p>
    <w:p w14:paraId="2DE83F7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供应商应认真阅读谈判文件中的所有条款、格式和服务要求等。供应商没有按照谈判文件要求提交全部资料，或其谈判文件没有对谈判文件全面做出实质性响应，都可能导致被拒绝。</w:t>
      </w:r>
    </w:p>
    <w:p w14:paraId="22B671F4">
      <w:pPr>
        <w:spacing w:line="360" w:lineRule="auto"/>
        <w:rPr>
          <w:rFonts w:hint="eastAsia" w:ascii="宋体" w:hAnsi="宋体"/>
          <w:b/>
          <w:kern w:val="0"/>
          <w:sz w:val="28"/>
          <w:szCs w:val="28"/>
        </w:rPr>
      </w:pPr>
      <w:r>
        <w:rPr>
          <w:rFonts w:hint="eastAsia" w:ascii="宋体" w:hAnsi="宋体"/>
          <w:b/>
          <w:kern w:val="0"/>
          <w:sz w:val="28"/>
          <w:szCs w:val="28"/>
        </w:rPr>
        <w:t>2.谈判文件的澄清</w:t>
      </w:r>
    </w:p>
    <w:p w14:paraId="33D4722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任何要求采购人对谈判文件进行澄清的供应商，均应以书面形式（包括传真）通知采购人。采购人将视情况确定采用适当方式予以澄清或以书面形式予以答复，并在其认为必要时，将不标明询问来源的书面答复发送给每个获取谈判文件的供应商。</w:t>
      </w:r>
    </w:p>
    <w:p w14:paraId="41256132">
      <w:pPr>
        <w:spacing w:line="360" w:lineRule="auto"/>
        <w:rPr>
          <w:rFonts w:hint="eastAsia" w:ascii="宋体" w:hAnsi="宋体"/>
          <w:b/>
          <w:kern w:val="0"/>
          <w:sz w:val="28"/>
          <w:szCs w:val="28"/>
        </w:rPr>
      </w:pPr>
      <w:r>
        <w:rPr>
          <w:rFonts w:hint="eastAsia" w:ascii="宋体" w:hAnsi="宋体"/>
          <w:b/>
          <w:kern w:val="0"/>
          <w:sz w:val="28"/>
          <w:szCs w:val="28"/>
        </w:rPr>
        <w:t>三、谈判文件的编写</w:t>
      </w:r>
    </w:p>
    <w:p w14:paraId="0EDEA2F4">
      <w:pPr>
        <w:spacing w:line="360" w:lineRule="auto"/>
        <w:rPr>
          <w:rFonts w:hint="eastAsia" w:ascii="宋体" w:hAnsi="宋体"/>
          <w:b/>
          <w:kern w:val="0"/>
          <w:sz w:val="28"/>
          <w:szCs w:val="28"/>
        </w:rPr>
      </w:pPr>
      <w:r>
        <w:rPr>
          <w:rFonts w:hint="eastAsia" w:ascii="宋体" w:hAnsi="宋体"/>
          <w:b/>
          <w:kern w:val="0"/>
          <w:sz w:val="28"/>
          <w:szCs w:val="28"/>
        </w:rPr>
        <w:t>1.文件语言</w:t>
      </w:r>
    </w:p>
    <w:p w14:paraId="45F6272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由供应商编写的谈判文件和往来信件应以简体中文书写。</w:t>
      </w:r>
    </w:p>
    <w:p w14:paraId="53C5313F">
      <w:pPr>
        <w:spacing w:line="360" w:lineRule="auto"/>
        <w:rPr>
          <w:rFonts w:hint="eastAsia" w:ascii="宋体" w:hAnsi="宋体"/>
          <w:b/>
          <w:kern w:val="0"/>
          <w:sz w:val="28"/>
          <w:szCs w:val="28"/>
          <w:lang w:val="en-US" w:eastAsia="zh-CN"/>
        </w:rPr>
      </w:pPr>
      <w:r>
        <w:rPr>
          <w:rFonts w:hint="eastAsia" w:ascii="宋体" w:hAnsi="宋体"/>
          <w:b/>
          <w:kern w:val="0"/>
          <w:sz w:val="28"/>
          <w:szCs w:val="28"/>
          <w:lang w:val="en-US" w:eastAsia="zh-CN"/>
        </w:rPr>
        <w:t>2.计量单位</w:t>
      </w:r>
    </w:p>
    <w:p w14:paraId="0F7B7D1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除在谈判文件中有特殊要求外，谈判文件中所使用的计量单位应为中华人民共和国法定计量单位。</w:t>
      </w:r>
    </w:p>
    <w:p w14:paraId="24269B43">
      <w:pPr>
        <w:spacing w:line="360" w:lineRule="auto"/>
        <w:rPr>
          <w:rFonts w:hint="eastAsia" w:ascii="宋体" w:hAnsi="宋体"/>
          <w:b/>
          <w:kern w:val="0"/>
          <w:sz w:val="28"/>
          <w:szCs w:val="28"/>
        </w:rPr>
      </w:pPr>
      <w:r>
        <w:rPr>
          <w:rFonts w:hint="eastAsia" w:ascii="宋体" w:hAnsi="宋体"/>
          <w:b/>
          <w:kern w:val="0"/>
          <w:sz w:val="28"/>
          <w:szCs w:val="28"/>
        </w:rPr>
        <w:t>3.谈判文件的组成</w:t>
      </w:r>
    </w:p>
    <w:p w14:paraId="7BF6F9E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供应商编写的谈判文件应包括下列部分：</w:t>
      </w:r>
    </w:p>
    <w:p w14:paraId="7E3B586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（1）谈判响应书</w:t>
      </w:r>
    </w:p>
    <w:p w14:paraId="6D24449E">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（2）供应商基本情况表</w:t>
      </w:r>
    </w:p>
    <w:p w14:paraId="45B3886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（3）项目方案及有关承诺。供应商必须提出明确的用于本项目方案，方案应包括但不限于以下内容：</w:t>
      </w:r>
    </w:p>
    <w:p w14:paraId="665470E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（4）按照供应商须知出具的供应商资格证明文件；</w:t>
      </w:r>
    </w:p>
    <w:p w14:paraId="7556338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4．谈判文件格式</w:t>
      </w:r>
    </w:p>
    <w:p w14:paraId="3028E0E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 供应商应按谈判文件中提供的谈判文件格式填写“响应书”、“供应商资格证明文件”以及其他注明提供的相关文件。</w:t>
      </w:r>
    </w:p>
    <w:p w14:paraId="6D0872D7">
      <w:pPr>
        <w:spacing w:line="360" w:lineRule="auto"/>
        <w:rPr>
          <w:rFonts w:hint="eastAsia" w:ascii="宋体" w:hAnsi="宋体"/>
          <w:b/>
          <w:kern w:val="0"/>
          <w:sz w:val="28"/>
          <w:szCs w:val="28"/>
        </w:rPr>
      </w:pPr>
      <w:r>
        <w:rPr>
          <w:rFonts w:hint="eastAsia" w:ascii="宋体" w:hAnsi="宋体"/>
          <w:b/>
          <w:kern w:val="0"/>
          <w:sz w:val="28"/>
          <w:szCs w:val="28"/>
        </w:rPr>
        <w:t>5．报价</w:t>
      </w:r>
    </w:p>
    <w:p w14:paraId="6C2B1FB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5.1 供应商必须按照本谈判文件所要求的供应商应提供的所有项目进行报价；</w:t>
      </w:r>
    </w:p>
    <w:p w14:paraId="27CD29B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5.2 供应商必须对承诺期限内的服务做出承诺。</w:t>
      </w:r>
    </w:p>
    <w:p w14:paraId="22696D50">
      <w:pPr>
        <w:spacing w:line="360" w:lineRule="auto"/>
        <w:rPr>
          <w:rFonts w:hint="eastAsia" w:ascii="宋体" w:hAnsi="宋体"/>
          <w:b/>
          <w:kern w:val="0"/>
          <w:sz w:val="28"/>
          <w:szCs w:val="28"/>
        </w:rPr>
      </w:pPr>
      <w:r>
        <w:rPr>
          <w:rFonts w:hint="eastAsia" w:ascii="宋体" w:hAnsi="宋体"/>
          <w:b/>
          <w:kern w:val="0"/>
          <w:sz w:val="28"/>
          <w:szCs w:val="28"/>
        </w:rPr>
        <w:t>6. 报价货币</w:t>
      </w:r>
    </w:p>
    <w:p w14:paraId="5EFD209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6.1 谈判文件中的报价一律用人民币币种填报。</w:t>
      </w:r>
    </w:p>
    <w:p w14:paraId="578A4642">
      <w:pPr>
        <w:spacing w:line="360" w:lineRule="auto"/>
        <w:rPr>
          <w:rFonts w:hint="eastAsia" w:ascii="宋体" w:hAnsi="宋体"/>
          <w:b/>
          <w:kern w:val="0"/>
          <w:sz w:val="28"/>
          <w:szCs w:val="28"/>
        </w:rPr>
      </w:pPr>
      <w:r>
        <w:rPr>
          <w:rFonts w:hint="eastAsia" w:ascii="宋体" w:hAnsi="宋体"/>
          <w:b/>
          <w:kern w:val="0"/>
          <w:sz w:val="28"/>
          <w:szCs w:val="28"/>
        </w:rPr>
        <w:t>7.证明供应商资格的证明文件</w:t>
      </w:r>
    </w:p>
    <w:p w14:paraId="499118B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7.1 供应商必须按附件3的要求提交证明文件，以证明其有资格参加谈判采购和成交后有履行合同的能力，并作为其谈判文件的一部分；</w:t>
      </w:r>
    </w:p>
    <w:p w14:paraId="09C0761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7.2 供应商应具有独立履行合同所需的财务、业务和管理能力。</w:t>
      </w:r>
    </w:p>
    <w:p w14:paraId="2866F2D3">
      <w:pPr>
        <w:spacing w:line="360" w:lineRule="auto"/>
        <w:rPr>
          <w:rFonts w:hint="eastAsia" w:ascii="宋体" w:hAnsi="宋体"/>
          <w:b/>
          <w:kern w:val="0"/>
          <w:sz w:val="28"/>
          <w:szCs w:val="28"/>
        </w:rPr>
      </w:pPr>
      <w:r>
        <w:rPr>
          <w:rFonts w:hint="eastAsia" w:ascii="宋体" w:hAnsi="宋体"/>
          <w:b/>
          <w:kern w:val="0"/>
          <w:sz w:val="28"/>
          <w:szCs w:val="28"/>
        </w:rPr>
        <w:t>8. 谈判文件的签署及规定</w:t>
      </w:r>
    </w:p>
    <w:p w14:paraId="471B8BCB">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8.1 谈判文件签署人系指法定代表人或法定代表人针对本次项目正式授权的供应商代表；</w:t>
      </w:r>
    </w:p>
    <w:p w14:paraId="00ED869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8.2 谈判文件正本须是打印文件，副本可采用正本的复印件。谈判文件应由谈判文件签署人在“谈判文件”要求的地方签字并加盖供应商单位公章。一旦正本和副本有差异，以正本为准。</w:t>
      </w:r>
    </w:p>
    <w:p w14:paraId="2F90B10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8.3 除供应商对错误处做必要修改外，谈判文件中不许有加行、涂抹或改写。若有修改内容，须由谈判文件签署人在修改处签字为有效。</w:t>
      </w:r>
    </w:p>
    <w:p w14:paraId="5314E11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8.4 谈判文件因字迹潦草或表达不清所引起的后果由供应商自己承担。</w:t>
      </w:r>
    </w:p>
    <w:p w14:paraId="62E7B5D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8.5 采购人拒绝接受以电话、传真或电子邮件形式的投递。</w:t>
      </w:r>
    </w:p>
    <w:p w14:paraId="34FB1763">
      <w:pPr>
        <w:spacing w:line="360" w:lineRule="auto"/>
        <w:rPr>
          <w:rFonts w:hint="eastAsia" w:ascii="宋体" w:hAnsi="宋体"/>
          <w:b/>
          <w:kern w:val="0"/>
          <w:sz w:val="28"/>
          <w:szCs w:val="28"/>
        </w:rPr>
      </w:pPr>
      <w:r>
        <w:rPr>
          <w:rFonts w:hint="eastAsia" w:ascii="宋体" w:hAnsi="宋体"/>
          <w:b/>
          <w:kern w:val="0"/>
          <w:sz w:val="28"/>
          <w:szCs w:val="28"/>
        </w:rPr>
        <w:t>四、谈判文件的递交</w:t>
      </w:r>
    </w:p>
    <w:p w14:paraId="5244EBE8">
      <w:pPr>
        <w:spacing w:line="360" w:lineRule="auto"/>
        <w:rPr>
          <w:rFonts w:hint="eastAsia" w:ascii="宋体" w:hAnsi="宋体"/>
          <w:b/>
          <w:kern w:val="0"/>
          <w:sz w:val="28"/>
          <w:szCs w:val="28"/>
        </w:rPr>
      </w:pPr>
      <w:r>
        <w:rPr>
          <w:rFonts w:hint="eastAsia" w:ascii="宋体" w:hAnsi="宋体"/>
          <w:b/>
          <w:kern w:val="0"/>
          <w:sz w:val="28"/>
          <w:szCs w:val="28"/>
        </w:rPr>
        <w:t>1.谈判文件的数量、包装和标记</w:t>
      </w:r>
    </w:p>
    <w:p w14:paraId="6CC2FA7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供应商应提交“谈判文件”正本一套。</w:t>
      </w:r>
    </w:p>
    <w:p w14:paraId="1654431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谈判文件的包装、标记要求</w:t>
      </w:r>
    </w:p>
    <w:p w14:paraId="3889AB9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1.2.1 谈判文件应单独封装，一并提交。</w:t>
      </w:r>
    </w:p>
    <w:p w14:paraId="365E97E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1.2.2 供应商应标明采购项目名称、供应商名称、地址等字样，并密封包装。</w:t>
      </w:r>
    </w:p>
    <w:p w14:paraId="71B61E0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1.2.3 每一密封袋的封口处均应加盖密封章或供应商公章，并在封面上标明采购项目名称、供应商名称及“在2026年11月3日（评审时间）之前不准启封”的字样。</w:t>
      </w:r>
    </w:p>
    <w:p w14:paraId="523D2C2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1.3 谈判文件的提交：供应商应于谈判文件递交截止时间前由专人将谈判文件送至指定地点。</w:t>
      </w:r>
    </w:p>
    <w:p w14:paraId="49381352">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1.4 供应商在递交谈判文件时，应同时出示谈判文件要求的资质证明文件的复印件并加盖有效公章，并按目录排列。</w:t>
      </w:r>
    </w:p>
    <w:p w14:paraId="287B12B0">
      <w:pPr>
        <w:spacing w:line="360" w:lineRule="auto"/>
        <w:rPr>
          <w:rFonts w:hint="eastAsia" w:ascii="宋体" w:hAnsi="宋体"/>
          <w:b/>
          <w:kern w:val="0"/>
          <w:sz w:val="28"/>
          <w:szCs w:val="28"/>
        </w:rPr>
      </w:pPr>
      <w:r>
        <w:rPr>
          <w:rFonts w:hint="eastAsia" w:ascii="宋体" w:hAnsi="宋体"/>
          <w:b/>
          <w:kern w:val="0"/>
          <w:sz w:val="28"/>
          <w:szCs w:val="28"/>
        </w:rPr>
        <w:t>2.递交截止时间</w:t>
      </w:r>
    </w:p>
    <w:p w14:paraId="7773401B">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谈判文件递交截止时间见本次谈判采购公告的规定。</w:t>
      </w:r>
    </w:p>
    <w:p w14:paraId="165C6230">
      <w:pPr>
        <w:spacing w:line="360" w:lineRule="auto"/>
        <w:rPr>
          <w:rFonts w:hint="eastAsia" w:ascii="宋体" w:hAnsi="宋体"/>
          <w:b/>
          <w:kern w:val="0"/>
          <w:sz w:val="28"/>
          <w:szCs w:val="28"/>
        </w:rPr>
      </w:pPr>
      <w:r>
        <w:rPr>
          <w:rFonts w:hint="eastAsia" w:ascii="宋体" w:hAnsi="宋体"/>
          <w:b/>
          <w:kern w:val="0"/>
          <w:sz w:val="28"/>
          <w:szCs w:val="28"/>
        </w:rPr>
        <w:t>3. 迟交的谈判文件</w:t>
      </w:r>
    </w:p>
    <w:p w14:paraId="00B45B97">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采购人将拒绝接收并原封退回在递交截止时间后收到的任何谈判文件。</w:t>
      </w:r>
    </w:p>
    <w:p w14:paraId="0870D1C9">
      <w:pPr>
        <w:spacing w:line="360" w:lineRule="auto"/>
        <w:rPr>
          <w:rFonts w:hint="eastAsia" w:ascii="宋体" w:hAnsi="宋体"/>
          <w:b/>
          <w:kern w:val="0"/>
          <w:sz w:val="28"/>
          <w:szCs w:val="28"/>
        </w:rPr>
      </w:pPr>
      <w:r>
        <w:rPr>
          <w:rFonts w:hint="eastAsia" w:ascii="宋体" w:hAnsi="宋体"/>
          <w:b/>
          <w:kern w:val="0"/>
          <w:sz w:val="28"/>
          <w:szCs w:val="28"/>
        </w:rPr>
        <w:t>4.谈判文件的修改和撤回</w:t>
      </w:r>
    </w:p>
    <w:p w14:paraId="4168CA1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 供应商在提交谈判文件后可对其谈判文件进行修改或撤回，但该修改或撤回的书面通知需经谈判文件签署人签字，并在递交截止时间之前送达采购人。</w:t>
      </w:r>
    </w:p>
    <w:p w14:paraId="2087594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4.2 供应商对谈判文件修改的书面材料或撤回的通知应按规定进行编写、密封、标注和递送，并注明“修改谈判文件”或“撤回谈判采购”字样。</w:t>
      </w:r>
    </w:p>
    <w:p w14:paraId="0398A8C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4.3 在谈判文件递交截止时间之后，供应商不得对其谈判文件做任何修改或撤回。</w:t>
      </w:r>
    </w:p>
    <w:p w14:paraId="65447F18">
      <w:pPr>
        <w:spacing w:line="360" w:lineRule="auto"/>
        <w:rPr>
          <w:rFonts w:hint="eastAsia" w:ascii="宋体" w:hAnsi="宋体"/>
          <w:b/>
          <w:kern w:val="0"/>
          <w:sz w:val="28"/>
          <w:szCs w:val="28"/>
        </w:rPr>
      </w:pPr>
      <w:r>
        <w:rPr>
          <w:rFonts w:hint="eastAsia" w:ascii="宋体" w:hAnsi="宋体"/>
          <w:b/>
          <w:kern w:val="0"/>
          <w:sz w:val="28"/>
          <w:szCs w:val="28"/>
        </w:rPr>
        <w:t>五、评审</w:t>
      </w:r>
    </w:p>
    <w:p w14:paraId="01B6D0A7">
      <w:pPr>
        <w:spacing w:line="360" w:lineRule="auto"/>
        <w:rPr>
          <w:rFonts w:hint="eastAsia" w:ascii="宋体" w:hAnsi="宋体"/>
          <w:b/>
          <w:kern w:val="0"/>
          <w:sz w:val="28"/>
          <w:szCs w:val="28"/>
        </w:rPr>
      </w:pPr>
      <w:r>
        <w:rPr>
          <w:rFonts w:hint="eastAsia" w:ascii="宋体" w:hAnsi="宋体"/>
          <w:b/>
          <w:kern w:val="0"/>
          <w:sz w:val="28"/>
          <w:szCs w:val="28"/>
        </w:rPr>
        <w:t>1.否决</w:t>
      </w:r>
    </w:p>
    <w:p w14:paraId="7D0E9B2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“谈判文件”属下列情况之一的，采购人有权将其作否决处理：</w:t>
      </w:r>
    </w:p>
    <w:p w14:paraId="13DBE7E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（1）逾期送达的；</w:t>
      </w:r>
    </w:p>
    <w:p w14:paraId="3FF9421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（2）供应商针对同一服务递交两份或多份内容不同的响应书，未书面声明哪一个有效的；</w:t>
      </w:r>
    </w:p>
    <w:p w14:paraId="4AC4D94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无论何种原因在评审时未被接收的谈判书在评审时将不予考虑，采购人对此不承担任何责任。</w:t>
      </w:r>
    </w:p>
    <w:p w14:paraId="2118694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1.3供应商数量不足三家的，采购人须重新进行谈判采购。</w:t>
      </w:r>
    </w:p>
    <w:p w14:paraId="0694AE79">
      <w:pPr>
        <w:spacing w:line="360" w:lineRule="auto"/>
        <w:rPr>
          <w:rFonts w:hint="eastAsia" w:ascii="宋体" w:hAnsi="宋体"/>
          <w:b/>
          <w:kern w:val="0"/>
          <w:sz w:val="28"/>
          <w:szCs w:val="28"/>
        </w:rPr>
      </w:pPr>
      <w:r>
        <w:rPr>
          <w:rFonts w:hint="eastAsia" w:ascii="宋体" w:hAnsi="宋体"/>
          <w:b/>
          <w:kern w:val="0"/>
          <w:sz w:val="28"/>
          <w:szCs w:val="28"/>
        </w:rPr>
        <w:t>2.评审组织</w:t>
      </w:r>
    </w:p>
    <w:p w14:paraId="2263E38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采购人将根据本次谈判采购采购项目的特点，根据相关规章制度制定评审办法，成立评审小组。</w:t>
      </w:r>
    </w:p>
    <w:p w14:paraId="5A98622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2.2 评审小组成员由采购人代表组成。</w:t>
      </w:r>
    </w:p>
    <w:p w14:paraId="5175A9B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2.3 评审小组对谈判文件进行审查、质疑、评估和比较。</w:t>
      </w:r>
    </w:p>
    <w:p w14:paraId="5D228454">
      <w:pPr>
        <w:spacing w:line="360" w:lineRule="auto"/>
        <w:rPr>
          <w:rFonts w:hint="eastAsia" w:ascii="宋体" w:hAnsi="宋体"/>
          <w:b/>
          <w:kern w:val="0"/>
          <w:sz w:val="28"/>
          <w:szCs w:val="28"/>
        </w:rPr>
      </w:pPr>
      <w:r>
        <w:rPr>
          <w:rFonts w:hint="eastAsia" w:ascii="宋体" w:hAnsi="宋体"/>
          <w:b/>
          <w:kern w:val="0"/>
          <w:sz w:val="28"/>
          <w:szCs w:val="28"/>
        </w:rPr>
        <w:t>3.对谈判文件的审查和响应性的确定</w:t>
      </w:r>
    </w:p>
    <w:p w14:paraId="750776A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拆封后，评审小组检查审查谈判文件是否完整。</w:t>
      </w:r>
    </w:p>
    <w:p w14:paraId="2357CFD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3.2 采购人将确定每一供应商是否对《谈判采购文件》的要求作出了实质性的响应，而没有重大偏离。实质性谈判是指谈判文件符合谈判文件的所有条款、条件和规定且没有重大偏离或保留。重大偏离或保留系指影响到谈判文件规定的服务范围、质量和性能，或限制了采购人的权利或减轻了供应商的义务，而纠正这些偏离将影响到其他提交实质性响应供应商的公平竞争地位。</w:t>
      </w:r>
    </w:p>
    <w:p w14:paraId="44CADCF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3.3 采购人判断谈判文件的响应性仅基于谈判文件本身而不靠外部证据。</w:t>
      </w:r>
    </w:p>
    <w:p w14:paraId="65CE57F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3.4 采购人有权拒绝被确定为非实质性的响应，供应商不能通过修正或撤销不符之处而使其成为实质性响应。</w:t>
      </w:r>
    </w:p>
    <w:p w14:paraId="76FF582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3.5当供应商最终报价低于最终平均报价的50%时，按其对应供应商响应文件无效处理。</w:t>
      </w:r>
    </w:p>
    <w:p w14:paraId="73659568">
      <w:pPr>
        <w:spacing w:line="360" w:lineRule="auto"/>
        <w:rPr>
          <w:rFonts w:hint="eastAsia" w:ascii="宋体" w:hAnsi="宋体"/>
          <w:b/>
          <w:kern w:val="0"/>
          <w:sz w:val="28"/>
          <w:szCs w:val="28"/>
        </w:rPr>
      </w:pPr>
      <w:r>
        <w:rPr>
          <w:rFonts w:hint="eastAsia" w:ascii="宋体" w:hAnsi="宋体"/>
          <w:b/>
          <w:kern w:val="0"/>
          <w:sz w:val="28"/>
          <w:szCs w:val="28"/>
        </w:rPr>
        <w:t>4.谈判文件的澄清</w:t>
      </w:r>
    </w:p>
    <w:p w14:paraId="65BF454B">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 为了有助于对谈判文件进行审查、评估和比较，采购人有权向供应商质疑，请供应商以书面形式澄清其谈判文件内容。供应商须按照采购人通知的时间、地点指派专人进行答疑和澄清。</w:t>
      </w:r>
    </w:p>
    <w:p w14:paraId="0B12492A">
      <w:pPr>
        <w:spacing w:line="360" w:lineRule="auto"/>
        <w:rPr>
          <w:rFonts w:hint="eastAsia" w:ascii="宋体" w:hAnsi="宋体"/>
          <w:b/>
          <w:kern w:val="0"/>
          <w:sz w:val="28"/>
          <w:szCs w:val="28"/>
        </w:rPr>
      </w:pPr>
      <w:r>
        <w:rPr>
          <w:rFonts w:hint="eastAsia" w:ascii="宋体" w:hAnsi="宋体"/>
          <w:b/>
          <w:kern w:val="0"/>
          <w:sz w:val="28"/>
          <w:szCs w:val="28"/>
        </w:rPr>
        <w:t>5.谈判文件的评估和比较</w:t>
      </w:r>
    </w:p>
    <w:p w14:paraId="2212C6C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5.1 采购人及评审小组将对有效的谈判文件进行评估和比较。</w:t>
      </w:r>
    </w:p>
    <w:p w14:paraId="4065236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本次谈判采购采取综合评分法。</w:t>
      </w:r>
    </w:p>
    <w:p w14:paraId="58078BE6">
      <w:pPr>
        <w:rPr>
          <w:highlight w:val="yellow"/>
        </w:rPr>
      </w:pPr>
    </w:p>
    <w:p w14:paraId="70BBF740">
      <w:pPr>
        <w:spacing w:line="360" w:lineRule="auto"/>
        <w:rPr>
          <w:rFonts w:hint="eastAsia" w:ascii="宋体" w:hAnsi="宋体"/>
          <w:b/>
          <w:kern w:val="0"/>
          <w:sz w:val="28"/>
          <w:szCs w:val="28"/>
        </w:rPr>
      </w:pPr>
      <w:r>
        <w:rPr>
          <w:rFonts w:hint="eastAsia" w:ascii="宋体" w:hAnsi="宋体"/>
          <w:b/>
          <w:kern w:val="0"/>
          <w:sz w:val="28"/>
          <w:szCs w:val="28"/>
        </w:rPr>
        <w:t>6.评审原则及主要方法</w:t>
      </w:r>
    </w:p>
    <w:p w14:paraId="0E70C77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6.1 评审小组将遵循“公开、公平、科学、择优”的原则。对所有供应商的谈判文件评估，都采用相同的程序和标准。</w:t>
      </w:r>
    </w:p>
    <w:p w14:paraId="0C2669DE">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 评审主要内容</w:t>
      </w:r>
    </w:p>
    <w:p w14:paraId="6855DA9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6.2.1 初步审查。初步审查是对谈判文件合格性的审查，它所涉及到的主要文件和内容有：“响应书”的内容和签章的合格性；“营业执照”副本是否真实并加盖公章；法人代表或供应商代表的合法性；响应报价的完整性。</w:t>
      </w:r>
    </w:p>
    <w:p w14:paraId="6558304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6.2.2 资质审查。资质审查是对供应商资格和业绩合格性的审查，要求满足“谈判采购公告”中供应商须具备的资格条件。</w:t>
      </w:r>
    </w:p>
    <w:p w14:paraId="0044511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6.2.3 对通过初步审查及资质审查的谈判文件以综合评估的方法予以排序、选定。主要考评因素包括商务和技术两个方面。按照谈判文件要求对各谈判文件进行综合评分。</w:t>
      </w:r>
    </w:p>
    <w:p w14:paraId="05F11AB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6.2.4 （综合评分法）评分标准：</w:t>
      </w:r>
    </w:p>
    <w:p w14:paraId="3878A89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6.2.4.1综合评分明细表按须知表中的相关要求进行价格调整，再参与价格分评审。</w:t>
      </w:r>
    </w:p>
    <w:p w14:paraId="47700FA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6.2.4.2综合评分明细表</w:t>
      </w:r>
    </w:p>
    <w:tbl>
      <w:tblPr>
        <w:tblStyle w:val="1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66"/>
        <w:gridCol w:w="686"/>
        <w:gridCol w:w="4504"/>
        <w:gridCol w:w="1164"/>
      </w:tblGrid>
      <w:tr w14:paraId="636B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7D4C474F">
            <w:pPr>
              <w:tabs>
                <w:tab w:val="left" w:pos="0"/>
              </w:tabs>
              <w:wordWrap w:val="0"/>
              <w:spacing w:line="0" w:lineRule="atLeast"/>
              <w:ind w:firstLine="28"/>
              <w:rPr>
                <w:rFonts w:ascii="宋体" w:hAnsi="宋体" w:cs="仿宋"/>
                <w:b/>
                <w:bCs/>
                <w:szCs w:val="21"/>
              </w:rPr>
            </w:pPr>
            <w:r>
              <w:rPr>
                <w:rFonts w:hint="eastAsia" w:ascii="宋体" w:hAnsi="宋体" w:cs="仿宋"/>
                <w:b/>
                <w:bCs/>
                <w:szCs w:val="21"/>
              </w:rPr>
              <w:t>序号</w:t>
            </w:r>
          </w:p>
        </w:tc>
        <w:tc>
          <w:tcPr>
            <w:tcW w:w="1266" w:type="dxa"/>
            <w:tcBorders>
              <w:top w:val="single" w:color="auto" w:sz="4" w:space="0"/>
              <w:left w:val="single" w:color="auto" w:sz="4" w:space="0"/>
              <w:bottom w:val="single" w:color="auto" w:sz="4" w:space="0"/>
              <w:right w:val="single" w:color="auto" w:sz="4" w:space="0"/>
            </w:tcBorders>
            <w:vAlign w:val="center"/>
          </w:tcPr>
          <w:p w14:paraId="457237D6">
            <w:pPr>
              <w:tabs>
                <w:tab w:val="left" w:pos="0"/>
              </w:tabs>
              <w:wordWrap w:val="0"/>
              <w:spacing w:line="0" w:lineRule="atLeast"/>
              <w:ind w:firstLine="28"/>
              <w:jc w:val="center"/>
              <w:rPr>
                <w:rFonts w:ascii="宋体" w:hAnsi="宋体" w:cs="仿宋"/>
                <w:b/>
                <w:bCs/>
                <w:szCs w:val="21"/>
              </w:rPr>
            </w:pPr>
            <w:r>
              <w:rPr>
                <w:rFonts w:hint="eastAsia" w:ascii="宋体" w:hAnsi="宋体" w:cs="仿宋"/>
                <w:b/>
                <w:bCs/>
                <w:szCs w:val="21"/>
              </w:rPr>
              <w:t>评分因素及权重</w:t>
            </w:r>
          </w:p>
        </w:tc>
        <w:tc>
          <w:tcPr>
            <w:tcW w:w="686" w:type="dxa"/>
            <w:tcBorders>
              <w:top w:val="single" w:color="auto" w:sz="4" w:space="0"/>
              <w:left w:val="single" w:color="auto" w:sz="4" w:space="0"/>
              <w:bottom w:val="single" w:color="auto" w:sz="4" w:space="0"/>
              <w:right w:val="single" w:color="auto" w:sz="4" w:space="0"/>
            </w:tcBorders>
            <w:vAlign w:val="center"/>
          </w:tcPr>
          <w:p w14:paraId="181F23CC">
            <w:pPr>
              <w:tabs>
                <w:tab w:val="left" w:pos="0"/>
              </w:tabs>
              <w:wordWrap w:val="0"/>
              <w:spacing w:line="0" w:lineRule="atLeast"/>
              <w:ind w:firstLine="28"/>
              <w:jc w:val="center"/>
              <w:rPr>
                <w:rFonts w:ascii="宋体" w:hAnsi="宋体" w:cs="仿宋"/>
                <w:b/>
                <w:bCs/>
                <w:szCs w:val="21"/>
              </w:rPr>
            </w:pPr>
            <w:r>
              <w:rPr>
                <w:rFonts w:hint="eastAsia" w:ascii="宋体" w:hAnsi="宋体" w:cs="仿宋"/>
                <w:b/>
                <w:bCs/>
                <w:szCs w:val="21"/>
              </w:rPr>
              <w:t>分值</w:t>
            </w:r>
          </w:p>
        </w:tc>
        <w:tc>
          <w:tcPr>
            <w:tcW w:w="4504" w:type="dxa"/>
            <w:tcBorders>
              <w:top w:val="single" w:color="auto" w:sz="4" w:space="0"/>
              <w:left w:val="single" w:color="auto" w:sz="4" w:space="0"/>
              <w:bottom w:val="single" w:color="auto" w:sz="4" w:space="0"/>
              <w:right w:val="single" w:color="auto" w:sz="4" w:space="0"/>
            </w:tcBorders>
            <w:vAlign w:val="center"/>
          </w:tcPr>
          <w:p w14:paraId="60C89FDF">
            <w:pPr>
              <w:tabs>
                <w:tab w:val="left" w:pos="0"/>
              </w:tabs>
              <w:wordWrap w:val="0"/>
              <w:spacing w:line="0" w:lineRule="atLeast"/>
              <w:ind w:firstLine="28"/>
              <w:jc w:val="center"/>
              <w:rPr>
                <w:rFonts w:ascii="宋体" w:hAnsi="宋体" w:cs="仿宋"/>
                <w:b/>
                <w:bCs/>
                <w:szCs w:val="21"/>
              </w:rPr>
            </w:pPr>
            <w:r>
              <w:rPr>
                <w:rFonts w:hint="eastAsia" w:ascii="宋体" w:hAnsi="宋体" w:cs="仿宋"/>
                <w:b/>
                <w:bCs/>
                <w:szCs w:val="21"/>
              </w:rPr>
              <w:t>评分标准</w:t>
            </w:r>
          </w:p>
        </w:tc>
        <w:tc>
          <w:tcPr>
            <w:tcW w:w="1164" w:type="dxa"/>
            <w:tcBorders>
              <w:top w:val="single" w:color="auto" w:sz="4" w:space="0"/>
              <w:left w:val="single" w:color="auto" w:sz="4" w:space="0"/>
              <w:bottom w:val="single" w:color="auto" w:sz="4" w:space="0"/>
              <w:right w:val="single" w:color="auto" w:sz="4" w:space="0"/>
            </w:tcBorders>
            <w:vAlign w:val="center"/>
          </w:tcPr>
          <w:p w14:paraId="736FE0E9">
            <w:pPr>
              <w:tabs>
                <w:tab w:val="left" w:pos="0"/>
              </w:tabs>
              <w:wordWrap w:val="0"/>
              <w:spacing w:line="0" w:lineRule="atLeast"/>
              <w:jc w:val="center"/>
              <w:rPr>
                <w:rFonts w:ascii="宋体" w:hAnsi="宋体" w:cs="仿宋"/>
                <w:b/>
                <w:bCs/>
                <w:szCs w:val="21"/>
              </w:rPr>
            </w:pPr>
            <w:r>
              <w:rPr>
                <w:rFonts w:hint="eastAsia" w:ascii="宋体" w:hAnsi="宋体" w:cs="仿宋"/>
                <w:b/>
                <w:bCs/>
                <w:szCs w:val="21"/>
              </w:rPr>
              <w:t>评分类别</w:t>
            </w:r>
          </w:p>
        </w:tc>
      </w:tr>
      <w:tr w14:paraId="37FD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2806FD89">
            <w:pPr>
              <w:tabs>
                <w:tab w:val="left" w:pos="0"/>
              </w:tabs>
              <w:wordWrap w:val="0"/>
              <w:spacing w:line="0" w:lineRule="atLeast"/>
              <w:jc w:val="center"/>
              <w:rPr>
                <w:rFonts w:ascii="宋体" w:hAnsi="宋体" w:cs="仿宋"/>
                <w:bCs/>
                <w:szCs w:val="21"/>
              </w:rPr>
            </w:pPr>
            <w:r>
              <w:rPr>
                <w:rFonts w:hint="eastAsia" w:ascii="宋体" w:hAnsi="宋体" w:cs="仿宋"/>
                <w:bCs/>
                <w:szCs w:val="21"/>
              </w:rPr>
              <w:t>1</w:t>
            </w:r>
          </w:p>
        </w:tc>
        <w:tc>
          <w:tcPr>
            <w:tcW w:w="1266" w:type="dxa"/>
            <w:tcBorders>
              <w:top w:val="single" w:color="auto" w:sz="4" w:space="0"/>
              <w:left w:val="single" w:color="auto" w:sz="4" w:space="0"/>
              <w:bottom w:val="single" w:color="auto" w:sz="4" w:space="0"/>
              <w:right w:val="single" w:color="auto" w:sz="4" w:space="0"/>
            </w:tcBorders>
            <w:vAlign w:val="center"/>
          </w:tcPr>
          <w:p w14:paraId="20E470D0">
            <w:pPr>
              <w:widowControl/>
              <w:tabs>
                <w:tab w:val="left" w:pos="5865"/>
              </w:tabs>
              <w:spacing w:line="360" w:lineRule="auto"/>
              <w:textAlignment w:val="center"/>
              <w:rPr>
                <w:rFonts w:ascii="宋体" w:hAnsi="宋体" w:cs="仿宋"/>
                <w:szCs w:val="21"/>
              </w:rPr>
            </w:pPr>
            <w:r>
              <w:rPr>
                <w:rFonts w:hint="eastAsia" w:ascii="宋体" w:hAnsi="宋体" w:cs="仿宋"/>
                <w:szCs w:val="21"/>
              </w:rPr>
              <w:t>报价</w:t>
            </w:r>
            <w:r>
              <w:rPr>
                <w:rFonts w:hint="eastAsia" w:ascii="宋体" w:hAnsi="宋体" w:cs="仿宋"/>
                <w:szCs w:val="21"/>
                <w:lang w:val="en-US" w:eastAsia="zh-CN"/>
              </w:rPr>
              <w:t>70</w:t>
            </w:r>
            <w:r>
              <w:rPr>
                <w:rFonts w:hint="eastAsia" w:ascii="宋体" w:hAnsi="宋体" w:cs="仿宋"/>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7E3E50E2">
            <w:pPr>
              <w:widowControl/>
              <w:tabs>
                <w:tab w:val="left" w:pos="5865"/>
              </w:tabs>
              <w:spacing w:line="360" w:lineRule="auto"/>
              <w:textAlignment w:val="center"/>
              <w:rPr>
                <w:rFonts w:ascii="宋体" w:hAnsi="宋体" w:cs="仿宋"/>
                <w:szCs w:val="21"/>
              </w:rPr>
            </w:pPr>
            <w:r>
              <w:rPr>
                <w:rFonts w:hint="eastAsia" w:ascii="宋体" w:hAnsi="宋体" w:cs="仿宋"/>
                <w:szCs w:val="21"/>
                <w:lang w:val="en-US" w:eastAsia="zh-CN"/>
              </w:rPr>
              <w:t>70</w:t>
            </w:r>
            <w:r>
              <w:rPr>
                <w:rFonts w:hint="eastAsia" w:ascii="宋体" w:hAnsi="宋体" w:cs="仿宋"/>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67FC048C">
            <w:pPr>
              <w:widowControl/>
              <w:tabs>
                <w:tab w:val="left" w:pos="5865"/>
              </w:tabs>
              <w:spacing w:line="360" w:lineRule="auto"/>
              <w:textAlignment w:val="center"/>
            </w:pPr>
            <w:r>
              <w:rPr>
                <w:rFonts w:hint="eastAsia"/>
              </w:rPr>
              <w:t>满足磋商文件要求且最后报价的所有供应商的平均价格作为磋商基准价，磋商报价得分=(磋商基准价／最后磋商报价)×</w:t>
            </w:r>
            <w:r>
              <w:rPr>
                <w:rFonts w:hint="eastAsia"/>
                <w:lang w:val="en-US" w:eastAsia="zh-CN"/>
              </w:rPr>
              <w:t>70</w:t>
            </w:r>
            <w:r>
              <w:rPr>
                <w:rFonts w:hint="eastAsia"/>
              </w:rPr>
              <w:t>，若最后磋商价格≤磋商基准价，按此项得满分计算，即</w:t>
            </w:r>
            <w:r>
              <w:rPr>
                <w:rFonts w:hint="eastAsia"/>
                <w:lang w:val="en-US" w:eastAsia="zh-CN"/>
              </w:rPr>
              <w:t>70</w:t>
            </w:r>
            <w:r>
              <w:rPr>
                <w:rFonts w:hint="eastAsia"/>
              </w:rPr>
              <w:t xml:space="preserve">分。 </w:t>
            </w:r>
          </w:p>
          <w:p w14:paraId="6649E5FC">
            <w:pPr>
              <w:widowControl/>
              <w:tabs>
                <w:tab w:val="left" w:pos="5865"/>
              </w:tabs>
              <w:spacing w:line="360" w:lineRule="auto"/>
              <w:textAlignment w:val="center"/>
            </w:pPr>
            <w:r>
              <w:rPr>
                <w:rFonts w:hint="eastAsia"/>
              </w:rPr>
              <w:t>注：最终结果四舍五入保留小数点后两位。</w:t>
            </w:r>
          </w:p>
        </w:tc>
        <w:tc>
          <w:tcPr>
            <w:tcW w:w="1164" w:type="dxa"/>
            <w:tcBorders>
              <w:top w:val="single" w:color="auto" w:sz="4" w:space="0"/>
              <w:left w:val="single" w:color="auto" w:sz="4" w:space="0"/>
              <w:bottom w:val="single" w:color="auto" w:sz="4" w:space="0"/>
              <w:right w:val="single" w:color="auto" w:sz="4" w:space="0"/>
            </w:tcBorders>
            <w:vAlign w:val="center"/>
          </w:tcPr>
          <w:p w14:paraId="55D96FE9">
            <w:pPr>
              <w:tabs>
                <w:tab w:val="left" w:pos="0"/>
              </w:tabs>
              <w:wordWrap w:val="0"/>
              <w:spacing w:line="0" w:lineRule="atLeast"/>
              <w:jc w:val="center"/>
              <w:rPr>
                <w:rFonts w:ascii="宋体" w:hAnsi="宋体" w:cs="仿宋"/>
                <w:szCs w:val="21"/>
              </w:rPr>
            </w:pPr>
            <w:r>
              <w:rPr>
                <w:rFonts w:hint="eastAsia" w:ascii="宋体" w:hAnsi="宋体" w:cs="仿宋"/>
                <w:szCs w:val="21"/>
              </w:rPr>
              <w:t>共同评分因素</w:t>
            </w:r>
          </w:p>
        </w:tc>
      </w:tr>
      <w:tr w14:paraId="0A90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2C0C0E75">
            <w:pPr>
              <w:tabs>
                <w:tab w:val="left" w:pos="0"/>
              </w:tabs>
              <w:wordWrap w:val="0"/>
              <w:spacing w:line="0" w:lineRule="atLeast"/>
              <w:jc w:val="center"/>
              <w:rPr>
                <w:rFonts w:ascii="宋体" w:hAnsi="宋体" w:cs="仿宋"/>
                <w:bCs/>
                <w:szCs w:val="21"/>
              </w:rPr>
            </w:pPr>
            <w:r>
              <w:rPr>
                <w:rFonts w:hint="eastAsia" w:ascii="宋体" w:hAnsi="宋体" w:cs="仿宋"/>
                <w:bCs/>
                <w:szCs w:val="21"/>
              </w:rPr>
              <w:t>2</w:t>
            </w:r>
          </w:p>
        </w:tc>
        <w:tc>
          <w:tcPr>
            <w:tcW w:w="1266" w:type="dxa"/>
            <w:tcBorders>
              <w:top w:val="single" w:color="auto" w:sz="4" w:space="0"/>
              <w:left w:val="single" w:color="auto" w:sz="4" w:space="0"/>
              <w:bottom w:val="single" w:color="auto" w:sz="4" w:space="0"/>
              <w:right w:val="single" w:color="auto" w:sz="4" w:space="0"/>
            </w:tcBorders>
            <w:vAlign w:val="center"/>
          </w:tcPr>
          <w:p w14:paraId="09A8E656">
            <w:pPr>
              <w:widowControl/>
              <w:tabs>
                <w:tab w:val="left" w:pos="5865"/>
              </w:tabs>
              <w:spacing w:line="360" w:lineRule="auto"/>
              <w:textAlignment w:val="center"/>
              <w:rPr>
                <w:rFonts w:ascii="宋体" w:hAnsi="宋体" w:cs="仿宋"/>
                <w:szCs w:val="21"/>
              </w:rPr>
            </w:pPr>
            <w:r>
              <w:rPr>
                <w:rFonts w:hint="eastAsia" w:ascii="宋体" w:hAnsi="宋体" w:cs="仿宋"/>
                <w:szCs w:val="21"/>
              </w:rPr>
              <w:t>业绩</w:t>
            </w:r>
            <w:r>
              <w:rPr>
                <w:rFonts w:ascii="宋体" w:hAnsi="宋体" w:cs="仿宋"/>
                <w:szCs w:val="21"/>
              </w:rPr>
              <w:t>15</w:t>
            </w:r>
            <w:r>
              <w:rPr>
                <w:rFonts w:hint="eastAsia" w:ascii="宋体" w:hAnsi="宋体" w:cs="仿宋"/>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6784FFAB">
            <w:pPr>
              <w:widowControl/>
              <w:tabs>
                <w:tab w:val="left" w:pos="5865"/>
              </w:tabs>
              <w:spacing w:line="360" w:lineRule="auto"/>
              <w:textAlignment w:val="center"/>
              <w:rPr>
                <w:rFonts w:ascii="宋体" w:hAnsi="宋体" w:cs="仿宋"/>
                <w:szCs w:val="21"/>
              </w:rPr>
            </w:pPr>
            <w:r>
              <w:rPr>
                <w:rFonts w:ascii="宋体" w:hAnsi="宋体" w:cs="仿宋"/>
                <w:szCs w:val="21"/>
              </w:rPr>
              <w:t>15</w:t>
            </w:r>
            <w:r>
              <w:rPr>
                <w:rFonts w:hint="eastAsia" w:ascii="宋体" w:hAnsi="宋体" w:cs="仿宋"/>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23DAF6B9">
            <w:pPr>
              <w:widowControl/>
              <w:tabs>
                <w:tab w:val="left" w:pos="5865"/>
              </w:tabs>
              <w:spacing w:line="360" w:lineRule="auto"/>
              <w:textAlignment w:val="center"/>
              <w:rPr>
                <w:rFonts w:ascii="微软雅黑" w:hAnsi="微软雅黑" w:eastAsia="微软雅黑"/>
                <w:color w:val="303030"/>
                <w:sz w:val="20"/>
                <w:szCs w:val="20"/>
              </w:rPr>
            </w:pPr>
            <w:r>
              <w:rPr>
                <w:rFonts w:hint="eastAsia"/>
              </w:rPr>
              <w:t>1</w:t>
            </w:r>
            <w:r>
              <w:t>.在</w:t>
            </w:r>
            <w:r>
              <w:rPr>
                <w:rFonts w:hint="eastAsia"/>
              </w:rPr>
              <w:t>近三年项目业绩</w:t>
            </w:r>
            <w:r>
              <w:rPr>
                <w:rFonts w:hint="eastAsia"/>
                <w:lang w:eastAsia="zh-CN"/>
              </w:rPr>
              <w:t>（</w:t>
            </w:r>
            <w:r>
              <w:rPr>
                <w:rFonts w:hint="eastAsia"/>
                <w:lang w:val="en-US" w:eastAsia="zh-CN"/>
              </w:rPr>
              <w:t>5个及以上</w:t>
            </w:r>
            <w:r>
              <w:rPr>
                <w:rFonts w:hint="eastAsia"/>
                <w:lang w:eastAsia="zh-CN"/>
              </w:rPr>
              <w:t>）</w:t>
            </w:r>
            <w:r>
              <w:rPr>
                <w:rFonts w:hint="eastAsia"/>
              </w:rPr>
              <w:t>，主要包含化工、工贸行业</w:t>
            </w:r>
            <w:r>
              <w:t>类型维护业绩</w:t>
            </w:r>
            <w:r>
              <w:rPr>
                <w:rFonts w:hint="eastAsia"/>
              </w:rPr>
              <w:t>得</w:t>
            </w:r>
            <w:r>
              <w:rPr>
                <w:rFonts w:hint="eastAsia"/>
                <w:lang w:val="en-US" w:eastAsia="zh-CN"/>
              </w:rPr>
              <w:t>5</w:t>
            </w:r>
            <w:r>
              <w:rPr>
                <w:rFonts w:hint="eastAsia"/>
              </w:rPr>
              <w:t>分。（</w:t>
            </w:r>
            <w:r>
              <w:rPr>
                <w:rFonts w:hint="eastAsia" w:ascii="宋体" w:hAnsi="宋体" w:cs="仿宋"/>
                <w:szCs w:val="21"/>
              </w:rPr>
              <w:t>注：</w:t>
            </w:r>
            <w:r>
              <w:rPr>
                <w:rFonts w:hint="eastAsia"/>
              </w:rPr>
              <w:t>提供项目合同业绩得合同关键页复印件，合同关键页包含但不限于：合同名称或项目项目名称、合同签订双方的名称、双方签章页等。）</w:t>
            </w:r>
          </w:p>
          <w:p w14:paraId="1D7157C6">
            <w:pPr>
              <w:widowControl/>
              <w:tabs>
                <w:tab w:val="left" w:pos="5865"/>
              </w:tabs>
              <w:spacing w:line="360" w:lineRule="auto"/>
              <w:textAlignment w:val="center"/>
              <w:rPr>
                <w:rFonts w:ascii="宋体" w:hAnsi="宋体" w:cs="仿宋"/>
                <w:szCs w:val="21"/>
              </w:rPr>
            </w:pPr>
            <w:r>
              <w:rPr>
                <w:rFonts w:hint="eastAsia"/>
                <w:lang w:val="en-US" w:eastAsia="zh-CN"/>
              </w:rPr>
              <w:t>2.</w:t>
            </w:r>
            <w:r>
              <w:rPr>
                <w:rFonts w:hint="eastAsia"/>
              </w:rPr>
              <w:t>评委根据投标方案，进行横向比较独立打分，优秀得7</w:t>
            </w:r>
            <w:r>
              <w:t>-10</w:t>
            </w:r>
            <w:r>
              <w:rPr>
                <w:rFonts w:hint="eastAsia"/>
              </w:rPr>
              <w:t>分，良好得4</w:t>
            </w:r>
            <w:r>
              <w:t>-7</w:t>
            </w:r>
            <w:r>
              <w:rPr>
                <w:rFonts w:hint="eastAsia"/>
              </w:rPr>
              <w:t>分，一般得0</w:t>
            </w:r>
            <w:r>
              <w:t>-4</w:t>
            </w:r>
            <w:r>
              <w:rPr>
                <w:rFonts w:hint="eastAsia"/>
              </w:rPr>
              <w:t>分。</w:t>
            </w:r>
          </w:p>
        </w:tc>
        <w:tc>
          <w:tcPr>
            <w:tcW w:w="1164" w:type="dxa"/>
            <w:tcBorders>
              <w:top w:val="single" w:color="auto" w:sz="4" w:space="0"/>
              <w:left w:val="single" w:color="auto" w:sz="4" w:space="0"/>
              <w:bottom w:val="single" w:color="auto" w:sz="4" w:space="0"/>
              <w:right w:val="single" w:color="auto" w:sz="4" w:space="0"/>
            </w:tcBorders>
            <w:vAlign w:val="center"/>
          </w:tcPr>
          <w:p w14:paraId="5D02E8FC">
            <w:pPr>
              <w:tabs>
                <w:tab w:val="left" w:pos="0"/>
              </w:tabs>
              <w:wordWrap w:val="0"/>
              <w:spacing w:line="0" w:lineRule="atLeast"/>
              <w:jc w:val="center"/>
              <w:rPr>
                <w:rFonts w:ascii="宋体" w:hAnsi="宋体" w:cs="仿宋"/>
                <w:szCs w:val="21"/>
              </w:rPr>
            </w:pPr>
            <w:r>
              <w:rPr>
                <w:rFonts w:hint="eastAsia" w:ascii="宋体" w:hAnsi="宋体" w:cs="仿宋"/>
                <w:szCs w:val="21"/>
              </w:rPr>
              <w:t>共同评分因素</w:t>
            </w:r>
          </w:p>
        </w:tc>
      </w:tr>
      <w:tr w14:paraId="1E17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0531B507">
            <w:pPr>
              <w:tabs>
                <w:tab w:val="left" w:pos="0"/>
              </w:tabs>
              <w:wordWrap w:val="0"/>
              <w:spacing w:line="0" w:lineRule="atLeast"/>
              <w:jc w:val="center"/>
              <w:rPr>
                <w:rFonts w:ascii="宋体" w:hAnsi="宋体" w:cs="仿宋"/>
                <w:bCs/>
                <w:sz w:val="24"/>
                <w:szCs w:val="21"/>
              </w:rPr>
            </w:pPr>
            <w:r>
              <w:rPr>
                <w:rFonts w:hint="eastAsia" w:ascii="宋体" w:hAnsi="宋体" w:cs="仿宋"/>
                <w:bCs/>
                <w:szCs w:val="21"/>
              </w:rPr>
              <w:t>3</w:t>
            </w:r>
          </w:p>
        </w:tc>
        <w:tc>
          <w:tcPr>
            <w:tcW w:w="1266" w:type="dxa"/>
            <w:tcBorders>
              <w:top w:val="single" w:color="auto" w:sz="4" w:space="0"/>
              <w:left w:val="single" w:color="auto" w:sz="4" w:space="0"/>
              <w:bottom w:val="single" w:color="auto" w:sz="4" w:space="0"/>
              <w:right w:val="single" w:color="auto" w:sz="4" w:space="0"/>
            </w:tcBorders>
            <w:vAlign w:val="center"/>
          </w:tcPr>
          <w:p w14:paraId="0D33424F">
            <w:pPr>
              <w:widowControl/>
              <w:tabs>
                <w:tab w:val="left" w:pos="5865"/>
              </w:tabs>
              <w:spacing w:line="360" w:lineRule="auto"/>
              <w:textAlignment w:val="center"/>
              <w:rPr>
                <w:rFonts w:ascii="宋体" w:hAnsi="宋体" w:cs="仿宋"/>
                <w:szCs w:val="21"/>
              </w:rPr>
            </w:pPr>
            <w:r>
              <w:rPr>
                <w:rFonts w:hint="eastAsia" w:ascii="宋体" w:hAnsi="宋体" w:cs="仿宋"/>
                <w:szCs w:val="21"/>
              </w:rPr>
              <w:t>服务方案</w:t>
            </w:r>
            <w:r>
              <w:rPr>
                <w:rFonts w:hint="eastAsia" w:ascii="宋体" w:hAnsi="宋体" w:cs="仿宋"/>
                <w:szCs w:val="21"/>
                <w:lang w:val="en-US" w:eastAsia="zh-CN"/>
              </w:rPr>
              <w:t>15</w:t>
            </w:r>
            <w:r>
              <w:rPr>
                <w:rFonts w:hint="eastAsia" w:ascii="宋体" w:hAnsi="宋体" w:cs="仿宋"/>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1D679D97">
            <w:pPr>
              <w:widowControl/>
              <w:tabs>
                <w:tab w:val="left" w:pos="5865"/>
              </w:tabs>
              <w:spacing w:line="360" w:lineRule="auto"/>
              <w:textAlignment w:val="center"/>
              <w:rPr>
                <w:rFonts w:ascii="宋体" w:hAnsi="宋体" w:cs="仿宋"/>
                <w:szCs w:val="21"/>
              </w:rPr>
            </w:pPr>
            <w:r>
              <w:rPr>
                <w:rFonts w:hint="eastAsia" w:ascii="宋体" w:hAnsi="宋体" w:cs="仿宋"/>
                <w:szCs w:val="21"/>
                <w:lang w:val="en-US" w:eastAsia="zh-CN"/>
              </w:rPr>
              <w:t>15</w:t>
            </w:r>
            <w:r>
              <w:rPr>
                <w:rFonts w:hint="eastAsia" w:ascii="宋体" w:hAnsi="宋体" w:cs="仿宋"/>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30BF0926">
            <w:pPr>
              <w:widowControl/>
              <w:tabs>
                <w:tab w:val="left" w:pos="5865"/>
              </w:tabs>
              <w:spacing w:line="360" w:lineRule="auto"/>
              <w:textAlignment w:val="center"/>
              <w:rPr>
                <w:rFonts w:hint="eastAsia" w:ascii="Times New Roman" w:hAnsi="Times New Roman" w:eastAsia="宋体" w:cs="Times New Roman"/>
              </w:rPr>
            </w:pPr>
            <w:r>
              <w:rPr>
                <w:rFonts w:hint="eastAsia" w:ascii="Times New Roman" w:hAnsi="Times New Roman" w:eastAsia="宋体" w:cs="Times New Roman"/>
                <w:lang w:val="en-US" w:eastAsia="zh-CN"/>
              </w:rPr>
              <w:t>1.</w:t>
            </w:r>
            <w:r>
              <w:rPr>
                <w:rFonts w:hint="eastAsia" w:ascii="Times New Roman" w:hAnsi="Times New Roman" w:eastAsia="宋体" w:cs="Times New Roman"/>
              </w:rPr>
              <w:t>满足招标文件要求且近两年内未被工商、消防主管部门处罚过，无不良信用的得5分，否则0分。（需出具相关证明及投标单位的承诺文件）。</w:t>
            </w:r>
          </w:p>
          <w:p w14:paraId="272A9100">
            <w:pPr>
              <w:widowControl/>
              <w:tabs>
                <w:tab w:val="left" w:pos="5865"/>
              </w:tabs>
              <w:spacing w:line="360" w:lineRule="auto"/>
              <w:textAlignment w:val="center"/>
              <w:rPr>
                <w:rFonts w:ascii="宋体" w:hAnsi="宋体" w:cs="仿宋"/>
                <w:szCs w:val="21"/>
              </w:rPr>
            </w:pPr>
            <w:r>
              <w:rPr>
                <w:rFonts w:hint="eastAsia" w:ascii="Times New Roman" w:hAnsi="Times New Roman" w:eastAsia="宋体" w:cs="Times New Roman"/>
              </w:rPr>
              <w:t>近三年获得世界500强、大型国营、上市化工企业、市、区颁发的荣誉证书的一个加</w:t>
            </w:r>
            <w:r>
              <w:rPr>
                <w:rFonts w:hint="eastAsia" w:ascii="Times New Roman" w:hAnsi="Times New Roman" w:eastAsia="宋体" w:cs="Times New Roman"/>
                <w:lang w:val="en-US" w:eastAsia="zh-CN"/>
              </w:rPr>
              <w:t>2</w:t>
            </w:r>
            <w:r>
              <w:rPr>
                <w:rFonts w:hint="eastAsia" w:ascii="Times New Roman" w:hAnsi="Times New Roman" w:eastAsia="宋体" w:cs="Times New Roman"/>
              </w:rPr>
              <w:t>分。</w:t>
            </w:r>
            <w:r>
              <w:rPr>
                <w:rFonts w:hint="eastAsia" w:ascii="Times New Roman" w:hAnsi="Times New Roman" w:eastAsia="宋体" w:cs="Times New Roman"/>
                <w:lang w:val="en-US" w:eastAsia="zh-CN"/>
              </w:rPr>
              <w:t>2.同时</w:t>
            </w:r>
            <w:r>
              <w:rPr>
                <w:rFonts w:hint="eastAsia" w:ascii="Times New Roman" w:hAnsi="Times New Roman" w:eastAsia="宋体" w:cs="Times New Roman"/>
              </w:rPr>
              <w:t>有职业健康、质量体系、环境认证的</w:t>
            </w:r>
            <w:r>
              <w:rPr>
                <w:rFonts w:hint="eastAsia" w:ascii="Times New Roman" w:hAnsi="Times New Roman" w:eastAsia="宋体" w:cs="Times New Roman"/>
                <w:lang w:val="en-US" w:eastAsia="zh-CN"/>
              </w:rPr>
              <w:t>加</w:t>
            </w:r>
            <w:r>
              <w:rPr>
                <w:rFonts w:hint="eastAsia" w:ascii="Times New Roman" w:hAnsi="Times New Roman" w:eastAsia="宋体" w:cs="Times New Roman"/>
              </w:rPr>
              <w:t>2分；获得AA企业信用等级证书的</w:t>
            </w:r>
            <w:r>
              <w:rPr>
                <w:rFonts w:hint="eastAsia" w:ascii="Times New Roman" w:hAnsi="Times New Roman" w:eastAsia="宋体" w:cs="Times New Roman"/>
                <w:lang w:val="en-US" w:eastAsia="zh-CN"/>
              </w:rPr>
              <w:t>加</w:t>
            </w:r>
            <w:r>
              <w:rPr>
                <w:rFonts w:hint="eastAsia" w:ascii="Times New Roman" w:hAnsi="Times New Roman" w:eastAsia="宋体" w:cs="Times New Roman"/>
              </w:rPr>
              <w:t>1分，获得AAA企业信用等级证书的</w:t>
            </w:r>
            <w:r>
              <w:rPr>
                <w:rFonts w:hint="eastAsia" w:ascii="Times New Roman" w:hAnsi="Times New Roman" w:eastAsia="宋体" w:cs="Times New Roman"/>
                <w:lang w:val="en-US" w:eastAsia="zh-CN"/>
              </w:rPr>
              <w:t>加</w:t>
            </w:r>
            <w:r>
              <w:rPr>
                <w:rFonts w:hint="eastAsia" w:ascii="Times New Roman" w:hAnsi="Times New Roman" w:eastAsia="宋体" w:cs="Times New Roman"/>
              </w:rPr>
              <w:t>5分，累计最多得10分。</w:t>
            </w:r>
          </w:p>
        </w:tc>
        <w:tc>
          <w:tcPr>
            <w:tcW w:w="1164" w:type="dxa"/>
            <w:tcBorders>
              <w:top w:val="single" w:color="auto" w:sz="4" w:space="0"/>
              <w:left w:val="single" w:color="auto" w:sz="4" w:space="0"/>
              <w:bottom w:val="single" w:color="auto" w:sz="4" w:space="0"/>
              <w:right w:val="single" w:color="auto" w:sz="4" w:space="0"/>
            </w:tcBorders>
            <w:vAlign w:val="center"/>
          </w:tcPr>
          <w:p w14:paraId="16531154">
            <w:pPr>
              <w:tabs>
                <w:tab w:val="left" w:pos="0"/>
              </w:tabs>
              <w:wordWrap w:val="0"/>
              <w:spacing w:line="0" w:lineRule="atLeast"/>
              <w:jc w:val="center"/>
              <w:rPr>
                <w:rFonts w:ascii="宋体" w:hAnsi="宋体" w:cs="仿宋"/>
                <w:szCs w:val="21"/>
              </w:rPr>
            </w:pPr>
            <w:r>
              <w:rPr>
                <w:rFonts w:hint="eastAsia" w:ascii="宋体" w:hAnsi="宋体" w:cs="仿宋"/>
                <w:szCs w:val="21"/>
              </w:rPr>
              <w:t>技术类评分因素</w:t>
            </w:r>
          </w:p>
        </w:tc>
      </w:tr>
    </w:tbl>
    <w:p w14:paraId="6880FCD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注：评分的取值按四舍五入法，保留小数点后两位。</w:t>
      </w:r>
    </w:p>
    <w:p w14:paraId="07505999">
      <w:pPr>
        <w:spacing w:line="360" w:lineRule="auto"/>
        <w:rPr>
          <w:rFonts w:hint="eastAsia" w:ascii="宋体" w:hAnsi="宋体"/>
          <w:b/>
          <w:kern w:val="0"/>
          <w:sz w:val="28"/>
          <w:szCs w:val="28"/>
        </w:rPr>
      </w:pPr>
      <w:r>
        <w:rPr>
          <w:rFonts w:hint="eastAsia" w:ascii="宋体" w:hAnsi="宋体"/>
          <w:b/>
          <w:kern w:val="0"/>
          <w:sz w:val="28"/>
          <w:szCs w:val="28"/>
        </w:rPr>
        <w:t>7.保密</w:t>
      </w:r>
    </w:p>
    <w:p w14:paraId="3239002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7.1 供应商不得以任何方式干扰采购人的谈判采购活动，否则其谈判文件无效并追究其法律责任。</w:t>
      </w:r>
    </w:p>
    <w:p w14:paraId="2B7C47A9">
      <w:pPr>
        <w:spacing w:line="360" w:lineRule="auto"/>
        <w:rPr>
          <w:rFonts w:hint="eastAsia" w:ascii="宋体" w:hAnsi="宋体"/>
          <w:b/>
          <w:kern w:val="0"/>
          <w:sz w:val="28"/>
          <w:szCs w:val="28"/>
        </w:rPr>
      </w:pPr>
      <w:r>
        <w:rPr>
          <w:rFonts w:hint="eastAsia" w:ascii="宋体" w:hAnsi="宋体"/>
          <w:b/>
          <w:kern w:val="0"/>
          <w:sz w:val="28"/>
          <w:szCs w:val="28"/>
        </w:rPr>
        <w:t>六、授予合同</w:t>
      </w:r>
    </w:p>
    <w:p w14:paraId="16E032E7">
      <w:pPr>
        <w:spacing w:line="360" w:lineRule="auto"/>
        <w:rPr>
          <w:rFonts w:hint="eastAsia" w:ascii="宋体" w:hAnsi="宋体"/>
          <w:b/>
          <w:kern w:val="0"/>
          <w:sz w:val="28"/>
          <w:szCs w:val="28"/>
        </w:rPr>
      </w:pPr>
      <w:r>
        <w:rPr>
          <w:rFonts w:hint="eastAsia" w:ascii="宋体" w:hAnsi="宋体"/>
          <w:b/>
          <w:kern w:val="0"/>
          <w:sz w:val="28"/>
          <w:szCs w:val="28"/>
        </w:rPr>
        <w:t>1.成交准则</w:t>
      </w:r>
    </w:p>
    <w:p w14:paraId="4F2A523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合同将授予其响应符合谈判文件要求、并能圆满地履行合同的、对采购人最为有利的综合评分最高的供应商。</w:t>
      </w:r>
    </w:p>
    <w:p w14:paraId="03C4865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最低响应报价不是被授予合同的唯一条件。</w:t>
      </w:r>
    </w:p>
    <w:p w14:paraId="1F847AA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1.3 《成交通知书》生效后，如果已中选的供应商不能按谈判文件中承诺的条件履行签约行为，采购人有权在评审小组推荐的合格的供应商名单中选择新的合同授予人。</w:t>
      </w:r>
    </w:p>
    <w:p w14:paraId="576E1ED0">
      <w:pPr>
        <w:spacing w:line="360" w:lineRule="auto"/>
        <w:rPr>
          <w:rFonts w:hint="eastAsia" w:ascii="宋体" w:hAnsi="宋体"/>
          <w:b/>
          <w:kern w:val="0"/>
          <w:sz w:val="28"/>
          <w:szCs w:val="28"/>
        </w:rPr>
      </w:pPr>
      <w:r>
        <w:rPr>
          <w:rFonts w:hint="eastAsia" w:ascii="宋体" w:hAnsi="宋体"/>
          <w:b/>
          <w:kern w:val="0"/>
          <w:sz w:val="28"/>
          <w:szCs w:val="28"/>
        </w:rPr>
        <w:t>2.成交通知</w:t>
      </w:r>
    </w:p>
    <w:p w14:paraId="35A1BA0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通过评审，确定成交人后，采购人将以书面形式发出《成交通知书》。</w:t>
      </w:r>
    </w:p>
    <w:p w14:paraId="406AAC9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2.2 《成交通知书》将作为签订合同的依据。</w:t>
      </w:r>
    </w:p>
    <w:p w14:paraId="3E6AA2B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2.3 对未中选者，采购人不对未中选原因做出解释，同时亦不退还谈判文件。</w:t>
      </w:r>
    </w:p>
    <w:p w14:paraId="4F2ECC42">
      <w:pPr>
        <w:spacing w:line="360" w:lineRule="auto"/>
        <w:rPr>
          <w:rFonts w:hint="eastAsia" w:ascii="宋体" w:hAnsi="宋体"/>
          <w:b/>
          <w:kern w:val="0"/>
          <w:sz w:val="28"/>
          <w:szCs w:val="28"/>
        </w:rPr>
      </w:pPr>
      <w:r>
        <w:rPr>
          <w:rFonts w:hint="eastAsia" w:ascii="宋体" w:hAnsi="宋体"/>
          <w:b/>
          <w:kern w:val="0"/>
          <w:sz w:val="28"/>
          <w:szCs w:val="28"/>
        </w:rPr>
        <w:t>3.授予合同时变更数量的权力</w:t>
      </w:r>
    </w:p>
    <w:p w14:paraId="0A7175F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采购人在授予合同时有权对谈判文件中规定的服务数量、内容予以增加或减少，或根据谈判文件做具体补充。</w:t>
      </w:r>
    </w:p>
    <w:p w14:paraId="1E0D0018">
      <w:pPr>
        <w:spacing w:line="360" w:lineRule="auto"/>
        <w:rPr>
          <w:rFonts w:hint="eastAsia" w:ascii="宋体" w:hAnsi="宋体"/>
          <w:b/>
          <w:kern w:val="0"/>
          <w:sz w:val="28"/>
          <w:szCs w:val="28"/>
        </w:rPr>
      </w:pPr>
      <w:r>
        <w:rPr>
          <w:rFonts w:hint="eastAsia" w:ascii="宋体" w:hAnsi="宋体"/>
          <w:b/>
          <w:kern w:val="0"/>
          <w:sz w:val="28"/>
          <w:szCs w:val="28"/>
        </w:rPr>
        <w:t>4.签订合同</w:t>
      </w:r>
    </w:p>
    <w:p w14:paraId="39CC730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4.1成交人与采购人应在成交通知书发出后15日内签订书面合同。</w:t>
      </w:r>
    </w:p>
    <w:p w14:paraId="6802EF1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4.2 签订合同的具体事项不仅限于谈判文件的相关内容和事项。</w:t>
      </w:r>
    </w:p>
    <w:p w14:paraId="6705C7A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4.3《谈判文件》、成交人的谈判文件及双方确认的澄清文件等，均为有法律约束力的合同组成的一部分。</w:t>
      </w:r>
    </w:p>
    <w:p w14:paraId="03D1DDE8">
      <w:pPr>
        <w:widowControl/>
        <w:jc w:val="center"/>
        <w:rPr>
          <w:rFonts w:ascii="宋体" w:hAnsi="宋体"/>
          <w:kern w:val="0"/>
          <w:sz w:val="28"/>
          <w:szCs w:val="28"/>
        </w:rPr>
      </w:pPr>
    </w:p>
    <w:p w14:paraId="06D710B5">
      <w:pPr>
        <w:widowControl/>
        <w:jc w:val="center"/>
        <w:rPr>
          <w:rFonts w:ascii="宋体" w:hAnsi="宋体"/>
          <w:kern w:val="0"/>
          <w:sz w:val="28"/>
          <w:szCs w:val="28"/>
        </w:rPr>
      </w:pPr>
    </w:p>
    <w:p w14:paraId="6A278CE0">
      <w:pPr>
        <w:widowControl/>
        <w:jc w:val="center"/>
        <w:rPr>
          <w:rFonts w:ascii="宋体" w:hAnsi="宋体"/>
          <w:kern w:val="0"/>
          <w:sz w:val="28"/>
          <w:szCs w:val="28"/>
        </w:rPr>
      </w:pPr>
    </w:p>
    <w:p w14:paraId="2B791A86">
      <w:pPr>
        <w:widowControl/>
        <w:jc w:val="center"/>
        <w:rPr>
          <w:rFonts w:ascii="宋体" w:hAnsi="宋体"/>
          <w:kern w:val="0"/>
          <w:sz w:val="28"/>
          <w:szCs w:val="28"/>
        </w:rPr>
      </w:pPr>
    </w:p>
    <w:p w14:paraId="6F092F02">
      <w:pPr>
        <w:widowControl/>
        <w:jc w:val="left"/>
        <w:rPr>
          <w:rFonts w:ascii="宋体" w:hAnsi="宋体"/>
          <w:kern w:val="0"/>
          <w:sz w:val="28"/>
          <w:szCs w:val="28"/>
        </w:rPr>
      </w:pPr>
      <w:r>
        <w:rPr>
          <w:rFonts w:ascii="宋体" w:hAnsi="宋体"/>
          <w:kern w:val="0"/>
          <w:sz w:val="28"/>
          <w:szCs w:val="28"/>
        </w:rPr>
        <w:br w:type="page"/>
      </w:r>
    </w:p>
    <w:p w14:paraId="44E44504">
      <w:pPr>
        <w:widowControl/>
        <w:jc w:val="center"/>
        <w:rPr>
          <w:rFonts w:ascii="宋体" w:hAnsi="宋体"/>
          <w:kern w:val="0"/>
          <w:sz w:val="28"/>
          <w:szCs w:val="28"/>
        </w:rPr>
      </w:pPr>
    </w:p>
    <w:p w14:paraId="69AA1B1B">
      <w:pPr>
        <w:pStyle w:val="3"/>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45155000">
      <w:pPr>
        <w:rPr>
          <w:rFonts w:ascii="宋体" w:hAnsi="宋体"/>
          <w:b/>
          <w:kern w:val="0"/>
          <w:sz w:val="24"/>
        </w:rPr>
      </w:pPr>
    </w:p>
    <w:p w14:paraId="67B016CB">
      <w:pPr>
        <w:ind w:firstLine="643" w:firstLineChars="200"/>
        <w:jc w:val="center"/>
        <w:rPr>
          <w:rFonts w:ascii="宋体" w:hAnsi="宋体"/>
          <w:b/>
          <w:kern w:val="0"/>
          <w:sz w:val="32"/>
        </w:rPr>
      </w:pPr>
      <w:r>
        <w:rPr>
          <w:rFonts w:hint="eastAsia" w:ascii="宋体" w:hAnsi="宋体"/>
          <w:b/>
          <w:kern w:val="0"/>
          <w:sz w:val="32"/>
        </w:rPr>
        <w:t>附件1 谈判响应书</w:t>
      </w:r>
    </w:p>
    <w:p w14:paraId="4C7D098B">
      <w:pPr>
        <w:rPr>
          <w:rFonts w:ascii="宋体" w:hAnsi="宋体"/>
          <w:sz w:val="24"/>
        </w:rPr>
      </w:pPr>
    </w:p>
    <w:p w14:paraId="709D5370">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7BE516DD">
      <w:pPr>
        <w:rPr>
          <w:rFonts w:ascii="宋体" w:hAnsi="宋体"/>
          <w:sz w:val="24"/>
        </w:rPr>
      </w:pPr>
    </w:p>
    <w:p w14:paraId="761F3EAD">
      <w:pPr>
        <w:pStyle w:val="34"/>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lang w:eastAsia="zh-CN"/>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rPr>
        <w:t>二</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5C45DC40">
      <w:pPr>
        <w:pStyle w:val="34"/>
        <w:numPr>
          <w:ilvl w:val="0"/>
          <w:numId w:val="2"/>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14:paraId="6BC045DF">
      <w:pPr>
        <w:pStyle w:val="34"/>
        <w:numPr>
          <w:ilvl w:val="0"/>
          <w:numId w:val="2"/>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14:paraId="6AC037A3">
      <w:pPr>
        <w:pStyle w:val="34"/>
        <w:numPr>
          <w:ilvl w:val="0"/>
          <w:numId w:val="2"/>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p>
    <w:p w14:paraId="340ACCF2">
      <w:pPr>
        <w:pStyle w:val="34"/>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406CB640">
      <w:pPr>
        <w:pStyle w:val="34"/>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42A8D3C2">
      <w:pPr>
        <w:pStyle w:val="34"/>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20DD61C">
      <w:pPr>
        <w:pStyle w:val="34"/>
        <w:numPr>
          <w:ilvl w:val="0"/>
          <w:numId w:val="3"/>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1C2346FA">
      <w:pPr>
        <w:pStyle w:val="34"/>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lang w:eastAsia="zh-CN"/>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4D0C80E2">
      <w:pPr>
        <w:pStyle w:val="34"/>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lang w:eastAsia="zh-CN"/>
        </w:rPr>
        <w:t>谈判采购</w:t>
      </w:r>
      <w:r>
        <w:rPr>
          <w:rFonts w:ascii="宋体" w:hAnsi="宋体"/>
          <w:color w:val="auto"/>
        </w:rPr>
        <w:t>有关的一切正式往来通讯请寄：</w:t>
      </w:r>
    </w:p>
    <w:p w14:paraId="743B38D5">
      <w:pPr>
        <w:pStyle w:val="34"/>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2FCFC9EC">
      <w:pPr>
        <w:pStyle w:val="34"/>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0037B07C">
      <w:pPr>
        <w:pStyle w:val="34"/>
        <w:rPr>
          <w:rFonts w:ascii="宋体" w:hAnsi="宋体"/>
          <w:color w:val="auto"/>
        </w:rPr>
      </w:pPr>
      <w:r>
        <w:rPr>
          <w:rFonts w:ascii="宋体" w:hAnsi="宋体"/>
          <w:color w:val="auto"/>
        </w:rPr>
        <w:t>电子邮件：</w:t>
      </w:r>
      <w:r>
        <w:rPr>
          <w:rFonts w:ascii="宋体" w:hAnsi="宋体"/>
          <w:color w:val="auto"/>
          <w:u w:val="single"/>
        </w:rPr>
        <w:t xml:space="preserve">                             </w:t>
      </w:r>
    </w:p>
    <w:p w14:paraId="5EA13370">
      <w:pPr>
        <w:pStyle w:val="34"/>
        <w:spacing w:line="480" w:lineRule="auto"/>
        <w:ind w:firstLine="3120" w:firstLineChars="1300"/>
        <w:rPr>
          <w:rFonts w:ascii="宋体" w:hAnsi="宋体"/>
          <w:color w:val="auto"/>
        </w:rPr>
      </w:pPr>
      <w:r>
        <w:rPr>
          <w:rFonts w:ascii="宋体" w:hAnsi="宋体"/>
          <w:color w:val="auto"/>
        </w:rPr>
        <w:t xml:space="preserve">授权代表签字：                         </w:t>
      </w:r>
    </w:p>
    <w:p w14:paraId="296A94A9">
      <w:pPr>
        <w:pStyle w:val="34"/>
        <w:spacing w:line="480" w:lineRule="auto"/>
        <w:ind w:firstLine="3360" w:firstLineChars="1400"/>
        <w:rPr>
          <w:rFonts w:ascii="宋体" w:hAnsi="宋体"/>
          <w:color w:val="auto"/>
        </w:rPr>
      </w:pPr>
      <w:r>
        <w:rPr>
          <w:rFonts w:ascii="宋体" w:hAnsi="宋体"/>
          <w:color w:val="auto"/>
        </w:rPr>
        <w:t>供应商名称：              （加盖公章）</w:t>
      </w:r>
    </w:p>
    <w:p w14:paraId="5E5FEF97">
      <w:pPr>
        <w:pStyle w:val="34"/>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5735BEC0">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10802E0A">
      <w:pPr>
        <w:pStyle w:val="34"/>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7FBA7493">
      <w:pPr>
        <w:pStyle w:val="34"/>
        <w:spacing w:line="480" w:lineRule="auto"/>
        <w:ind w:firstLine="482"/>
        <w:jc w:val="center"/>
        <w:rPr>
          <w:rFonts w:ascii="宋体" w:hAnsi="宋体"/>
          <w:b/>
          <w:color w:val="auto"/>
          <w:kern w:val="0"/>
        </w:rPr>
      </w:pPr>
    </w:p>
    <w:p w14:paraId="1D5A6ED8">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lang w:eastAsia="zh-CN"/>
        </w:rPr>
        <w:t>谈判采购</w:t>
      </w:r>
      <w:r>
        <w:rPr>
          <w:rFonts w:hint="eastAsia" w:ascii="宋体" w:hAnsi="宋体"/>
          <w:color w:val="000000"/>
          <w:sz w:val="24"/>
        </w:rPr>
        <w:t>，以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14:paraId="5161D7C7">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278A9E2B">
      <w:pPr>
        <w:spacing w:line="480" w:lineRule="auto"/>
        <w:rPr>
          <w:rFonts w:ascii="宋体" w:hAnsi="宋体"/>
          <w:color w:val="000000"/>
          <w:sz w:val="24"/>
        </w:rPr>
      </w:pPr>
    </w:p>
    <w:p w14:paraId="02D5DA40">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3D63D520">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38CA48FD">
      <w:pPr>
        <w:rPr>
          <w:rFonts w:ascii="宋体" w:hAnsi="宋体"/>
          <w:color w:val="000000"/>
        </w:rPr>
      </w:pPr>
    </w:p>
    <w:p w14:paraId="1987EBF8">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14:paraId="0B1BE00C">
      <w:pPr>
        <w:spacing w:line="360" w:lineRule="auto"/>
        <w:rPr>
          <w:rFonts w:ascii="宋体" w:hAnsi="宋体"/>
          <w:color w:val="000000"/>
          <w:sz w:val="24"/>
        </w:rPr>
      </w:pPr>
    </w:p>
    <w:p w14:paraId="2FC64A11">
      <w:pPr>
        <w:spacing w:line="360" w:lineRule="auto"/>
        <w:rPr>
          <w:rFonts w:ascii="宋体" w:hAnsi="宋体"/>
          <w:color w:val="000000"/>
          <w:sz w:val="18"/>
          <w:szCs w:val="18"/>
        </w:rPr>
        <w:sectPr>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71B9E74A">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23F9741F">
      <w:pPr>
        <w:widowControl/>
        <w:jc w:val="center"/>
        <w:rPr>
          <w:rFonts w:ascii="宋体" w:hAnsi="宋体"/>
          <w:sz w:val="24"/>
        </w:rPr>
      </w:pPr>
    </w:p>
    <w:p w14:paraId="2B27DBB8">
      <w:pPr>
        <w:pStyle w:val="34"/>
        <w:ind w:firstLine="0" w:firstLineChars="0"/>
        <w:rPr>
          <w:rFonts w:ascii="宋体" w:hAnsi="宋体"/>
          <w:b/>
        </w:rPr>
      </w:pPr>
      <w:r>
        <w:rPr>
          <w:rFonts w:hint="eastAsia" w:ascii="宋体" w:hAnsi="宋体"/>
          <w:color w:val="auto"/>
        </w:rPr>
        <w:t>供应商提交</w:t>
      </w:r>
      <w:r>
        <w:rPr>
          <w:rFonts w:ascii="宋体" w:hAnsi="宋体"/>
          <w:color w:val="auto"/>
        </w:rPr>
        <w:t>下列</w:t>
      </w:r>
      <w:r>
        <w:rPr>
          <w:rFonts w:hint="eastAsia" w:ascii="宋体" w:hAnsi="宋体"/>
          <w:color w:val="auto"/>
        </w:rPr>
        <w:t>资格证明文件</w:t>
      </w:r>
    </w:p>
    <w:p w14:paraId="0AC064A7">
      <w:pPr>
        <w:pStyle w:val="34"/>
        <w:rPr>
          <w:rFonts w:ascii="宋体" w:hAnsi="宋体"/>
          <w:color w:val="auto"/>
        </w:rPr>
      </w:pPr>
      <w:r>
        <w:rPr>
          <w:rFonts w:hint="eastAsia" w:ascii="宋体" w:hAnsi="宋体"/>
          <w:color w:val="auto"/>
        </w:rPr>
        <w:t>（1）</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p>
    <w:p w14:paraId="1D309952">
      <w:pPr>
        <w:pStyle w:val="34"/>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一天。</w:t>
      </w:r>
    </w:p>
    <w:p w14:paraId="425CF690">
      <w:pPr>
        <w:pStyle w:val="34"/>
        <w:rPr>
          <w:rFonts w:ascii="宋体" w:hAnsi="宋体"/>
          <w:color w:val="auto"/>
        </w:rPr>
      </w:pPr>
      <w:r>
        <w:rPr>
          <w:rFonts w:hint="eastAsia" w:ascii="宋体" w:hAnsi="宋体"/>
          <w:color w:val="auto"/>
        </w:rPr>
        <w:t>（3）其他</w:t>
      </w:r>
      <w:r>
        <w:rPr>
          <w:rFonts w:ascii="宋体" w:hAnsi="宋体"/>
          <w:color w:val="auto"/>
        </w:rPr>
        <w:t>证明文件和材料</w:t>
      </w:r>
    </w:p>
    <w:p w14:paraId="7B662E29">
      <w:pPr>
        <w:pStyle w:val="34"/>
        <w:rPr>
          <w:rFonts w:ascii="宋体" w:hAnsi="宋体"/>
          <w:color w:val="auto"/>
        </w:rPr>
      </w:pPr>
      <w:r>
        <w:rPr>
          <w:rFonts w:hint="eastAsia" w:ascii="宋体" w:hAnsi="宋体"/>
          <w:color w:val="auto"/>
        </w:rPr>
        <w:t>（4）小蚁托盘智能共享循环利用国家循环经济标准化试点项目建设及验收咨询服务报价表。备注：①报价精确到个位数；②要标明发票类型（增值税专票/增值税普票）以及税率。</w:t>
      </w:r>
    </w:p>
    <w:p w14:paraId="632F1C58">
      <w:pPr>
        <w:widowControl/>
        <w:jc w:val="left"/>
        <w:rPr>
          <w:rFonts w:ascii="宋体" w:hAnsi="宋体"/>
          <w:b/>
          <w:kern w:val="0"/>
          <w:sz w:val="28"/>
          <w:szCs w:val="28"/>
        </w:rPr>
      </w:pPr>
      <w:r>
        <w:rPr>
          <w:rFonts w:ascii="宋体" w:hAnsi="宋体"/>
          <w:b/>
          <w:kern w:val="0"/>
          <w:sz w:val="28"/>
          <w:szCs w:val="28"/>
        </w:rPr>
        <w:br w:type="page"/>
      </w:r>
    </w:p>
    <w:p w14:paraId="1F3B74A7">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4</w:t>
      </w:r>
      <w:r>
        <w:rPr>
          <w:rFonts w:hint="eastAsia" w:ascii="宋体" w:hAnsi="宋体"/>
          <w:b/>
          <w:kern w:val="0"/>
          <w:sz w:val="32"/>
          <w:szCs w:val="28"/>
        </w:rPr>
        <w:t>：供应商基本情况表</w:t>
      </w:r>
    </w:p>
    <w:p w14:paraId="605081D0">
      <w:pPr>
        <w:widowControl/>
        <w:jc w:val="center"/>
        <w:rPr>
          <w:rFonts w:ascii="宋体" w:hAnsi="宋体"/>
          <w:b/>
          <w:kern w:val="0"/>
          <w:sz w:val="24"/>
        </w:rPr>
      </w:pPr>
    </w:p>
    <w:p w14:paraId="0B69040E">
      <w:pPr>
        <w:widowControl/>
        <w:numPr>
          <w:ilvl w:val="0"/>
          <w:numId w:val="4"/>
        </w:numPr>
        <w:spacing w:line="360" w:lineRule="auto"/>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公司基本情况</w:t>
      </w:r>
    </w:p>
    <w:p w14:paraId="4D9C9EBB">
      <w:pPr>
        <w:widowControl/>
        <w:numPr>
          <w:ilvl w:val="0"/>
          <w:numId w:val="5"/>
        </w:numPr>
        <w:spacing w:line="500" w:lineRule="exact"/>
        <w:ind w:left="360" w:hanging="36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公司名称：</w:t>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t>___________________________________</w:t>
      </w:r>
    </w:p>
    <w:p w14:paraId="611BAFA9">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注册地址：_</w:t>
      </w:r>
      <w:r>
        <w:rPr>
          <w:rFonts w:ascii="宋体" w:hAnsi="宋体"/>
          <w:color w:val="000000" w:themeColor="text1"/>
          <w:sz w:val="24"/>
          <w14:textFill>
            <w14:solidFill>
              <w14:schemeClr w14:val="tx1"/>
            </w14:solidFill>
          </w14:textFill>
        </w:rPr>
        <w:t>__________________________________</w:t>
      </w:r>
    </w:p>
    <w:p w14:paraId="4A892109">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注册年份：_</w:t>
      </w:r>
      <w:r>
        <w:rPr>
          <w:rFonts w:ascii="宋体" w:hAnsi="宋体"/>
          <w:color w:val="000000" w:themeColor="text1"/>
          <w:sz w:val="24"/>
          <w14:textFill>
            <w14:solidFill>
              <w14:schemeClr w14:val="tx1"/>
            </w14:solidFill>
          </w14:textFill>
        </w:rPr>
        <w:t>__________________________________</w:t>
      </w:r>
    </w:p>
    <w:p w14:paraId="584F6701">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法定代表人姓名：_</w:t>
      </w:r>
      <w:r>
        <w:rPr>
          <w:rFonts w:ascii="宋体" w:hAnsi="宋体"/>
          <w:color w:val="000000" w:themeColor="text1"/>
          <w:sz w:val="24"/>
          <w14:textFill>
            <w14:solidFill>
              <w14:schemeClr w14:val="tx1"/>
            </w14:solidFill>
          </w14:textFill>
        </w:rPr>
        <w:t>____________________________</w:t>
      </w:r>
    </w:p>
    <w:p w14:paraId="7C79ACD7">
      <w:pPr>
        <w:widowControl/>
        <w:numPr>
          <w:ilvl w:val="0"/>
          <w:numId w:val="5"/>
        </w:numPr>
        <w:spacing w:line="500" w:lineRule="exact"/>
        <w:ind w:left="360" w:hanging="36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公司情况：从事循环经济标准化验收、双碳咨询、碳排放核查服务等方面（若有）</w:t>
      </w:r>
    </w:p>
    <w:p w14:paraId="63C4BD59">
      <w:pPr>
        <w:widowControl/>
        <w:spacing w:line="500" w:lineRule="exact"/>
        <w:jc w:val="left"/>
        <w:rPr>
          <w:rFonts w:ascii="宋体" w:hAnsi="宋体"/>
          <w:color w:val="000000" w:themeColor="text1"/>
          <w:sz w:val="24"/>
          <w14:textFill>
            <w14:solidFill>
              <w14:schemeClr w14:val="tx1"/>
            </w14:solidFill>
          </w14:textFill>
        </w:rPr>
      </w:pPr>
    </w:p>
    <w:p w14:paraId="40D62BA2">
      <w:pPr>
        <w:widowControl/>
        <w:spacing w:line="500" w:lineRule="exact"/>
        <w:jc w:val="left"/>
        <w:rPr>
          <w:rFonts w:ascii="宋体" w:hAnsi="宋体"/>
          <w:color w:val="000000" w:themeColor="text1"/>
          <w:sz w:val="24"/>
          <w14:textFill>
            <w14:solidFill>
              <w14:schemeClr w14:val="tx1"/>
            </w14:solidFill>
          </w14:textFill>
        </w:rPr>
      </w:pPr>
    </w:p>
    <w:p w14:paraId="4B25F665">
      <w:pPr>
        <w:widowControl/>
        <w:spacing w:line="500" w:lineRule="exact"/>
        <w:jc w:val="left"/>
        <w:rPr>
          <w:rFonts w:ascii="宋体" w:hAnsi="宋体"/>
          <w:color w:val="000000" w:themeColor="text1"/>
          <w:sz w:val="24"/>
          <w14:textFill>
            <w14:solidFill>
              <w14:schemeClr w14:val="tx1"/>
            </w14:solidFill>
          </w14:textFill>
        </w:rPr>
      </w:pPr>
    </w:p>
    <w:p w14:paraId="2AB63FC6">
      <w:pPr>
        <w:widowControl/>
        <w:spacing w:line="500" w:lineRule="exact"/>
        <w:ind w:firstLine="4800" w:firstLineChars="200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供应商代表签字：</w:t>
      </w:r>
    </w:p>
    <w:p w14:paraId="57A9F4D3">
      <w:pPr>
        <w:widowControl/>
        <w:spacing w:line="500" w:lineRule="exact"/>
        <w:jc w:val="left"/>
        <w:rPr>
          <w:rFonts w:ascii="宋体" w:hAnsi="宋体"/>
          <w:color w:val="000000" w:themeColor="text1"/>
          <w:sz w:val="24"/>
          <w14:textFill>
            <w14:solidFill>
              <w14:schemeClr w14:val="tx1"/>
            </w14:solidFill>
          </w14:textFill>
        </w:rPr>
      </w:pPr>
    </w:p>
    <w:p w14:paraId="1ECABDEB">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（公章）</w:t>
      </w:r>
    </w:p>
    <w:p w14:paraId="70A2A786">
      <w:pPr>
        <w:widowControl/>
        <w:spacing w:line="500" w:lineRule="exact"/>
        <w:jc w:val="left"/>
        <w:rPr>
          <w:rFonts w:ascii="宋体" w:hAnsi="宋体"/>
          <w:color w:val="000000" w:themeColor="text1"/>
          <w:sz w:val="24"/>
          <w14:textFill>
            <w14:solidFill>
              <w14:schemeClr w14:val="tx1"/>
            </w14:solidFill>
          </w14:textFill>
        </w:rPr>
      </w:pPr>
    </w:p>
    <w:p w14:paraId="7DA4EF34">
      <w:pPr>
        <w:spacing w:line="500" w:lineRule="exact"/>
        <w:ind w:firstLine="5520" w:firstLineChars="2300"/>
        <w:rPr>
          <w:rFonts w:ascii="宋体" w:hAnsi="宋体"/>
          <w:sz w:val="24"/>
        </w:rPr>
      </w:pPr>
      <w:r>
        <w:rPr>
          <w:rFonts w:hint="eastAsia" w:ascii="宋体" w:hAnsi="宋体"/>
          <w:color w:val="000000" w:themeColor="text1"/>
          <w:sz w:val="24"/>
          <w14:textFill>
            <w14:solidFill>
              <w14:schemeClr w14:val="tx1"/>
            </w14:solidFill>
          </w14:textFill>
        </w:rPr>
        <w:t>日</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期：</w:t>
      </w:r>
    </w:p>
    <w:p w14:paraId="0548D5D7">
      <w:pPr>
        <w:widowControl/>
        <w:jc w:val="left"/>
        <w:rPr>
          <w:rFonts w:ascii="宋体" w:hAnsi="宋体"/>
          <w:sz w:val="24"/>
        </w:rPr>
      </w:pPr>
    </w:p>
    <w:sectPr>
      <w:headerReference r:id="rId7" w:type="default"/>
      <w:footerReference r:id="rId8" w:type="default"/>
      <w:pgSz w:w="11906" w:h="16838"/>
      <w:pgMar w:top="1440" w:right="1800" w:bottom="1440" w:left="180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3CE5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7108A">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F7108A">
                    <w:pPr>
                      <w:pStyle w:val="1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12149">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D3CD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B4D3CDE">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791D0209">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1FA3">
    <w:pPr>
      <w:pStyle w:val="11"/>
      <w:jc w:val="center"/>
      <w:rPr>
        <w:cap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A9D37">
                          <w:pPr>
                            <w:pStyle w:val="11"/>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90A9D37">
                    <w:pPr>
                      <w:pStyle w:val="11"/>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v:textbox>
            </v:shape>
          </w:pict>
        </mc:Fallback>
      </mc:AlternateContent>
    </w:r>
  </w:p>
  <w:p w14:paraId="4A51166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484E2">
    <w:pPr>
      <w:pStyle w:val="12"/>
      <w:pBdr>
        <w:bottom w:val="thinThickMediumGap" w:color="auto" w:sz="18" w:space="1"/>
      </w:pBdr>
      <w:jc w:val="distribute"/>
      <w:rPr>
        <w:rFonts w:ascii="宋体" w:hAnsi="宋体" w:cs="宋体"/>
        <w:b/>
      </w:rPr>
    </w:pPr>
  </w:p>
  <w:p w14:paraId="71A6F2F4">
    <w:pPr>
      <w:pStyle w:val="12"/>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C002">
    <w:pPr>
      <w:pStyle w:val="12"/>
      <w:pBdr>
        <w:bottom w:val="none" w:color="auto" w:sz="0" w:space="1"/>
      </w:pBdr>
      <w:jc w:val="both"/>
    </w:pPr>
  </w:p>
  <w:p w14:paraId="347D3794">
    <w:pPr>
      <w:pStyle w:val="12"/>
      <w:pBdr>
        <w:bottom w:val="none" w:color="auto" w:sz="0" w:space="1"/>
      </w:pBdr>
      <w:jc w:val="left"/>
      <w:rPr>
        <w:kern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630BB">
    <w:pPr>
      <w:pStyle w:val="12"/>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85B361C"/>
    <w:multiLevelType w:val="singleLevel"/>
    <w:tmpl w:val="585B361C"/>
    <w:lvl w:ilvl="0" w:tentative="0">
      <w:start w:val="1"/>
      <w:numFmt w:val="chineseCounting"/>
      <w:suff w:val="nothing"/>
      <w:lvlText w:val="%1、"/>
      <w:lvlJc w:val="left"/>
    </w:lvl>
  </w:abstractNum>
  <w:abstractNum w:abstractNumId="2">
    <w:nsid w:val="585B363A"/>
    <w:multiLevelType w:val="singleLevel"/>
    <w:tmpl w:val="585B363A"/>
    <w:lvl w:ilvl="0" w:tentative="0">
      <w:start w:val="1"/>
      <w:numFmt w:val="decimal"/>
      <w:suff w:val="nothing"/>
      <w:lvlText w:val="%1."/>
      <w:lvlJc w:val="left"/>
    </w:lvl>
  </w:abstractNum>
  <w:abstractNum w:abstractNumId="3">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2971"/>
    <w:rsid w:val="00015732"/>
    <w:rsid w:val="0002731E"/>
    <w:rsid w:val="00033273"/>
    <w:rsid w:val="0003535A"/>
    <w:rsid w:val="0004557B"/>
    <w:rsid w:val="00055099"/>
    <w:rsid w:val="0006349A"/>
    <w:rsid w:val="000639DA"/>
    <w:rsid w:val="00066327"/>
    <w:rsid w:val="00067A52"/>
    <w:rsid w:val="00074A9C"/>
    <w:rsid w:val="000A3352"/>
    <w:rsid w:val="000C1794"/>
    <w:rsid w:val="000C3110"/>
    <w:rsid w:val="000C313A"/>
    <w:rsid w:val="000C33F0"/>
    <w:rsid w:val="000C59FF"/>
    <w:rsid w:val="000D610F"/>
    <w:rsid w:val="000D61D5"/>
    <w:rsid w:val="000E3867"/>
    <w:rsid w:val="000E5222"/>
    <w:rsid w:val="000F4C42"/>
    <w:rsid w:val="000F6CBB"/>
    <w:rsid w:val="00101650"/>
    <w:rsid w:val="001049C9"/>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060D3"/>
    <w:rsid w:val="003176E5"/>
    <w:rsid w:val="00320BF2"/>
    <w:rsid w:val="003246FB"/>
    <w:rsid w:val="00327EAB"/>
    <w:rsid w:val="003315DC"/>
    <w:rsid w:val="00331BC5"/>
    <w:rsid w:val="00340F41"/>
    <w:rsid w:val="00347237"/>
    <w:rsid w:val="0034769F"/>
    <w:rsid w:val="00360D0D"/>
    <w:rsid w:val="00362B9C"/>
    <w:rsid w:val="0036350B"/>
    <w:rsid w:val="00364378"/>
    <w:rsid w:val="00366930"/>
    <w:rsid w:val="00367BC3"/>
    <w:rsid w:val="00370CFF"/>
    <w:rsid w:val="0038741C"/>
    <w:rsid w:val="00391ABF"/>
    <w:rsid w:val="003A0B07"/>
    <w:rsid w:val="003B0DA4"/>
    <w:rsid w:val="003B1F68"/>
    <w:rsid w:val="003B6A33"/>
    <w:rsid w:val="003C19D4"/>
    <w:rsid w:val="003D1178"/>
    <w:rsid w:val="003D3228"/>
    <w:rsid w:val="003E2337"/>
    <w:rsid w:val="004027DD"/>
    <w:rsid w:val="00411C82"/>
    <w:rsid w:val="0041311F"/>
    <w:rsid w:val="00423578"/>
    <w:rsid w:val="00427796"/>
    <w:rsid w:val="00444480"/>
    <w:rsid w:val="00445084"/>
    <w:rsid w:val="0046020A"/>
    <w:rsid w:val="00462B4F"/>
    <w:rsid w:val="00465DC3"/>
    <w:rsid w:val="00491316"/>
    <w:rsid w:val="004978F7"/>
    <w:rsid w:val="004A5B13"/>
    <w:rsid w:val="004B6BE1"/>
    <w:rsid w:val="004B6EFF"/>
    <w:rsid w:val="004C1C65"/>
    <w:rsid w:val="004C4ED6"/>
    <w:rsid w:val="004C7FDE"/>
    <w:rsid w:val="004D0768"/>
    <w:rsid w:val="004D0830"/>
    <w:rsid w:val="00506E72"/>
    <w:rsid w:val="0051340F"/>
    <w:rsid w:val="00530CFA"/>
    <w:rsid w:val="00535B40"/>
    <w:rsid w:val="0055580E"/>
    <w:rsid w:val="00571147"/>
    <w:rsid w:val="00596A5D"/>
    <w:rsid w:val="005B0090"/>
    <w:rsid w:val="005B1B9E"/>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B5821"/>
    <w:rsid w:val="006B71FB"/>
    <w:rsid w:val="006C788A"/>
    <w:rsid w:val="006D2211"/>
    <w:rsid w:val="006E00BB"/>
    <w:rsid w:val="006F3081"/>
    <w:rsid w:val="00701695"/>
    <w:rsid w:val="007162FA"/>
    <w:rsid w:val="00720504"/>
    <w:rsid w:val="00723322"/>
    <w:rsid w:val="00725E6F"/>
    <w:rsid w:val="007342EE"/>
    <w:rsid w:val="00746629"/>
    <w:rsid w:val="007476FE"/>
    <w:rsid w:val="00754C43"/>
    <w:rsid w:val="00762903"/>
    <w:rsid w:val="00764709"/>
    <w:rsid w:val="0077282B"/>
    <w:rsid w:val="00777B3C"/>
    <w:rsid w:val="00782682"/>
    <w:rsid w:val="007947C9"/>
    <w:rsid w:val="007A5E1D"/>
    <w:rsid w:val="007A78AF"/>
    <w:rsid w:val="007B43AD"/>
    <w:rsid w:val="007C1BCC"/>
    <w:rsid w:val="007C1BE1"/>
    <w:rsid w:val="007C31F3"/>
    <w:rsid w:val="007C3366"/>
    <w:rsid w:val="007C5D73"/>
    <w:rsid w:val="007C62F6"/>
    <w:rsid w:val="007D268D"/>
    <w:rsid w:val="007E3DD6"/>
    <w:rsid w:val="007E42A8"/>
    <w:rsid w:val="007F65E0"/>
    <w:rsid w:val="008054DB"/>
    <w:rsid w:val="0081478C"/>
    <w:rsid w:val="008166DF"/>
    <w:rsid w:val="0082033A"/>
    <w:rsid w:val="008207B8"/>
    <w:rsid w:val="00842E90"/>
    <w:rsid w:val="008507A2"/>
    <w:rsid w:val="0085369D"/>
    <w:rsid w:val="00853F65"/>
    <w:rsid w:val="00861A8A"/>
    <w:rsid w:val="008661CD"/>
    <w:rsid w:val="00882CF8"/>
    <w:rsid w:val="00886858"/>
    <w:rsid w:val="00891C43"/>
    <w:rsid w:val="00896A54"/>
    <w:rsid w:val="008B363D"/>
    <w:rsid w:val="008B550C"/>
    <w:rsid w:val="008D4DED"/>
    <w:rsid w:val="008E41A1"/>
    <w:rsid w:val="008E78AD"/>
    <w:rsid w:val="00916B62"/>
    <w:rsid w:val="009175B4"/>
    <w:rsid w:val="00927055"/>
    <w:rsid w:val="00937BE3"/>
    <w:rsid w:val="00956A25"/>
    <w:rsid w:val="0098054D"/>
    <w:rsid w:val="00990130"/>
    <w:rsid w:val="009A1ED4"/>
    <w:rsid w:val="009D202F"/>
    <w:rsid w:val="009E1A97"/>
    <w:rsid w:val="009E2AED"/>
    <w:rsid w:val="009F2F18"/>
    <w:rsid w:val="009F5130"/>
    <w:rsid w:val="00A11B03"/>
    <w:rsid w:val="00A129FC"/>
    <w:rsid w:val="00A323FB"/>
    <w:rsid w:val="00A41B2E"/>
    <w:rsid w:val="00A577A1"/>
    <w:rsid w:val="00A72AF6"/>
    <w:rsid w:val="00A72DC8"/>
    <w:rsid w:val="00A90A78"/>
    <w:rsid w:val="00AA0104"/>
    <w:rsid w:val="00AA2C25"/>
    <w:rsid w:val="00AA6699"/>
    <w:rsid w:val="00AA6B15"/>
    <w:rsid w:val="00AA72B3"/>
    <w:rsid w:val="00AC484F"/>
    <w:rsid w:val="00AC5B2B"/>
    <w:rsid w:val="00AF07CF"/>
    <w:rsid w:val="00AF779C"/>
    <w:rsid w:val="00B00FFE"/>
    <w:rsid w:val="00B13303"/>
    <w:rsid w:val="00B24BD3"/>
    <w:rsid w:val="00B27073"/>
    <w:rsid w:val="00B80808"/>
    <w:rsid w:val="00B81798"/>
    <w:rsid w:val="00B836A3"/>
    <w:rsid w:val="00B901D6"/>
    <w:rsid w:val="00B927C3"/>
    <w:rsid w:val="00BA3B67"/>
    <w:rsid w:val="00BB26FC"/>
    <w:rsid w:val="00BC0E0F"/>
    <w:rsid w:val="00BC1DCA"/>
    <w:rsid w:val="00BC4539"/>
    <w:rsid w:val="00BD1B2F"/>
    <w:rsid w:val="00C16F96"/>
    <w:rsid w:val="00C34117"/>
    <w:rsid w:val="00C41126"/>
    <w:rsid w:val="00C516D1"/>
    <w:rsid w:val="00C56CF4"/>
    <w:rsid w:val="00C63D4D"/>
    <w:rsid w:val="00C77A33"/>
    <w:rsid w:val="00CA2115"/>
    <w:rsid w:val="00CA6278"/>
    <w:rsid w:val="00CC2A62"/>
    <w:rsid w:val="00CC2E32"/>
    <w:rsid w:val="00CD536C"/>
    <w:rsid w:val="00CE1E2D"/>
    <w:rsid w:val="00CF2B7E"/>
    <w:rsid w:val="00CF44FD"/>
    <w:rsid w:val="00D3568B"/>
    <w:rsid w:val="00D36FBE"/>
    <w:rsid w:val="00D43583"/>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DF71BA"/>
    <w:rsid w:val="00E076D7"/>
    <w:rsid w:val="00E102CF"/>
    <w:rsid w:val="00E16E56"/>
    <w:rsid w:val="00E2647A"/>
    <w:rsid w:val="00E32177"/>
    <w:rsid w:val="00E33296"/>
    <w:rsid w:val="00E34A35"/>
    <w:rsid w:val="00E35B98"/>
    <w:rsid w:val="00E37CF0"/>
    <w:rsid w:val="00E41F40"/>
    <w:rsid w:val="00E44038"/>
    <w:rsid w:val="00E55A11"/>
    <w:rsid w:val="00E75715"/>
    <w:rsid w:val="00E75A90"/>
    <w:rsid w:val="00E962EC"/>
    <w:rsid w:val="00EB51BD"/>
    <w:rsid w:val="00EC24DF"/>
    <w:rsid w:val="00ED5E43"/>
    <w:rsid w:val="00EE630B"/>
    <w:rsid w:val="00EF4098"/>
    <w:rsid w:val="00F06F7B"/>
    <w:rsid w:val="00F33F0A"/>
    <w:rsid w:val="00F42DFD"/>
    <w:rsid w:val="00F42E95"/>
    <w:rsid w:val="00F827C7"/>
    <w:rsid w:val="00F96FD9"/>
    <w:rsid w:val="00FA1BA8"/>
    <w:rsid w:val="00FA49D4"/>
    <w:rsid w:val="00FC5408"/>
    <w:rsid w:val="00FC64A5"/>
    <w:rsid w:val="00FD7184"/>
    <w:rsid w:val="0252552D"/>
    <w:rsid w:val="039F26C9"/>
    <w:rsid w:val="03AC4D68"/>
    <w:rsid w:val="050A764A"/>
    <w:rsid w:val="067A3EB9"/>
    <w:rsid w:val="07CF7529"/>
    <w:rsid w:val="07F33D53"/>
    <w:rsid w:val="08470CC8"/>
    <w:rsid w:val="0AA3501D"/>
    <w:rsid w:val="0B8E5E80"/>
    <w:rsid w:val="0BAF6137"/>
    <w:rsid w:val="0C9D4FE4"/>
    <w:rsid w:val="0FAC2319"/>
    <w:rsid w:val="105A633D"/>
    <w:rsid w:val="10B85A49"/>
    <w:rsid w:val="11022000"/>
    <w:rsid w:val="11166965"/>
    <w:rsid w:val="11AD6919"/>
    <w:rsid w:val="131161CB"/>
    <w:rsid w:val="15EB2077"/>
    <w:rsid w:val="16506CFC"/>
    <w:rsid w:val="17881110"/>
    <w:rsid w:val="1AB536C1"/>
    <w:rsid w:val="1B1D2ECC"/>
    <w:rsid w:val="1B4C3F28"/>
    <w:rsid w:val="1D5340D5"/>
    <w:rsid w:val="1D5B41AA"/>
    <w:rsid w:val="1E2F712F"/>
    <w:rsid w:val="1E6502D1"/>
    <w:rsid w:val="1EC7023A"/>
    <w:rsid w:val="1ED57D2E"/>
    <w:rsid w:val="208F68FC"/>
    <w:rsid w:val="21592A0A"/>
    <w:rsid w:val="237B63F6"/>
    <w:rsid w:val="2605281B"/>
    <w:rsid w:val="280322C2"/>
    <w:rsid w:val="29512B72"/>
    <w:rsid w:val="29D92176"/>
    <w:rsid w:val="2AF77747"/>
    <w:rsid w:val="2EFC0BDB"/>
    <w:rsid w:val="30014ABC"/>
    <w:rsid w:val="32CF7549"/>
    <w:rsid w:val="3307663B"/>
    <w:rsid w:val="33086713"/>
    <w:rsid w:val="33E330E5"/>
    <w:rsid w:val="364E146B"/>
    <w:rsid w:val="36C66A25"/>
    <w:rsid w:val="37782570"/>
    <w:rsid w:val="37A22B83"/>
    <w:rsid w:val="39763533"/>
    <w:rsid w:val="3A06527E"/>
    <w:rsid w:val="3AF2453E"/>
    <w:rsid w:val="3E111FAD"/>
    <w:rsid w:val="3E7346AA"/>
    <w:rsid w:val="3E7E68EE"/>
    <w:rsid w:val="3EBF35D0"/>
    <w:rsid w:val="3F9E4B2C"/>
    <w:rsid w:val="42DB5EA0"/>
    <w:rsid w:val="438254A7"/>
    <w:rsid w:val="483408A5"/>
    <w:rsid w:val="49D140C9"/>
    <w:rsid w:val="4AE1509D"/>
    <w:rsid w:val="4E8D6C9B"/>
    <w:rsid w:val="4E9246BF"/>
    <w:rsid w:val="4FAE474F"/>
    <w:rsid w:val="531540B7"/>
    <w:rsid w:val="53A63092"/>
    <w:rsid w:val="5484426F"/>
    <w:rsid w:val="56093F5F"/>
    <w:rsid w:val="57314EF4"/>
    <w:rsid w:val="58476289"/>
    <w:rsid w:val="5BC81896"/>
    <w:rsid w:val="604F627F"/>
    <w:rsid w:val="62560FBE"/>
    <w:rsid w:val="631002B2"/>
    <w:rsid w:val="63870F38"/>
    <w:rsid w:val="653E6EF7"/>
    <w:rsid w:val="66EE541F"/>
    <w:rsid w:val="67114A94"/>
    <w:rsid w:val="68BD1522"/>
    <w:rsid w:val="698971FC"/>
    <w:rsid w:val="6B5C44B8"/>
    <w:rsid w:val="6BCD61C5"/>
    <w:rsid w:val="6BDC6C36"/>
    <w:rsid w:val="6EDA6DB9"/>
    <w:rsid w:val="6F4F078F"/>
    <w:rsid w:val="71D37C38"/>
    <w:rsid w:val="72030E1E"/>
    <w:rsid w:val="72A1036D"/>
    <w:rsid w:val="73611B81"/>
    <w:rsid w:val="742A6E0E"/>
    <w:rsid w:val="762A44F2"/>
    <w:rsid w:val="76452656"/>
    <w:rsid w:val="772B173D"/>
    <w:rsid w:val="780E6A5B"/>
    <w:rsid w:val="789C1508"/>
    <w:rsid w:val="7AC861E3"/>
    <w:rsid w:val="7C0814C8"/>
    <w:rsid w:val="7CA64253"/>
    <w:rsid w:val="7CD93198"/>
    <w:rsid w:val="7CE2182D"/>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5"/>
    <w:qFormat/>
    <w:uiPriority w:val="0"/>
    <w:pPr>
      <w:keepNext/>
      <w:keepLines/>
      <w:spacing w:before="260" w:after="260" w:line="416" w:lineRule="auto"/>
      <w:outlineLvl w:val="1"/>
    </w:pPr>
    <w:rPr>
      <w:rFonts w:ascii="Arial" w:hAnsi="Arial" w:eastAsia="黑体"/>
      <w:b/>
      <w:bCs/>
      <w:sz w:val="32"/>
      <w:szCs w:val="32"/>
    </w:rPr>
  </w:style>
  <w:style w:type="paragraph" w:styleId="2">
    <w:name w:val="heading 3"/>
    <w:basedOn w:val="1"/>
    <w:next w:val="1"/>
    <w:link w:val="26"/>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260" w:hanging="420"/>
    </w:pPr>
    <w:rPr>
      <w:szCs w:val="20"/>
    </w:rPr>
  </w:style>
  <w:style w:type="paragraph" w:styleId="6">
    <w:name w:val="annotation text"/>
    <w:basedOn w:val="1"/>
    <w:link w:val="27"/>
    <w:unhideWhenUsed/>
    <w:qFormat/>
    <w:uiPriority w:val="99"/>
    <w:pPr>
      <w:jc w:val="left"/>
    </w:pPr>
  </w:style>
  <w:style w:type="paragraph" w:styleId="7">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8">
    <w:name w:val="Date"/>
    <w:basedOn w:val="1"/>
    <w:next w:val="1"/>
    <w:link w:val="56"/>
    <w:semiHidden/>
    <w:unhideWhenUsed/>
    <w:qFormat/>
    <w:uiPriority w:val="99"/>
    <w:pPr>
      <w:ind w:left="100" w:leftChars="2500"/>
    </w:pPr>
  </w:style>
  <w:style w:type="paragraph" w:styleId="9">
    <w:name w:val="Body Text Indent 2"/>
    <w:basedOn w:val="1"/>
    <w:link w:val="29"/>
    <w:qFormat/>
    <w:uiPriority w:val="99"/>
    <w:pPr>
      <w:ind w:firstLine="480"/>
    </w:pPr>
    <w:rPr>
      <w:rFonts w:ascii="仿宋_GB2312" w:eastAsia="仿宋_GB2312"/>
      <w:sz w:val="24"/>
      <w:szCs w:val="20"/>
    </w:rPr>
  </w:style>
  <w:style w:type="paragraph" w:styleId="10">
    <w:name w:val="Balloon Text"/>
    <w:basedOn w:val="1"/>
    <w:link w:val="30"/>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4">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Normal (Web)"/>
    <w:basedOn w:val="1"/>
    <w:unhideWhenUsed/>
    <w:qFormat/>
    <w:uiPriority w:val="99"/>
    <w:pPr>
      <w:spacing w:beforeAutospacing="1" w:afterAutospacing="1"/>
      <w:jc w:val="left"/>
    </w:pPr>
    <w:rPr>
      <w:kern w:val="0"/>
      <w:sz w:val="24"/>
    </w:rPr>
  </w:style>
  <w:style w:type="paragraph" w:styleId="16">
    <w:name w:val="annotation subject"/>
    <w:basedOn w:val="6"/>
    <w:next w:val="6"/>
    <w:link w:val="28"/>
    <w:unhideWhenUsed/>
    <w:qFormat/>
    <w:uiPriority w:val="99"/>
    <w:rPr>
      <w:b/>
      <w:bCs/>
    </w:rPr>
  </w:style>
  <w:style w:type="table" w:styleId="18">
    <w:name w:val="Table Grid"/>
    <w:basedOn w:val="17"/>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unhideWhenUsed/>
    <w:qFormat/>
    <w:uiPriority w:val="99"/>
    <w:rPr>
      <w:color w:val="800080"/>
      <w:u w:val="single"/>
    </w:rPr>
  </w:style>
  <w:style w:type="character" w:styleId="21">
    <w:name w:val="Hyperlink"/>
    <w:basedOn w:val="19"/>
    <w:unhideWhenUsed/>
    <w:qFormat/>
    <w:uiPriority w:val="99"/>
    <w:rPr>
      <w:color w:val="0000FF"/>
      <w:u w:val="single"/>
    </w:rPr>
  </w:style>
  <w:style w:type="character" w:styleId="22">
    <w:name w:val="annotation reference"/>
    <w:basedOn w:val="19"/>
    <w:unhideWhenUsed/>
    <w:qFormat/>
    <w:uiPriority w:val="99"/>
    <w:rPr>
      <w:sz w:val="21"/>
      <w:szCs w:val="21"/>
    </w:rPr>
  </w:style>
  <w:style w:type="paragraph" w:customStyle="1" w:styleId="23">
    <w:name w:val="列出段落1"/>
    <w:basedOn w:val="1"/>
    <w:qFormat/>
    <w:uiPriority w:val="34"/>
    <w:pPr>
      <w:ind w:firstLine="420" w:firstLineChars="200"/>
    </w:pPr>
  </w:style>
  <w:style w:type="character" w:customStyle="1" w:styleId="24">
    <w:name w:val="标题 1 字符"/>
    <w:basedOn w:val="19"/>
    <w:link w:val="3"/>
    <w:qFormat/>
    <w:uiPriority w:val="0"/>
    <w:rPr>
      <w:rFonts w:ascii="Times New Roman" w:hAnsi="Times New Roman" w:eastAsia="宋体" w:cs="Times New Roman"/>
      <w:b/>
      <w:bCs/>
      <w:kern w:val="44"/>
      <w:sz w:val="44"/>
      <w:szCs w:val="44"/>
    </w:rPr>
  </w:style>
  <w:style w:type="character" w:customStyle="1" w:styleId="25">
    <w:name w:val="标题 2 字符"/>
    <w:basedOn w:val="19"/>
    <w:link w:val="4"/>
    <w:qFormat/>
    <w:uiPriority w:val="0"/>
    <w:rPr>
      <w:rFonts w:ascii="Arial" w:hAnsi="Arial" w:eastAsia="黑体" w:cs="Times New Roman"/>
      <w:b/>
      <w:bCs/>
      <w:sz w:val="32"/>
      <w:szCs w:val="32"/>
    </w:rPr>
  </w:style>
  <w:style w:type="character" w:customStyle="1" w:styleId="26">
    <w:name w:val="标题 3 字符"/>
    <w:basedOn w:val="19"/>
    <w:link w:val="2"/>
    <w:qFormat/>
    <w:uiPriority w:val="0"/>
    <w:rPr>
      <w:rFonts w:ascii="Times New Roman" w:hAnsi="Times New Roman" w:eastAsia="宋体" w:cs="Times New Roman"/>
      <w:b/>
      <w:bCs/>
      <w:sz w:val="32"/>
      <w:szCs w:val="32"/>
    </w:rPr>
  </w:style>
  <w:style w:type="character" w:customStyle="1" w:styleId="27">
    <w:name w:val="批注文字 字符"/>
    <w:basedOn w:val="19"/>
    <w:link w:val="6"/>
    <w:qFormat/>
    <w:uiPriority w:val="99"/>
    <w:rPr>
      <w:rFonts w:ascii="Times New Roman" w:hAnsi="Times New Roman" w:eastAsia="宋体" w:cs="Times New Roman"/>
      <w:szCs w:val="24"/>
    </w:rPr>
  </w:style>
  <w:style w:type="character" w:customStyle="1" w:styleId="28">
    <w:name w:val="批注主题 字符"/>
    <w:basedOn w:val="27"/>
    <w:link w:val="16"/>
    <w:qFormat/>
    <w:uiPriority w:val="99"/>
    <w:rPr>
      <w:rFonts w:ascii="Times New Roman" w:hAnsi="Times New Roman" w:eastAsia="宋体" w:cs="Times New Roman"/>
      <w:b/>
      <w:bCs/>
      <w:szCs w:val="24"/>
    </w:rPr>
  </w:style>
  <w:style w:type="character" w:customStyle="1" w:styleId="29">
    <w:name w:val="正文文本缩进 2 字符"/>
    <w:basedOn w:val="19"/>
    <w:link w:val="9"/>
    <w:qFormat/>
    <w:uiPriority w:val="99"/>
    <w:rPr>
      <w:rFonts w:ascii="仿宋_GB2312" w:hAnsi="Times New Roman" w:eastAsia="仿宋_GB2312" w:cs="Times New Roman"/>
      <w:sz w:val="24"/>
      <w:szCs w:val="20"/>
    </w:rPr>
  </w:style>
  <w:style w:type="character" w:customStyle="1" w:styleId="30">
    <w:name w:val="批注框文本 字符"/>
    <w:basedOn w:val="19"/>
    <w:link w:val="10"/>
    <w:qFormat/>
    <w:uiPriority w:val="99"/>
    <w:rPr>
      <w:rFonts w:ascii="Times New Roman" w:hAnsi="Times New Roman" w:eastAsia="宋体" w:cs="Times New Roman"/>
      <w:sz w:val="18"/>
      <w:szCs w:val="18"/>
    </w:rPr>
  </w:style>
  <w:style w:type="character" w:customStyle="1" w:styleId="31">
    <w:name w:val="页脚 字符"/>
    <w:basedOn w:val="19"/>
    <w:link w:val="11"/>
    <w:qFormat/>
    <w:uiPriority w:val="99"/>
    <w:rPr>
      <w:rFonts w:ascii="Times New Roman" w:hAnsi="Times New Roman" w:eastAsia="宋体" w:cs="Times New Roman"/>
      <w:sz w:val="18"/>
      <w:szCs w:val="18"/>
    </w:rPr>
  </w:style>
  <w:style w:type="character" w:customStyle="1" w:styleId="32">
    <w:name w:val="页眉 字符"/>
    <w:basedOn w:val="19"/>
    <w:link w:val="12"/>
    <w:qFormat/>
    <w:uiPriority w:val="99"/>
    <w:rPr>
      <w:rFonts w:ascii="Times New Roman" w:hAnsi="Times New Roman" w:eastAsia="宋体" w:cs="Times New Roman"/>
      <w:sz w:val="18"/>
      <w:szCs w:val="18"/>
    </w:rPr>
  </w:style>
  <w:style w:type="paragraph" w:customStyle="1" w:styleId="33">
    <w:name w:val="样式2"/>
    <w:basedOn w:val="1"/>
    <w:qFormat/>
    <w:uiPriority w:val="0"/>
    <w:pPr>
      <w:adjustRightInd w:val="0"/>
      <w:spacing w:line="410" w:lineRule="atLeast"/>
      <w:textAlignment w:val="baseline"/>
    </w:pPr>
    <w:rPr>
      <w:kern w:val="0"/>
      <w:sz w:val="24"/>
      <w:szCs w:val="20"/>
    </w:rPr>
  </w:style>
  <w:style w:type="paragraph" w:customStyle="1" w:styleId="34">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5">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6">
    <w:name w:val="无间隔1"/>
    <w:link w:val="54"/>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8">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39">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0">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2">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3">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4">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5">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7">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8">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0">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1">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2">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3">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4">
    <w:name w:val="无间隔 Char"/>
    <w:basedOn w:val="19"/>
    <w:link w:val="36"/>
    <w:qFormat/>
    <w:uiPriority w:val="1"/>
    <w:rPr>
      <w:rFonts w:ascii="Times New Roman" w:hAnsi="Times New Roman" w:eastAsia="宋体" w:cs="Times New Roman"/>
      <w:szCs w:val="24"/>
    </w:rPr>
  </w:style>
  <w:style w:type="paragraph" w:styleId="55">
    <w:name w:val="List Paragraph"/>
    <w:basedOn w:val="1"/>
    <w:qFormat/>
    <w:uiPriority w:val="34"/>
    <w:pPr>
      <w:ind w:firstLine="420" w:firstLineChars="200"/>
    </w:pPr>
  </w:style>
  <w:style w:type="character" w:customStyle="1" w:styleId="56">
    <w:name w:val="日期 字符"/>
    <w:basedOn w:val="19"/>
    <w:link w:val="8"/>
    <w:semiHidden/>
    <w:qFormat/>
    <w:uiPriority w:val="99"/>
    <w:rPr>
      <w:rFonts w:ascii="Times New Roman" w:hAnsi="Times New Roman" w:eastAsia="宋体" w:cs="Times New Roman"/>
      <w:szCs w:val="24"/>
    </w:rPr>
  </w:style>
  <w:style w:type="paragraph" w:customStyle="1" w:styleId="57">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58">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9">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0">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F8B31-0828-46F6-A3E2-3E6F50704E7E}">
  <ds:schemaRefs/>
</ds:datastoreItem>
</file>

<file path=docProps/app.xml><?xml version="1.0" encoding="utf-8"?>
<Properties xmlns="http://schemas.openxmlformats.org/officeDocument/2006/extended-properties" xmlns:vt="http://schemas.openxmlformats.org/officeDocument/2006/docPropsVTypes">
  <Template>Normal</Template>
  <Pages>20</Pages>
  <Words>67</Words>
  <Characters>70</Characters>
  <Lines>68</Lines>
  <Paragraphs>19</Paragraphs>
  <TotalTime>0</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hcmr</cp:lastModifiedBy>
  <dcterms:modified xsi:type="dcterms:W3CDTF">2026-10-28T07:54:21Z</dcterms:modified>
  <cp:revision>280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E25C88D97F5548F5995B7895360BFB1F_13</vt:lpwstr>
  </property>
  <property fmtid="{D5CDD505-2E9C-101B-9397-08002B2CF9AE}" pid="4" name="KSOTemplateDocerSaveRecord">
    <vt:lpwstr>eyJoZGlkIjoiMTA3MTZkNTVjYTMzZjllN2YxMWU3YWRjYTljOWJlODMiLCJ1c2VySWQiOiIzNTUxMDM5ODEifQ==</vt:lpwstr>
  </property>
</Properties>
</file>