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825883">
      <w:pPr>
        <w:jc w:val="left"/>
        <w:rPr>
          <w:rFonts w:ascii="宋体" w:hAnsi="宋体" w:cs="宋体"/>
          <w:b/>
          <w:sz w:val="36"/>
          <w:szCs w:val="36"/>
        </w:rPr>
      </w:pPr>
      <w:bookmarkStart w:id="0" w:name="_Toc416703361"/>
      <w:bookmarkStart w:id="1" w:name="_Toc417896685"/>
      <w:bookmarkStart w:id="2" w:name="_Toc417896502"/>
      <w:bookmarkStart w:id="3" w:name="_Toc416702955"/>
      <w:bookmarkStart w:id="4" w:name="_Toc417895952"/>
      <w:r>
        <w:rPr>
          <w:rFonts w:hint="eastAsia" w:ascii="宋体" w:hAnsi="宋体" w:cs="宋体"/>
          <w:b/>
          <w:sz w:val="36"/>
          <w:szCs w:val="36"/>
        </w:rPr>
        <w:t>项目名称：</w:t>
      </w:r>
      <w:r>
        <w:rPr>
          <w:rFonts w:hint="eastAsia"/>
        </w:rPr>
        <w:t xml:space="preserve"> </w:t>
      </w:r>
      <w:r>
        <w:rPr>
          <w:rFonts w:hint="eastAsia" w:ascii="宋体" w:hAnsi="宋体" w:cs="宋体"/>
          <w:b/>
          <w:sz w:val="36"/>
          <w:szCs w:val="36"/>
        </w:rPr>
        <w:t>F07高性能玻璃纤维生产线设备更新及技术改造项目拆除工程</w:t>
      </w:r>
    </w:p>
    <w:p w14:paraId="295ABA55">
      <w:pPr>
        <w:ind w:left="1807" w:hanging="1807" w:hangingChars="500"/>
        <w:rPr>
          <w:rFonts w:ascii="宋体" w:hAnsi="宋体"/>
          <w:b/>
          <w:bCs/>
          <w:sz w:val="128"/>
          <w:szCs w:val="128"/>
        </w:rPr>
      </w:pPr>
      <w:r>
        <w:rPr>
          <w:rFonts w:hint="eastAsia" w:ascii="宋体" w:hAnsi="宋体" w:cs="宋体"/>
          <w:b/>
          <w:sz w:val="36"/>
          <w:szCs w:val="36"/>
        </w:rPr>
        <w:t>采购编号：</w:t>
      </w:r>
      <w:bookmarkEnd w:id="0"/>
      <w:bookmarkEnd w:id="1"/>
      <w:bookmarkEnd w:id="2"/>
      <w:bookmarkEnd w:id="3"/>
      <w:bookmarkEnd w:id="4"/>
      <w:r>
        <w:rPr>
          <w:rFonts w:ascii="宋体" w:hAnsi="宋体" w:cs="宋体"/>
          <w:b/>
          <w:sz w:val="36"/>
          <w:szCs w:val="36"/>
        </w:rPr>
        <w:t>CPIC-GCSGCG-2026-010</w:t>
      </w:r>
    </w:p>
    <w:p w14:paraId="3B4CC049">
      <w:pPr>
        <w:spacing w:line="360" w:lineRule="auto"/>
        <w:jc w:val="center"/>
        <w:rPr>
          <w:rFonts w:ascii="宋体" w:hAnsi="宋体"/>
          <w:b/>
          <w:bCs/>
          <w:sz w:val="96"/>
          <w:szCs w:val="120"/>
        </w:rPr>
      </w:pPr>
      <w:r>
        <w:rPr>
          <w:rFonts w:hint="eastAsia" w:ascii="宋体" w:hAnsi="宋体"/>
          <w:b/>
          <w:bCs/>
          <w:sz w:val="96"/>
          <w:szCs w:val="120"/>
        </w:rPr>
        <w:t>谈判采购文件</w:t>
      </w:r>
    </w:p>
    <w:p w14:paraId="17AC33F2">
      <w:pPr>
        <w:rPr>
          <w:rFonts w:ascii="宋体" w:hAnsi="宋体"/>
          <w:b/>
          <w:bCs/>
          <w:szCs w:val="21"/>
        </w:rPr>
      </w:pPr>
    </w:p>
    <w:p w14:paraId="2C501B10">
      <w:pPr>
        <w:rPr>
          <w:rFonts w:ascii="宋体" w:hAnsi="宋体"/>
          <w:b/>
          <w:bCs/>
          <w:szCs w:val="21"/>
        </w:rPr>
      </w:pPr>
    </w:p>
    <w:p w14:paraId="6CEB752B">
      <w:pPr>
        <w:autoSpaceDE w:val="0"/>
        <w:autoSpaceDN w:val="0"/>
        <w:adjustRightInd w:val="0"/>
        <w:snapToGrid w:val="0"/>
        <w:spacing w:line="360" w:lineRule="auto"/>
        <w:jc w:val="left"/>
        <w:rPr>
          <w:rFonts w:ascii="宋体" w:hAnsi="宋体" w:cs="宋体"/>
          <w:b/>
          <w:bCs/>
          <w:sz w:val="36"/>
          <w:szCs w:val="36"/>
        </w:rPr>
      </w:pPr>
      <w:bookmarkStart w:id="5" w:name="_Toc230773922"/>
    </w:p>
    <w:p w14:paraId="6326879F">
      <w:pPr>
        <w:autoSpaceDE w:val="0"/>
        <w:autoSpaceDN w:val="0"/>
        <w:adjustRightInd w:val="0"/>
        <w:snapToGrid w:val="0"/>
        <w:spacing w:line="360" w:lineRule="auto"/>
        <w:jc w:val="center"/>
        <w:rPr>
          <w:rFonts w:ascii="宋体" w:hAnsi="宋体" w:cs="宋体"/>
          <w:b/>
          <w:bCs/>
          <w:sz w:val="36"/>
          <w:szCs w:val="36"/>
        </w:rPr>
      </w:pPr>
      <w:r>
        <w:rPr>
          <w:rFonts w:hint="eastAsia" w:ascii="宋体" w:hAnsi="宋体" w:cs="宋体"/>
          <w:b/>
          <w:bCs/>
          <w:sz w:val="36"/>
          <w:szCs w:val="36"/>
        </w:rPr>
        <w:t>采购人:</w:t>
      </w:r>
      <w:r>
        <w:rPr>
          <w:rFonts w:hint="eastAsia" w:ascii="宋体" w:hAnsi="宋体"/>
        </w:rPr>
        <w:t xml:space="preserve"> </w:t>
      </w:r>
      <w:r>
        <w:rPr>
          <w:rFonts w:hint="eastAsia" w:ascii="宋体" w:hAnsi="宋体" w:cs="宋体"/>
          <w:b/>
          <w:bCs/>
          <w:sz w:val="36"/>
          <w:szCs w:val="36"/>
        </w:rPr>
        <w:t>重庆天泽新材料有限公司</w:t>
      </w:r>
    </w:p>
    <w:p w14:paraId="7508DCF6">
      <w:pPr>
        <w:autoSpaceDE w:val="0"/>
        <w:autoSpaceDN w:val="0"/>
        <w:adjustRightInd w:val="0"/>
        <w:snapToGrid w:val="0"/>
        <w:spacing w:line="360" w:lineRule="auto"/>
        <w:jc w:val="center"/>
        <w:rPr>
          <w:rFonts w:ascii="宋体" w:hAnsi="宋体" w:cs="宋体"/>
          <w:kern w:val="0"/>
          <w:sz w:val="20"/>
          <w:szCs w:val="20"/>
        </w:rPr>
      </w:pPr>
    </w:p>
    <w:p w14:paraId="38CD4EDD">
      <w:pPr>
        <w:tabs>
          <w:tab w:val="left" w:pos="3200"/>
          <w:tab w:val="left" w:pos="4320"/>
          <w:tab w:val="left" w:pos="5420"/>
        </w:tabs>
        <w:autoSpaceDE w:val="0"/>
        <w:autoSpaceDN w:val="0"/>
        <w:adjustRightInd w:val="0"/>
        <w:snapToGrid w:val="0"/>
        <w:spacing w:line="360" w:lineRule="auto"/>
        <w:jc w:val="center"/>
        <w:rPr>
          <w:rFonts w:ascii="宋体" w:hAnsi="宋体" w:cs="宋体"/>
          <w:b/>
          <w:w w:val="95"/>
          <w:kern w:val="0"/>
          <w:sz w:val="32"/>
          <w:szCs w:val="32"/>
        </w:rPr>
      </w:pPr>
      <w:r>
        <w:rPr>
          <w:rFonts w:hint="eastAsia" w:ascii="宋体" w:hAnsi="宋体" w:cs="宋体"/>
          <w:b/>
          <w:w w:val="95"/>
          <w:kern w:val="0"/>
          <w:sz w:val="32"/>
          <w:szCs w:val="32"/>
        </w:rPr>
        <w:t xml:space="preserve">  二○二六年十月</w:t>
      </w:r>
    </w:p>
    <w:p w14:paraId="2E97BB98"/>
    <w:p w14:paraId="5C501DF2"/>
    <w:p w14:paraId="62D81FC1"/>
    <w:p w14:paraId="2C855280">
      <w:pPr>
        <w:ind w:firstLine="2560" w:firstLineChars="800"/>
        <w:rPr>
          <w:sz w:val="32"/>
          <w:szCs w:val="32"/>
        </w:rPr>
      </w:pPr>
    </w:p>
    <w:p w14:paraId="33E9E958">
      <w:pPr>
        <w:tabs>
          <w:tab w:val="left" w:pos="3200"/>
          <w:tab w:val="left" w:pos="4320"/>
          <w:tab w:val="left" w:pos="5420"/>
        </w:tabs>
        <w:autoSpaceDE w:val="0"/>
        <w:autoSpaceDN w:val="0"/>
        <w:adjustRightInd w:val="0"/>
        <w:snapToGrid w:val="0"/>
        <w:spacing w:line="360" w:lineRule="auto"/>
        <w:ind w:firstLine="812"/>
        <w:jc w:val="center"/>
        <w:rPr>
          <w:rFonts w:ascii="宋体" w:hAnsi="宋体" w:cs="宋体"/>
          <w:b/>
          <w:w w:val="95"/>
          <w:kern w:val="0"/>
          <w:sz w:val="32"/>
          <w:szCs w:val="32"/>
        </w:rPr>
      </w:pPr>
    </w:p>
    <w:p w14:paraId="7B5A7DF2">
      <w:pPr>
        <w:tabs>
          <w:tab w:val="left" w:pos="3200"/>
          <w:tab w:val="left" w:pos="4320"/>
          <w:tab w:val="left" w:pos="5420"/>
        </w:tabs>
        <w:autoSpaceDE w:val="0"/>
        <w:autoSpaceDN w:val="0"/>
        <w:adjustRightInd w:val="0"/>
        <w:snapToGrid w:val="0"/>
        <w:spacing w:line="360" w:lineRule="auto"/>
        <w:ind w:firstLine="812"/>
        <w:jc w:val="center"/>
        <w:rPr>
          <w:rFonts w:ascii="宋体" w:hAnsi="宋体" w:cs="宋体"/>
          <w:b/>
          <w:w w:val="95"/>
          <w:kern w:val="0"/>
          <w:sz w:val="32"/>
          <w:szCs w:val="32"/>
        </w:rPr>
      </w:pPr>
    </w:p>
    <w:p w14:paraId="36E8795A">
      <w:pPr>
        <w:tabs>
          <w:tab w:val="left" w:pos="3200"/>
          <w:tab w:val="left" w:pos="4320"/>
          <w:tab w:val="left" w:pos="5420"/>
        </w:tabs>
        <w:autoSpaceDE w:val="0"/>
        <w:autoSpaceDN w:val="0"/>
        <w:adjustRightInd w:val="0"/>
        <w:snapToGrid w:val="0"/>
        <w:spacing w:line="360" w:lineRule="auto"/>
        <w:ind w:firstLine="812"/>
        <w:jc w:val="center"/>
        <w:rPr>
          <w:rFonts w:ascii="宋体" w:hAnsi="宋体" w:cs="宋体"/>
          <w:b/>
          <w:w w:val="95"/>
          <w:kern w:val="0"/>
          <w:sz w:val="32"/>
          <w:szCs w:val="32"/>
        </w:rPr>
      </w:pPr>
    </w:p>
    <w:p w14:paraId="530A27D8">
      <w:pPr>
        <w:tabs>
          <w:tab w:val="left" w:pos="3200"/>
          <w:tab w:val="left" w:pos="4320"/>
          <w:tab w:val="left" w:pos="5420"/>
        </w:tabs>
        <w:autoSpaceDE w:val="0"/>
        <w:autoSpaceDN w:val="0"/>
        <w:adjustRightInd w:val="0"/>
        <w:snapToGrid w:val="0"/>
        <w:spacing w:line="360" w:lineRule="auto"/>
        <w:ind w:firstLine="812"/>
        <w:jc w:val="center"/>
        <w:rPr>
          <w:rFonts w:ascii="宋体" w:hAnsi="宋体" w:cs="宋体"/>
          <w:b/>
          <w:w w:val="95"/>
          <w:kern w:val="0"/>
          <w:sz w:val="32"/>
          <w:szCs w:val="32"/>
        </w:rPr>
      </w:pPr>
    </w:p>
    <w:p w14:paraId="6ECDC87B">
      <w:pPr>
        <w:tabs>
          <w:tab w:val="left" w:pos="3200"/>
          <w:tab w:val="left" w:pos="4320"/>
          <w:tab w:val="left" w:pos="5420"/>
        </w:tabs>
        <w:autoSpaceDE w:val="0"/>
        <w:autoSpaceDN w:val="0"/>
        <w:adjustRightInd w:val="0"/>
        <w:snapToGrid w:val="0"/>
        <w:spacing w:line="360" w:lineRule="auto"/>
        <w:ind w:firstLine="812"/>
        <w:jc w:val="center"/>
        <w:rPr>
          <w:rFonts w:ascii="宋体" w:hAnsi="宋体" w:cs="宋体"/>
          <w:b/>
          <w:w w:val="95"/>
          <w:kern w:val="0"/>
          <w:sz w:val="32"/>
          <w:szCs w:val="32"/>
        </w:rPr>
      </w:pPr>
    </w:p>
    <w:p w14:paraId="45E9DC6A">
      <w:pPr>
        <w:tabs>
          <w:tab w:val="left" w:pos="3200"/>
          <w:tab w:val="left" w:pos="4320"/>
          <w:tab w:val="left" w:pos="5420"/>
        </w:tabs>
        <w:autoSpaceDE w:val="0"/>
        <w:autoSpaceDN w:val="0"/>
        <w:adjustRightInd w:val="0"/>
        <w:snapToGrid w:val="0"/>
        <w:spacing w:line="360" w:lineRule="auto"/>
        <w:ind w:firstLine="812"/>
        <w:jc w:val="center"/>
        <w:rPr>
          <w:rFonts w:ascii="宋体" w:hAnsi="宋体" w:cs="宋体"/>
          <w:b/>
          <w:w w:val="95"/>
          <w:kern w:val="0"/>
          <w:sz w:val="32"/>
          <w:szCs w:val="32"/>
        </w:rPr>
      </w:pPr>
    </w:p>
    <w:p w14:paraId="18627553">
      <w:pPr>
        <w:tabs>
          <w:tab w:val="left" w:pos="3200"/>
          <w:tab w:val="left" w:pos="4320"/>
          <w:tab w:val="left" w:pos="5420"/>
        </w:tabs>
        <w:autoSpaceDE w:val="0"/>
        <w:autoSpaceDN w:val="0"/>
        <w:adjustRightInd w:val="0"/>
        <w:snapToGrid w:val="0"/>
        <w:spacing w:line="360" w:lineRule="auto"/>
        <w:ind w:firstLine="812"/>
        <w:jc w:val="center"/>
        <w:rPr>
          <w:rFonts w:ascii="宋体" w:hAnsi="宋体" w:cs="宋体"/>
          <w:b/>
          <w:w w:val="95"/>
          <w:kern w:val="0"/>
          <w:sz w:val="32"/>
          <w:szCs w:val="32"/>
        </w:rPr>
      </w:pPr>
    </w:p>
    <w:p w14:paraId="5E0715F2">
      <w:pPr>
        <w:tabs>
          <w:tab w:val="left" w:pos="3200"/>
          <w:tab w:val="left" w:pos="4320"/>
          <w:tab w:val="left" w:pos="5420"/>
        </w:tabs>
        <w:autoSpaceDE w:val="0"/>
        <w:autoSpaceDN w:val="0"/>
        <w:adjustRightInd w:val="0"/>
        <w:snapToGrid w:val="0"/>
        <w:spacing w:line="360" w:lineRule="auto"/>
        <w:ind w:firstLine="812"/>
        <w:jc w:val="center"/>
        <w:rPr>
          <w:rFonts w:ascii="宋体" w:hAnsi="宋体" w:cs="宋体"/>
          <w:b/>
          <w:w w:val="95"/>
          <w:kern w:val="0"/>
          <w:sz w:val="32"/>
          <w:szCs w:val="32"/>
        </w:rPr>
      </w:pPr>
    </w:p>
    <w:p w14:paraId="2A92E20B">
      <w:pPr>
        <w:pStyle w:val="16"/>
        <w:tabs>
          <w:tab w:val="right" w:leader="dot" w:pos="8609"/>
        </w:tabs>
        <w:ind w:left="0" w:firstLine="954"/>
        <w:rPr>
          <w:rFonts w:ascii="宋体" w:hAnsi="宋体" w:eastAsia="宋体" w:cs="宋体"/>
          <w:sz w:val="32"/>
          <w:szCs w:val="32"/>
        </w:rPr>
      </w:pPr>
      <w:r>
        <w:rPr>
          <w:rFonts w:hint="eastAsia" w:ascii="宋体" w:hAnsi="宋体" w:eastAsia="宋体" w:cs="宋体"/>
          <w:sz w:val="32"/>
          <w:szCs w:val="32"/>
        </w:rPr>
        <w:t>编制：</w:t>
      </w:r>
      <w:r>
        <w:rPr>
          <w:rFonts w:hint="eastAsia" w:ascii="宋体" w:hAnsi="宋体" w:eastAsia="宋体" w:cs="宋体"/>
          <w:sz w:val="32"/>
          <w:szCs w:val="32"/>
          <w:u w:val="single"/>
        </w:rPr>
        <w:t xml:space="preserve">             </w:t>
      </w:r>
      <w:r>
        <w:rPr>
          <w:rFonts w:hint="eastAsia" w:ascii="宋体" w:hAnsi="宋体" w:eastAsia="宋体" w:cs="宋体"/>
          <w:sz w:val="32"/>
          <w:szCs w:val="32"/>
        </w:rPr>
        <w:t xml:space="preserve">  审核：</w:t>
      </w:r>
      <w:r>
        <w:rPr>
          <w:rFonts w:hint="eastAsia" w:ascii="宋体" w:hAnsi="宋体" w:eastAsia="宋体" w:cs="宋体"/>
          <w:sz w:val="32"/>
          <w:szCs w:val="32"/>
          <w:u w:val="single"/>
        </w:rPr>
        <w:t xml:space="preserve">                </w:t>
      </w:r>
    </w:p>
    <w:p w14:paraId="3757D976">
      <w:pPr>
        <w:pStyle w:val="16"/>
        <w:tabs>
          <w:tab w:val="right" w:leader="dot" w:pos="8609"/>
        </w:tabs>
        <w:ind w:left="0" w:firstLine="1166"/>
        <w:rPr>
          <w:rFonts w:ascii="宋体" w:hAnsi="宋体" w:eastAsia="宋体" w:cs="宋体"/>
          <w:bCs/>
          <w:sz w:val="32"/>
          <w:szCs w:val="32"/>
        </w:rPr>
      </w:pPr>
    </w:p>
    <w:p w14:paraId="6F27A3ED">
      <w:pPr>
        <w:rPr>
          <w:lang w:val="zh-CN"/>
        </w:rPr>
      </w:pPr>
    </w:p>
    <w:p w14:paraId="5B2D722F">
      <w:pPr>
        <w:rPr>
          <w:lang w:val="zh-CN"/>
        </w:rPr>
      </w:pPr>
    </w:p>
    <w:p w14:paraId="527CCD0D">
      <w:pPr>
        <w:pStyle w:val="62"/>
        <w:jc w:val="center"/>
        <w:rPr>
          <w:rFonts w:ascii="宋体" w:hAnsi="宋体" w:eastAsia="宋体"/>
          <w:color w:val="auto"/>
          <w:sz w:val="44"/>
          <w:szCs w:val="44"/>
        </w:rPr>
      </w:pPr>
      <w:r>
        <w:rPr>
          <w:rFonts w:ascii="宋体" w:hAnsi="宋体" w:eastAsia="宋体"/>
          <w:color w:val="auto"/>
          <w:sz w:val="44"/>
          <w:szCs w:val="44"/>
          <w:lang w:val="zh-CN"/>
        </w:rPr>
        <w:t>目</w:t>
      </w:r>
      <w:r>
        <w:rPr>
          <w:rFonts w:hint="eastAsia" w:ascii="宋体" w:hAnsi="宋体" w:eastAsia="宋体"/>
          <w:color w:val="auto"/>
          <w:sz w:val="44"/>
          <w:szCs w:val="44"/>
          <w:lang w:val="zh-CN"/>
        </w:rPr>
        <w:t xml:space="preserve"> </w:t>
      </w:r>
      <w:r>
        <w:rPr>
          <w:rFonts w:ascii="宋体" w:hAnsi="宋体" w:eastAsia="宋体"/>
          <w:color w:val="auto"/>
          <w:sz w:val="44"/>
          <w:szCs w:val="44"/>
          <w:lang w:val="zh-CN"/>
        </w:rPr>
        <w:t>录</w:t>
      </w:r>
    </w:p>
    <w:p w14:paraId="48382B50">
      <w:pPr>
        <w:pStyle w:val="15"/>
        <w:numPr>
          <w:ilvl w:val="0"/>
          <w:numId w:val="2"/>
        </w:numPr>
        <w:spacing w:line="520" w:lineRule="exact"/>
        <w:rPr>
          <w:rFonts w:ascii="宋体" w:hAnsi="宋体" w:eastAsia="宋体"/>
          <w:b/>
          <w:bCs/>
          <w:sz w:val="28"/>
          <w:szCs w:val="28"/>
        </w:rPr>
      </w:pPr>
      <w:r>
        <w:rPr>
          <w:rFonts w:hint="eastAsia" w:ascii="宋体" w:hAnsi="宋体" w:eastAsia="宋体"/>
          <w:b/>
          <w:bCs/>
          <w:sz w:val="28"/>
          <w:szCs w:val="28"/>
        </w:rPr>
        <w:t>谈判采购公告</w:t>
      </w:r>
      <w:r>
        <w:rPr>
          <w:rFonts w:ascii="宋体" w:hAnsi="宋体" w:eastAsia="宋体"/>
          <w:b/>
          <w:sz w:val="28"/>
          <w:szCs w:val="28"/>
        </w:rPr>
        <w:ptab w:relativeTo="margin" w:alignment="right" w:leader="dot"/>
      </w:r>
      <w:r>
        <w:rPr>
          <w:rFonts w:ascii="宋体" w:hAnsi="宋体" w:eastAsia="宋体"/>
          <w:b/>
          <w:bCs/>
          <w:sz w:val="28"/>
          <w:szCs w:val="28"/>
          <w:lang w:val="zh-CN"/>
        </w:rPr>
        <w:t>3</w:t>
      </w:r>
    </w:p>
    <w:p w14:paraId="3AC59893">
      <w:pPr>
        <w:pStyle w:val="15"/>
        <w:spacing w:line="520" w:lineRule="exact"/>
        <w:rPr>
          <w:rFonts w:ascii="宋体" w:hAnsi="宋体" w:eastAsia="宋体"/>
          <w:b/>
          <w:sz w:val="28"/>
          <w:szCs w:val="28"/>
        </w:rPr>
      </w:pPr>
      <w:r>
        <w:rPr>
          <w:rFonts w:ascii="宋体" w:hAnsi="宋体" w:eastAsia="宋体"/>
          <w:b/>
          <w:bCs/>
          <w:sz w:val="28"/>
          <w:szCs w:val="28"/>
        </w:rPr>
        <w:t xml:space="preserve">第二章 </w:t>
      </w:r>
      <w:r>
        <w:rPr>
          <w:rFonts w:hint="eastAsia" w:ascii="宋体" w:hAnsi="宋体" w:eastAsia="宋体"/>
          <w:b/>
          <w:bCs/>
          <w:sz w:val="28"/>
          <w:szCs w:val="28"/>
        </w:rPr>
        <w:t>项目内容</w:t>
      </w:r>
      <w:r>
        <w:rPr>
          <w:rFonts w:ascii="宋体" w:hAnsi="宋体" w:eastAsia="宋体"/>
          <w:b/>
          <w:sz w:val="28"/>
          <w:szCs w:val="28"/>
        </w:rPr>
        <w:ptab w:relativeTo="margin" w:alignment="right" w:leader="dot"/>
      </w:r>
      <w:r>
        <w:rPr>
          <w:rFonts w:hint="eastAsia" w:ascii="宋体" w:hAnsi="宋体" w:eastAsia="宋体"/>
          <w:b/>
          <w:bCs/>
          <w:sz w:val="28"/>
          <w:szCs w:val="28"/>
        </w:rPr>
        <w:t>6</w:t>
      </w:r>
    </w:p>
    <w:p w14:paraId="66E71BAD">
      <w:pPr>
        <w:spacing w:line="520" w:lineRule="exact"/>
        <w:rPr>
          <w:rFonts w:ascii="宋体" w:hAnsi="宋体"/>
          <w:b/>
          <w:sz w:val="28"/>
          <w:szCs w:val="28"/>
          <w:lang w:val="zh-CN"/>
        </w:rPr>
      </w:pPr>
      <w:r>
        <w:rPr>
          <w:rFonts w:hint="eastAsia" w:ascii="宋体" w:hAnsi="宋体"/>
          <w:b/>
          <w:sz w:val="28"/>
          <w:szCs w:val="28"/>
          <w:lang w:val="zh-CN"/>
        </w:rPr>
        <w:t>第三章 供应商须知</w:t>
      </w:r>
      <w:r>
        <w:rPr>
          <w:rFonts w:ascii="宋体" w:hAnsi="宋体"/>
          <w:b/>
          <w:sz w:val="28"/>
          <w:szCs w:val="28"/>
        </w:rPr>
        <w:ptab w:relativeTo="margin" w:alignment="right" w:leader="dot"/>
      </w:r>
      <w:r>
        <w:rPr>
          <w:rFonts w:hint="eastAsia" w:ascii="宋体" w:hAnsi="宋体"/>
          <w:b/>
          <w:sz w:val="28"/>
          <w:szCs w:val="28"/>
        </w:rPr>
        <w:t>7</w:t>
      </w:r>
    </w:p>
    <w:p w14:paraId="57A39E23">
      <w:pPr>
        <w:spacing w:line="520" w:lineRule="exact"/>
        <w:rPr>
          <w:rFonts w:ascii="宋体" w:hAnsi="宋体"/>
          <w:b/>
          <w:sz w:val="28"/>
          <w:szCs w:val="28"/>
        </w:rPr>
      </w:pPr>
      <w:r>
        <w:rPr>
          <w:rFonts w:hint="eastAsia" w:ascii="宋体" w:hAnsi="宋体"/>
          <w:b/>
          <w:sz w:val="28"/>
          <w:szCs w:val="28"/>
          <w:lang w:val="zh-CN"/>
        </w:rPr>
        <w:t>第四章 附件</w:t>
      </w:r>
      <w:r>
        <w:rPr>
          <w:rFonts w:ascii="宋体" w:hAnsi="宋体"/>
          <w:b/>
          <w:sz w:val="28"/>
          <w:szCs w:val="28"/>
          <w:lang w:val="zh-CN"/>
        </w:rPr>
        <w:t>—</w:t>
      </w:r>
      <w:r>
        <w:rPr>
          <w:rFonts w:hint="eastAsia" w:ascii="宋体" w:hAnsi="宋体"/>
          <w:b/>
          <w:sz w:val="28"/>
          <w:szCs w:val="28"/>
          <w:lang w:val="zh-CN"/>
        </w:rPr>
        <w:t>谈判文件</w:t>
      </w:r>
      <w:r>
        <w:rPr>
          <w:rFonts w:ascii="宋体" w:hAnsi="宋体"/>
          <w:b/>
          <w:sz w:val="28"/>
          <w:szCs w:val="28"/>
          <w:lang w:val="zh-CN"/>
        </w:rPr>
        <w:t>格式</w:t>
      </w:r>
      <w:r>
        <w:rPr>
          <w:rFonts w:ascii="宋体" w:hAnsi="宋体"/>
          <w:b/>
          <w:sz w:val="28"/>
          <w:szCs w:val="28"/>
        </w:rPr>
        <w:ptab w:relativeTo="margin" w:alignment="right" w:leader="dot"/>
      </w:r>
      <w:r>
        <w:rPr>
          <w:rFonts w:ascii="宋体" w:hAnsi="宋体"/>
          <w:b/>
          <w:sz w:val="28"/>
          <w:szCs w:val="28"/>
        </w:rPr>
        <w:t>16</w:t>
      </w:r>
    </w:p>
    <w:p w14:paraId="3DC7EFDD">
      <w:pPr>
        <w:rPr>
          <w:rFonts w:ascii="宋体" w:hAnsi="宋体"/>
          <w:b/>
          <w:sz w:val="28"/>
          <w:szCs w:val="28"/>
        </w:rPr>
      </w:pPr>
      <w:r>
        <w:rPr>
          <w:rFonts w:ascii="宋体" w:hAnsi="宋体"/>
          <w:b/>
          <w:sz w:val="28"/>
          <w:szCs w:val="28"/>
        </w:rPr>
        <w:t>第</w:t>
      </w:r>
      <w:r>
        <w:rPr>
          <w:rFonts w:hint="eastAsia" w:ascii="宋体" w:hAnsi="宋体"/>
          <w:b/>
          <w:sz w:val="28"/>
          <w:szCs w:val="28"/>
        </w:rPr>
        <w:t>五</w:t>
      </w:r>
      <w:r>
        <w:rPr>
          <w:rFonts w:ascii="宋体" w:hAnsi="宋体"/>
          <w:b/>
          <w:sz w:val="28"/>
          <w:szCs w:val="28"/>
        </w:rPr>
        <w:t>章</w:t>
      </w:r>
      <w:r>
        <w:rPr>
          <w:rFonts w:hint="eastAsia" w:ascii="宋体" w:hAnsi="宋体"/>
          <w:b/>
          <w:sz w:val="28"/>
          <w:szCs w:val="28"/>
        </w:rPr>
        <w:t xml:space="preserve"> 合同模板</w:t>
      </w:r>
      <w:r>
        <w:rPr>
          <w:rFonts w:ascii="宋体" w:hAnsi="宋体"/>
          <w:b/>
          <w:sz w:val="28"/>
          <w:szCs w:val="28"/>
        </w:rPr>
        <w:ptab w:relativeTo="margin" w:alignment="right" w:leader="dot"/>
      </w:r>
    </w:p>
    <w:p w14:paraId="4B646EBB">
      <w:pPr>
        <w:rPr>
          <w:rFonts w:ascii="宋体" w:hAnsi="宋体"/>
          <w:b/>
          <w:sz w:val="28"/>
          <w:szCs w:val="28"/>
        </w:rPr>
      </w:pPr>
    </w:p>
    <w:p w14:paraId="5D1A8FF4">
      <w:pPr>
        <w:widowControl/>
        <w:jc w:val="left"/>
        <w:rPr>
          <w:rFonts w:ascii="宋体" w:hAnsi="宋体"/>
          <w:b/>
          <w:sz w:val="28"/>
          <w:szCs w:val="28"/>
        </w:rPr>
      </w:pPr>
      <w:r>
        <w:rPr>
          <w:rFonts w:ascii="宋体" w:hAnsi="宋体"/>
          <w:b/>
          <w:sz w:val="28"/>
          <w:szCs w:val="28"/>
        </w:rPr>
        <w:br w:type="page"/>
      </w:r>
    </w:p>
    <w:bookmarkEnd w:id="5"/>
    <w:p w14:paraId="7D7A2EB8">
      <w:pPr>
        <w:pStyle w:val="2"/>
        <w:spacing w:before="240" w:beforeLines="100" w:after="360" w:afterLines="150" w:line="276" w:lineRule="auto"/>
        <w:jc w:val="center"/>
        <w:rPr>
          <w:rFonts w:ascii="宋体" w:hAnsi="宋体"/>
          <w:b w:val="0"/>
        </w:rPr>
      </w:pPr>
      <w:r>
        <w:rPr>
          <w:rFonts w:ascii="宋体" w:hAnsi="宋体"/>
        </w:rPr>
        <w:t xml:space="preserve">第一章 </w:t>
      </w:r>
      <w:r>
        <w:rPr>
          <w:rFonts w:hint="eastAsia" w:ascii="宋体" w:hAnsi="宋体"/>
        </w:rPr>
        <w:t>谈判采购公告</w:t>
      </w:r>
    </w:p>
    <w:p w14:paraId="2B621846">
      <w:pPr>
        <w:jc w:val="center"/>
        <w:rPr>
          <w:rFonts w:ascii="宋体" w:hAnsi="宋体" w:cs="宋体"/>
          <w:b/>
          <w:sz w:val="32"/>
          <w:szCs w:val="32"/>
        </w:rPr>
      </w:pPr>
      <w:bookmarkStart w:id="6" w:name="_Toc440556695"/>
      <w:bookmarkStart w:id="7" w:name="OLE_LINK1"/>
      <w:bookmarkStart w:id="8" w:name="_Toc415675642"/>
      <w:bookmarkStart w:id="9" w:name="OLE_LINK4"/>
      <w:bookmarkStart w:id="10" w:name="_Toc415675120"/>
      <w:bookmarkStart w:id="11" w:name="OLE_LINK7"/>
      <w:r>
        <w:rPr>
          <w:rFonts w:hint="eastAsia" w:ascii="宋体" w:hAnsi="宋体" w:cs="宋体"/>
          <w:b/>
          <w:sz w:val="32"/>
          <w:szCs w:val="32"/>
        </w:rPr>
        <w:t>F07高性能玻璃纤维生产线设备更新及技术改造项目拆除工程采购</w:t>
      </w:r>
    </w:p>
    <w:p w14:paraId="5A669919">
      <w:pPr>
        <w:spacing w:line="360" w:lineRule="auto"/>
        <w:jc w:val="left"/>
        <w:outlineLvl w:val="0"/>
        <w:rPr>
          <w:rFonts w:ascii="宋体" w:hAnsi="宋体"/>
          <w:b/>
          <w:snapToGrid w:val="0"/>
          <w:kern w:val="0"/>
          <w:sz w:val="28"/>
          <w:szCs w:val="28"/>
        </w:rPr>
      </w:pPr>
      <w:bookmarkStart w:id="12" w:name="_Toc844"/>
      <w:bookmarkStart w:id="13" w:name="_Toc14729"/>
      <w:bookmarkStart w:id="14" w:name="_Toc5554"/>
      <w:bookmarkStart w:id="15" w:name="_Toc4962"/>
      <w:bookmarkStart w:id="16" w:name="_Toc30279"/>
      <w:bookmarkStart w:id="17" w:name="_Toc27508"/>
      <w:bookmarkStart w:id="18" w:name="_Toc26356"/>
      <w:bookmarkStart w:id="19" w:name="_Toc10497"/>
      <w:bookmarkStart w:id="20" w:name="_Toc16466"/>
      <w:bookmarkStart w:id="21" w:name="_Toc29382"/>
      <w:r>
        <w:rPr>
          <w:rFonts w:hint="eastAsia" w:ascii="宋体" w:hAnsi="宋体"/>
          <w:b/>
          <w:snapToGrid w:val="0"/>
          <w:kern w:val="0"/>
          <w:sz w:val="28"/>
          <w:szCs w:val="28"/>
        </w:rPr>
        <w:t>1. 谈判采购条件</w:t>
      </w:r>
      <w:bookmarkEnd w:id="12"/>
      <w:bookmarkEnd w:id="13"/>
      <w:bookmarkEnd w:id="14"/>
      <w:bookmarkEnd w:id="15"/>
      <w:bookmarkEnd w:id="16"/>
      <w:bookmarkEnd w:id="17"/>
      <w:bookmarkEnd w:id="18"/>
      <w:bookmarkEnd w:id="19"/>
      <w:bookmarkEnd w:id="20"/>
      <w:bookmarkEnd w:id="21"/>
    </w:p>
    <w:p w14:paraId="374BB3E5">
      <w:pPr>
        <w:spacing w:line="360" w:lineRule="auto"/>
        <w:ind w:firstLine="413" w:firstLineChars="197"/>
        <w:jc w:val="left"/>
        <w:outlineLvl w:val="0"/>
        <w:rPr>
          <w:rFonts w:ascii="宋体" w:hAnsi="宋体"/>
          <w:b/>
          <w:snapToGrid w:val="0"/>
          <w:kern w:val="0"/>
          <w:szCs w:val="21"/>
        </w:rPr>
      </w:pPr>
      <w:r>
        <w:rPr>
          <w:rFonts w:hint="eastAsia" w:ascii="宋体" w:hAnsi="宋体" w:cs="宋体"/>
          <w:kern w:val="0"/>
          <w:szCs w:val="21"/>
        </w:rPr>
        <w:t>本谈判采购项目为重庆天泽新材料有限公司“</w:t>
      </w:r>
      <w:r>
        <w:rPr>
          <w:rFonts w:hint="eastAsia" w:ascii="宋体" w:hAnsi="宋体" w:cs="宋体"/>
          <w:b/>
          <w:szCs w:val="21"/>
          <w:u w:val="single"/>
        </w:rPr>
        <w:t>F07高性能玻璃纤维生产线设备更新及技术改造项目拆除工程采购</w:t>
      </w:r>
      <w:r>
        <w:rPr>
          <w:rFonts w:hint="eastAsia" w:ascii="宋体" w:hAnsi="宋体" w:cs="宋体"/>
          <w:kern w:val="0"/>
          <w:szCs w:val="21"/>
        </w:rPr>
        <w:t>”，采购人为重庆天泽新材料有限公司，资金来源</w:t>
      </w:r>
      <w:r>
        <w:rPr>
          <w:rFonts w:hint="eastAsia" w:ascii="宋体" w:hAnsi="宋体" w:cs="宋体"/>
          <w:kern w:val="0"/>
          <w:szCs w:val="21"/>
          <w:u w:val="single"/>
        </w:rPr>
        <w:t>业主自筹</w:t>
      </w:r>
      <w:r>
        <w:rPr>
          <w:rFonts w:hint="eastAsia" w:ascii="宋体" w:hAnsi="宋体" w:cs="宋体"/>
          <w:kern w:val="0"/>
          <w:szCs w:val="21"/>
        </w:rPr>
        <w:t>，项目出资比例为</w:t>
      </w:r>
      <w:r>
        <w:rPr>
          <w:rFonts w:ascii="宋体" w:hAnsi="宋体" w:cs="宋体"/>
          <w:kern w:val="0"/>
          <w:szCs w:val="21"/>
          <w:u w:val="single"/>
        </w:rPr>
        <w:t>100%</w:t>
      </w:r>
      <w:r>
        <w:rPr>
          <w:rFonts w:hint="eastAsia" w:ascii="宋体" w:hAnsi="宋体" w:cs="宋体"/>
          <w:kern w:val="0"/>
          <w:szCs w:val="21"/>
          <w:u w:val="single"/>
        </w:rPr>
        <w:t>国有资金</w:t>
      </w:r>
      <w:r>
        <w:rPr>
          <w:rFonts w:hint="eastAsia" w:ascii="宋体" w:hAnsi="宋体" w:cs="宋体"/>
          <w:kern w:val="0"/>
          <w:szCs w:val="21"/>
        </w:rPr>
        <w:t>；本项目已具备谈判采购条件，现对重庆天泽新材料有限公司F07高性能玻璃纤维生产线设备更新及技术改造项目拆除工程进行公开谈判采购，特邀有兴趣的潜在单位参与谈判采购。</w:t>
      </w:r>
    </w:p>
    <w:p w14:paraId="699D60E7">
      <w:pPr>
        <w:spacing w:line="440" w:lineRule="exact"/>
        <w:jc w:val="left"/>
        <w:outlineLvl w:val="0"/>
        <w:rPr>
          <w:rFonts w:ascii="宋体" w:hAnsi="宋体"/>
          <w:b/>
          <w:snapToGrid w:val="0"/>
          <w:kern w:val="0"/>
          <w:szCs w:val="21"/>
        </w:rPr>
      </w:pPr>
      <w:bookmarkStart w:id="22" w:name="_Toc24224"/>
      <w:bookmarkStart w:id="23" w:name="_Toc20027"/>
      <w:bookmarkStart w:id="24" w:name="_Toc6552"/>
      <w:bookmarkStart w:id="25" w:name="_Toc18911"/>
      <w:bookmarkStart w:id="26" w:name="_Toc31685"/>
      <w:bookmarkStart w:id="27" w:name="_Toc19590"/>
      <w:bookmarkStart w:id="28" w:name="_Toc16188"/>
      <w:bookmarkStart w:id="29" w:name="_Toc29348"/>
      <w:bookmarkStart w:id="30" w:name="_Toc8077"/>
      <w:bookmarkStart w:id="31" w:name="_Toc17916"/>
      <w:r>
        <w:rPr>
          <w:rFonts w:hint="eastAsia" w:ascii="宋体" w:hAnsi="宋体"/>
          <w:b/>
          <w:snapToGrid w:val="0"/>
          <w:kern w:val="0"/>
          <w:szCs w:val="21"/>
        </w:rPr>
        <w:t>2. 项目概况与采购范围</w:t>
      </w:r>
      <w:bookmarkEnd w:id="22"/>
      <w:bookmarkEnd w:id="23"/>
      <w:bookmarkEnd w:id="24"/>
      <w:bookmarkEnd w:id="25"/>
      <w:bookmarkEnd w:id="26"/>
      <w:bookmarkEnd w:id="27"/>
      <w:bookmarkEnd w:id="28"/>
      <w:bookmarkEnd w:id="29"/>
      <w:bookmarkEnd w:id="30"/>
      <w:bookmarkEnd w:id="31"/>
    </w:p>
    <w:p w14:paraId="4EC53984">
      <w:pPr>
        <w:widowControl/>
        <w:tabs>
          <w:tab w:val="left" w:pos="8208"/>
          <w:tab w:val="left" w:pos="9072"/>
        </w:tabs>
        <w:suppressAutoHyphens/>
        <w:spacing w:line="440" w:lineRule="exact"/>
        <w:rPr>
          <w:rFonts w:ascii="宋体" w:hAnsi="宋体" w:cs="宋体"/>
          <w:bCs/>
          <w:kern w:val="0"/>
          <w:szCs w:val="21"/>
          <w:u w:val="single"/>
        </w:rPr>
      </w:pPr>
      <w:r>
        <w:rPr>
          <w:rFonts w:hint="eastAsia" w:ascii="宋体" w:hAnsi="宋体" w:cs="宋体"/>
          <w:kern w:val="0"/>
          <w:szCs w:val="21"/>
        </w:rPr>
        <w:t>2.1 项目名称：</w:t>
      </w:r>
      <w:r>
        <w:rPr>
          <w:rFonts w:hint="eastAsia" w:ascii="宋体" w:hAnsi="宋体" w:cs="宋体"/>
          <w:kern w:val="0"/>
          <w:szCs w:val="21"/>
          <w:u w:val="single"/>
        </w:rPr>
        <w:t>F07高性能玻璃纤维生产线设备更新及技术改造项目拆除工程</w:t>
      </w:r>
    </w:p>
    <w:p w14:paraId="27CA1F07">
      <w:pPr>
        <w:topLinePunct/>
        <w:adjustRightInd w:val="0"/>
        <w:snapToGrid w:val="0"/>
        <w:spacing w:line="440" w:lineRule="exact"/>
        <w:rPr>
          <w:rFonts w:ascii="宋体" w:hAnsi="宋体"/>
          <w:color w:val="000000" w:themeColor="text1"/>
          <w:szCs w:val="21"/>
          <w14:textFill>
            <w14:solidFill>
              <w14:schemeClr w14:val="tx1"/>
            </w14:solidFill>
          </w14:textFill>
        </w:rPr>
      </w:pPr>
      <w:r>
        <w:rPr>
          <w:rFonts w:hint="eastAsia" w:ascii="宋体" w:hAnsi="宋体"/>
          <w:color w:val="000000"/>
          <w:szCs w:val="21"/>
        </w:rPr>
        <w:t>2.2 采购范围：</w:t>
      </w:r>
      <w:r>
        <w:rPr>
          <w:rFonts w:hint="eastAsia" w:ascii="宋体" w:hAnsi="宋体" w:cs="宋体"/>
          <w:color w:val="000000" w:themeColor="text1"/>
          <w:kern w:val="0"/>
          <w:szCs w:val="21"/>
          <w:u w:val="single"/>
          <w14:textFill>
            <w14:solidFill>
              <w14:schemeClr w14:val="tx1"/>
            </w14:solidFill>
          </w14:textFill>
        </w:rPr>
        <w:t>对F07线厂区包含但不限于钢结构拆除工程、装饰拆除工程、电气拆除工程、管道拆除工程、消防拆除工程、设备拆除工程、建筑拆除工程等，具体详见谈判采购文件及其附件，提供本工程的拆除内容及要求明确的资料、堆放区域明确的资料、堆放要求明确的资料及现场踏勘沟通及回复的要求。</w:t>
      </w:r>
    </w:p>
    <w:p w14:paraId="443BF7CB">
      <w:pPr>
        <w:topLinePunct/>
        <w:adjustRightInd w:val="0"/>
        <w:snapToGrid w:val="0"/>
        <w:spacing w:line="440" w:lineRule="exact"/>
        <w:rPr>
          <w:rFonts w:ascii="宋体" w:hAnsi="宋体"/>
          <w:szCs w:val="21"/>
        </w:rPr>
      </w:pPr>
      <w:r>
        <w:rPr>
          <w:rFonts w:hint="eastAsia" w:ascii="宋体" w:hAnsi="宋体"/>
          <w:szCs w:val="21"/>
        </w:rPr>
        <w:t>2.3 服务/施工时间：</w:t>
      </w:r>
      <w:r>
        <w:rPr>
          <w:rFonts w:hint="eastAsia" w:ascii="宋体" w:hAnsi="宋体" w:cs="宋体"/>
          <w:kern w:val="0"/>
          <w:szCs w:val="21"/>
          <w:u w:val="single"/>
        </w:rPr>
        <w:t>　工期总日历天数：</w:t>
      </w:r>
      <w:r>
        <w:rPr>
          <w:rFonts w:ascii="宋体" w:hAnsi="宋体" w:cs="宋体"/>
          <w:kern w:val="0"/>
          <w:szCs w:val="21"/>
          <w:u w:val="single"/>
        </w:rPr>
        <w:t>20</w:t>
      </w:r>
      <w:r>
        <w:rPr>
          <w:rFonts w:hint="eastAsia" w:ascii="宋体" w:hAnsi="宋体" w:cs="宋体"/>
          <w:kern w:val="0"/>
          <w:szCs w:val="21"/>
          <w:u w:val="single"/>
        </w:rPr>
        <w:t>天。节点工期：机修车间开工后5天内完成相应的拆除工作。　</w:t>
      </w:r>
    </w:p>
    <w:p w14:paraId="341DB06F">
      <w:pPr>
        <w:topLinePunct/>
        <w:adjustRightInd w:val="0"/>
        <w:snapToGrid w:val="0"/>
        <w:spacing w:line="440" w:lineRule="exact"/>
        <w:rPr>
          <w:rFonts w:ascii="宋体" w:hAnsi="宋体"/>
          <w:szCs w:val="21"/>
        </w:rPr>
      </w:pPr>
      <w:r>
        <w:rPr>
          <w:rFonts w:hint="eastAsia" w:ascii="宋体" w:hAnsi="宋体"/>
          <w:szCs w:val="21"/>
        </w:rPr>
        <w:t>2.服务/施工地点：重庆天泽新材料有限公司长寿经济技术开发区齐心大道25号。</w:t>
      </w:r>
    </w:p>
    <w:p w14:paraId="71B5D191">
      <w:pPr>
        <w:topLinePunct/>
        <w:adjustRightInd w:val="0"/>
        <w:snapToGrid w:val="0"/>
        <w:spacing w:line="440" w:lineRule="exact"/>
        <w:rPr>
          <w:rFonts w:ascii="宋体" w:hAnsi="宋体"/>
          <w:szCs w:val="21"/>
        </w:rPr>
      </w:pPr>
      <w:r>
        <w:rPr>
          <w:rFonts w:hint="eastAsia" w:ascii="宋体" w:hAnsi="宋体"/>
          <w:szCs w:val="21"/>
        </w:rPr>
        <w:t xml:space="preserve">2.5 </w:t>
      </w:r>
      <w:r>
        <w:rPr>
          <w:rFonts w:hint="eastAsia" w:ascii="宋体" w:hAnsi="宋体" w:cs="宋体"/>
          <w:kern w:val="0"/>
          <w:szCs w:val="21"/>
        </w:rPr>
        <w:t>该项目设置最高限价：人民币</w:t>
      </w:r>
      <w:r>
        <w:rPr>
          <w:rFonts w:ascii="宋体" w:hAnsi="宋体" w:cs="宋体"/>
          <w:kern w:val="0"/>
          <w:szCs w:val="21"/>
          <w:u w:val="single"/>
        </w:rPr>
        <w:t xml:space="preserve"> </w:t>
      </w:r>
      <w:r>
        <w:rPr>
          <w:rFonts w:hint="eastAsia" w:ascii="宋体" w:hAnsi="宋体" w:cs="宋体"/>
          <w:kern w:val="0"/>
          <w:szCs w:val="21"/>
          <w:u w:val="single"/>
        </w:rPr>
        <w:t>1</w:t>
      </w:r>
      <w:r>
        <w:rPr>
          <w:rFonts w:ascii="宋体" w:hAnsi="宋体" w:cs="宋体"/>
          <w:kern w:val="0"/>
          <w:szCs w:val="21"/>
          <w:u w:val="single"/>
        </w:rPr>
        <w:t>3</w:t>
      </w:r>
      <w:r>
        <w:rPr>
          <w:rFonts w:hint="eastAsia" w:ascii="宋体" w:hAnsi="宋体" w:cs="宋体"/>
          <w:kern w:val="0"/>
          <w:szCs w:val="21"/>
          <w:u w:val="single"/>
        </w:rPr>
        <w:t>6.00</w:t>
      </w:r>
      <w:r>
        <w:rPr>
          <w:rFonts w:ascii="宋体" w:hAnsi="宋体" w:cs="宋体"/>
          <w:kern w:val="0"/>
          <w:szCs w:val="21"/>
          <w:u w:val="single"/>
        </w:rPr>
        <w:t xml:space="preserve">  </w:t>
      </w:r>
      <w:r>
        <w:rPr>
          <w:rFonts w:hint="eastAsia" w:ascii="宋体" w:hAnsi="宋体" w:cs="宋体"/>
          <w:kern w:val="0"/>
          <w:szCs w:val="21"/>
        </w:rPr>
        <w:t>万元，所有单位报价不得超过最高限价，</w:t>
      </w:r>
      <w:r>
        <w:rPr>
          <w:rFonts w:hint="eastAsia" w:ascii="宋体" w:hAnsi="宋体" w:cs="宋体"/>
          <w:szCs w:val="21"/>
        </w:rPr>
        <w:t>该最高限价的范围包括卖方为完成合同全部义务应承担的一切成本、费用和支出以及卖方的合理利润。（包括但不限于材料款、安装费、包装费、上车费、运费、卸货费、运输保险费</w:t>
      </w:r>
      <w:r>
        <w:rPr>
          <w:rFonts w:hint="eastAsia" w:ascii="宋体" w:hAnsi="宋体"/>
          <w:szCs w:val="21"/>
        </w:rPr>
        <w:t>材料到厂后卸货至买方指定地点</w:t>
      </w:r>
      <w:r>
        <w:rPr>
          <w:rFonts w:hint="eastAsia" w:ascii="宋体" w:hAnsi="宋体" w:cs="宋体"/>
          <w:szCs w:val="21"/>
        </w:rPr>
        <w:t>）</w:t>
      </w:r>
    </w:p>
    <w:p w14:paraId="5949CEE9">
      <w:pPr>
        <w:topLinePunct/>
        <w:adjustRightInd w:val="0"/>
        <w:snapToGrid w:val="0"/>
        <w:spacing w:line="440" w:lineRule="exact"/>
        <w:rPr>
          <w:rFonts w:ascii="宋体" w:hAnsi="宋体"/>
          <w:szCs w:val="21"/>
        </w:rPr>
      </w:pPr>
      <w:r>
        <w:rPr>
          <w:rFonts w:hint="eastAsia" w:ascii="宋体" w:hAnsi="宋体"/>
          <w:szCs w:val="21"/>
        </w:rPr>
        <w:t>2.6 付款方式：</w:t>
      </w:r>
    </w:p>
    <w:p w14:paraId="0270F3F3">
      <w:pPr>
        <w:spacing w:line="440" w:lineRule="exact"/>
        <w:ind w:firstLine="420" w:firstLineChars="200"/>
        <w:jc w:val="left"/>
        <w:outlineLvl w:val="0"/>
        <w:rPr>
          <w:rFonts w:ascii="宋体" w:hAnsi="宋体" w:cs="宋体"/>
          <w:color w:val="000000" w:themeColor="text1"/>
          <w14:textFill>
            <w14:solidFill>
              <w14:schemeClr w14:val="tx1"/>
            </w14:solidFill>
          </w14:textFill>
        </w:rPr>
      </w:pPr>
      <w:bookmarkStart w:id="32" w:name="_Toc25025"/>
      <w:bookmarkStart w:id="33" w:name="_Toc22086"/>
      <w:bookmarkStart w:id="34" w:name="_Toc14373"/>
      <w:bookmarkStart w:id="35" w:name="_Toc21527"/>
      <w:bookmarkStart w:id="36" w:name="_Toc25935"/>
      <w:bookmarkStart w:id="37" w:name="_Toc29166"/>
      <w:bookmarkStart w:id="38" w:name="_Toc20349"/>
      <w:bookmarkStart w:id="39" w:name="_Toc8793"/>
      <w:bookmarkStart w:id="40" w:name="_Toc9431"/>
      <w:bookmarkStart w:id="41" w:name="_Toc18439"/>
      <w:r>
        <w:rPr>
          <w:rFonts w:hint="eastAsia" w:ascii="宋体" w:hAnsi="宋体" w:cs="宋体"/>
          <w:color w:val="000000" w:themeColor="text1"/>
          <w14:textFill>
            <w14:solidFill>
              <w14:schemeClr w14:val="tx1"/>
            </w14:solidFill>
          </w14:textFill>
        </w:rPr>
        <w:t>采购人的支付方式约定为银行承兑汇票；如若付款方式调整为电汇付款（银行转账），则成交人对采购人的支付金额给予 1%的现金折扣（其中，需付至农民工工资专户的农民工工资和配置票据后付款尾差≤5000 元的现金支付部分不享受该现金折扣）。</w:t>
      </w:r>
    </w:p>
    <w:p w14:paraId="1AAD6F27">
      <w:pPr>
        <w:spacing w:line="440" w:lineRule="exact"/>
        <w:jc w:val="left"/>
        <w:outlineLvl w:val="0"/>
        <w:rPr>
          <w:rFonts w:ascii="宋体" w:hAnsi="宋体"/>
          <w:b/>
          <w:snapToGrid w:val="0"/>
          <w:kern w:val="0"/>
          <w:szCs w:val="21"/>
        </w:rPr>
      </w:pPr>
      <w:r>
        <w:rPr>
          <w:rFonts w:hint="eastAsia" w:ascii="宋体" w:hAnsi="宋体"/>
          <w:b/>
          <w:snapToGrid w:val="0"/>
          <w:kern w:val="0"/>
          <w:szCs w:val="21"/>
        </w:rPr>
        <w:t>3. 供应商资格要求</w:t>
      </w:r>
    </w:p>
    <w:p w14:paraId="2AD5609D">
      <w:pPr>
        <w:topLinePunct/>
        <w:adjustRightInd w:val="0"/>
        <w:snapToGrid w:val="0"/>
        <w:spacing w:line="440" w:lineRule="exact"/>
        <w:rPr>
          <w:rFonts w:ascii="宋体" w:hAnsi="宋体"/>
          <w:szCs w:val="21"/>
        </w:rPr>
      </w:pPr>
      <w:r>
        <w:rPr>
          <w:rFonts w:hint="eastAsia" w:ascii="宋体" w:hAnsi="宋体"/>
          <w:szCs w:val="21"/>
        </w:rPr>
        <w:t>3.1本次谈判采购实行资格后审，供应商应满足下列资格条件：</w:t>
      </w:r>
    </w:p>
    <w:p w14:paraId="4D5F0BB1">
      <w:pPr>
        <w:topLinePunct/>
        <w:adjustRightInd w:val="0"/>
        <w:snapToGrid w:val="0"/>
        <w:spacing w:line="440" w:lineRule="exact"/>
        <w:rPr>
          <w:rFonts w:ascii="宋体" w:hAnsi="宋体"/>
          <w:color w:val="000000" w:themeColor="text1"/>
          <w:kern w:val="0"/>
          <w:szCs w:val="21"/>
          <w14:textFill>
            <w14:solidFill>
              <w14:schemeClr w14:val="tx1"/>
            </w14:solidFill>
          </w14:textFill>
        </w:rPr>
      </w:pPr>
      <w:r>
        <w:rPr>
          <w:rFonts w:hint="eastAsia" w:ascii="宋体" w:hAnsi="宋体"/>
          <w:color w:val="000000" w:themeColor="text1"/>
          <w:kern w:val="0"/>
          <w:szCs w:val="21"/>
          <w14:textFill>
            <w14:solidFill>
              <w14:schemeClr w14:val="tx1"/>
            </w14:solidFill>
          </w14:textFill>
        </w:rPr>
        <w:t>3.1.11.</w:t>
      </w:r>
      <w:r>
        <w:rPr>
          <w:rFonts w:hint="eastAsia" w:ascii="宋体" w:hAnsi="宋体"/>
          <w:color w:val="000000" w:themeColor="text1"/>
          <w:kern w:val="0"/>
          <w:szCs w:val="21"/>
          <w:lang w:eastAsia="zh-CN"/>
          <w14:textFill>
            <w14:solidFill>
              <w14:schemeClr w14:val="tx1"/>
            </w14:solidFill>
          </w14:textFill>
        </w:rPr>
        <w:t>报价人</w:t>
      </w:r>
      <w:r>
        <w:rPr>
          <w:rFonts w:hint="eastAsia" w:ascii="宋体" w:hAnsi="宋体"/>
          <w:color w:val="000000" w:themeColor="text1"/>
          <w:kern w:val="0"/>
          <w:szCs w:val="21"/>
          <w14:textFill>
            <w14:solidFill>
              <w14:schemeClr w14:val="tx1"/>
            </w14:solidFill>
          </w14:textFill>
        </w:rPr>
        <w:t>具备有效的营业执照，中国境内依法注册的独立法人并具有独立</w:t>
      </w:r>
    </w:p>
    <w:p w14:paraId="6CAA2A8A">
      <w:pPr>
        <w:topLinePunct/>
        <w:adjustRightInd w:val="0"/>
        <w:snapToGrid w:val="0"/>
        <w:spacing w:line="440" w:lineRule="exact"/>
        <w:rPr>
          <w:rFonts w:ascii="宋体" w:hAnsi="宋体"/>
          <w:color w:val="000000" w:themeColor="text1"/>
          <w:kern w:val="0"/>
          <w:szCs w:val="21"/>
          <w14:textFill>
            <w14:solidFill>
              <w14:schemeClr w14:val="tx1"/>
            </w14:solidFill>
          </w14:textFill>
        </w:rPr>
      </w:pPr>
      <w:r>
        <w:rPr>
          <w:rFonts w:hint="eastAsia" w:ascii="宋体" w:hAnsi="宋体"/>
          <w:color w:val="000000" w:themeColor="text1"/>
          <w:kern w:val="0"/>
          <w:szCs w:val="21"/>
          <w14:textFill>
            <w14:solidFill>
              <w14:schemeClr w14:val="tx1"/>
            </w14:solidFill>
          </w14:textFill>
        </w:rPr>
        <w:t>承担民事责任的能力。</w:t>
      </w:r>
    </w:p>
    <w:p w14:paraId="60BB0EDB">
      <w:pPr>
        <w:topLinePunct/>
        <w:adjustRightInd w:val="0"/>
        <w:snapToGrid w:val="0"/>
        <w:spacing w:line="440" w:lineRule="exact"/>
        <w:rPr>
          <w:rFonts w:ascii="宋体" w:hAnsi="宋体"/>
          <w:color w:val="000000" w:themeColor="text1"/>
          <w:kern w:val="0"/>
          <w:szCs w:val="21"/>
          <w14:textFill>
            <w14:solidFill>
              <w14:schemeClr w14:val="tx1"/>
            </w14:solidFill>
          </w14:textFill>
        </w:rPr>
      </w:pPr>
      <w:r>
        <w:rPr>
          <w:rFonts w:hint="eastAsia" w:ascii="宋体" w:hAnsi="宋体"/>
          <w:color w:val="000000" w:themeColor="text1"/>
          <w:kern w:val="0"/>
          <w:szCs w:val="21"/>
          <w14:textFill>
            <w14:solidFill>
              <w14:schemeClr w14:val="tx1"/>
            </w14:solidFill>
          </w14:textFill>
        </w:rPr>
        <w:t>2.</w:t>
      </w:r>
      <w:r>
        <w:rPr>
          <w:rFonts w:hint="eastAsia" w:ascii="宋体" w:hAnsi="宋体"/>
          <w:color w:val="000000" w:themeColor="text1"/>
          <w:kern w:val="0"/>
          <w:szCs w:val="21"/>
          <w:lang w:eastAsia="zh-CN"/>
          <w14:textFill>
            <w14:solidFill>
              <w14:schemeClr w14:val="tx1"/>
            </w14:solidFill>
          </w14:textFill>
        </w:rPr>
        <w:t>报价人</w:t>
      </w:r>
      <w:r>
        <w:rPr>
          <w:rFonts w:hint="eastAsia" w:ascii="宋体" w:hAnsi="宋体"/>
          <w:color w:val="000000" w:themeColor="text1"/>
          <w:kern w:val="0"/>
          <w:szCs w:val="21"/>
          <w14:textFill>
            <w14:solidFill>
              <w14:schemeClr w14:val="tx1"/>
            </w14:solidFill>
          </w14:textFill>
        </w:rPr>
        <w:t>具备建设行政主管部门颁发的建筑机电安装工程专业承包叁级及</w:t>
      </w:r>
    </w:p>
    <w:p w14:paraId="6D2CB9D0">
      <w:pPr>
        <w:topLinePunct/>
        <w:adjustRightInd w:val="0"/>
        <w:snapToGrid w:val="0"/>
        <w:spacing w:line="440" w:lineRule="exact"/>
        <w:rPr>
          <w:rFonts w:ascii="宋体" w:hAnsi="宋体"/>
          <w:color w:val="000000" w:themeColor="text1"/>
          <w:kern w:val="0"/>
          <w:szCs w:val="21"/>
          <w14:textFill>
            <w14:solidFill>
              <w14:schemeClr w14:val="tx1"/>
            </w14:solidFill>
          </w14:textFill>
        </w:rPr>
      </w:pPr>
      <w:r>
        <w:rPr>
          <w:rFonts w:hint="eastAsia" w:ascii="宋体" w:hAnsi="宋体"/>
          <w:color w:val="000000" w:themeColor="text1"/>
          <w:kern w:val="0"/>
          <w:szCs w:val="21"/>
          <w14:textFill>
            <w14:solidFill>
              <w14:schemeClr w14:val="tx1"/>
            </w14:solidFill>
          </w14:textFill>
        </w:rPr>
        <w:t>以上资质。</w:t>
      </w:r>
    </w:p>
    <w:p w14:paraId="498B78B1">
      <w:pPr>
        <w:topLinePunct/>
        <w:adjustRightInd w:val="0"/>
        <w:snapToGrid w:val="0"/>
        <w:spacing w:line="440" w:lineRule="exact"/>
        <w:rPr>
          <w:rFonts w:ascii="宋体" w:hAnsi="宋体"/>
          <w:color w:val="000000" w:themeColor="text1"/>
          <w:kern w:val="0"/>
          <w:szCs w:val="21"/>
          <w14:textFill>
            <w14:solidFill>
              <w14:schemeClr w14:val="tx1"/>
            </w14:solidFill>
          </w14:textFill>
        </w:rPr>
      </w:pPr>
      <w:r>
        <w:rPr>
          <w:rFonts w:hint="eastAsia" w:ascii="宋体" w:hAnsi="宋体"/>
          <w:color w:val="000000" w:themeColor="text1"/>
          <w:kern w:val="0"/>
          <w:szCs w:val="21"/>
          <w14:textFill>
            <w14:solidFill>
              <w14:schemeClr w14:val="tx1"/>
            </w14:solidFill>
          </w14:textFill>
        </w:rPr>
        <w:t>3.项目经理须已在竞标人单位注册，并具有机电工程专业二级及以上注册建</w:t>
      </w:r>
    </w:p>
    <w:p w14:paraId="62861E29">
      <w:pPr>
        <w:topLinePunct/>
        <w:adjustRightInd w:val="0"/>
        <w:snapToGrid w:val="0"/>
        <w:spacing w:line="440" w:lineRule="exact"/>
        <w:rPr>
          <w:rFonts w:ascii="宋体" w:hAnsi="宋体"/>
          <w:color w:val="000000" w:themeColor="text1"/>
          <w:kern w:val="0"/>
          <w:szCs w:val="21"/>
          <w14:textFill>
            <w14:solidFill>
              <w14:schemeClr w14:val="tx1"/>
            </w14:solidFill>
          </w14:textFill>
        </w:rPr>
      </w:pPr>
      <w:r>
        <w:rPr>
          <w:rFonts w:hint="eastAsia" w:ascii="宋体" w:hAnsi="宋体"/>
          <w:color w:val="000000" w:themeColor="text1"/>
          <w:kern w:val="0"/>
          <w:szCs w:val="21"/>
          <w14:textFill>
            <w14:solidFill>
              <w14:schemeClr w14:val="tx1"/>
            </w14:solidFill>
          </w14:textFill>
        </w:rPr>
        <w:t>造师执业资格证书。（项目经理应附执业资格证，竞标单位应至少提供缴纳</w:t>
      </w:r>
    </w:p>
    <w:p w14:paraId="30EF9681">
      <w:pPr>
        <w:topLinePunct/>
        <w:adjustRightInd w:val="0"/>
        <w:snapToGrid w:val="0"/>
        <w:spacing w:line="440" w:lineRule="exact"/>
        <w:rPr>
          <w:rFonts w:ascii="宋体" w:hAnsi="宋体"/>
          <w:color w:val="000000" w:themeColor="text1"/>
          <w:kern w:val="0"/>
          <w:szCs w:val="21"/>
          <w14:textFill>
            <w14:solidFill>
              <w14:schemeClr w14:val="tx1"/>
            </w14:solidFill>
          </w14:textFill>
        </w:rPr>
      </w:pPr>
      <w:r>
        <w:rPr>
          <w:rFonts w:hint="eastAsia" w:ascii="宋体" w:hAnsi="宋体"/>
          <w:color w:val="000000" w:themeColor="text1"/>
          <w:kern w:val="0"/>
          <w:szCs w:val="21"/>
          <w14:textFill>
            <w14:solidFill>
              <w14:schemeClr w14:val="tx1"/>
            </w14:solidFill>
          </w14:textFill>
        </w:rPr>
        <w:t>的最近3个月社保证明复印件并加盖申请人单位公章。）</w:t>
      </w:r>
    </w:p>
    <w:p w14:paraId="30482F97">
      <w:pPr>
        <w:topLinePunct/>
        <w:adjustRightInd w:val="0"/>
        <w:snapToGrid w:val="0"/>
        <w:spacing w:line="440" w:lineRule="exact"/>
        <w:rPr>
          <w:rFonts w:ascii="宋体" w:hAnsi="宋体"/>
          <w:color w:val="000000" w:themeColor="text1"/>
          <w:kern w:val="0"/>
          <w:szCs w:val="21"/>
          <w14:textFill>
            <w14:solidFill>
              <w14:schemeClr w14:val="tx1"/>
            </w14:solidFill>
          </w14:textFill>
        </w:rPr>
      </w:pPr>
      <w:r>
        <w:rPr>
          <w:rFonts w:hint="eastAsia" w:ascii="宋体" w:hAnsi="宋体"/>
          <w:color w:val="000000" w:themeColor="text1"/>
          <w:kern w:val="0"/>
          <w:szCs w:val="21"/>
          <w14:textFill>
            <w14:solidFill>
              <w14:schemeClr w14:val="tx1"/>
            </w14:solidFill>
          </w14:textFill>
        </w:rPr>
        <w:t>4.未被有关行政部门暂停投标资格，或被有关行政部门暂停投标资格期限未</w:t>
      </w:r>
    </w:p>
    <w:p w14:paraId="694DF730">
      <w:pPr>
        <w:topLinePunct/>
        <w:adjustRightInd w:val="0"/>
        <w:snapToGrid w:val="0"/>
        <w:spacing w:line="440" w:lineRule="exact"/>
        <w:rPr>
          <w:rFonts w:ascii="宋体" w:hAnsi="宋体"/>
          <w:color w:val="000000" w:themeColor="text1"/>
          <w:kern w:val="0"/>
          <w:szCs w:val="21"/>
          <w14:textFill>
            <w14:solidFill>
              <w14:schemeClr w14:val="tx1"/>
            </w14:solidFill>
          </w14:textFill>
        </w:rPr>
      </w:pPr>
      <w:r>
        <w:rPr>
          <w:rFonts w:hint="eastAsia" w:ascii="宋体" w:hAnsi="宋体"/>
          <w:color w:val="000000" w:themeColor="text1"/>
          <w:kern w:val="0"/>
          <w:szCs w:val="21"/>
          <w14:textFill>
            <w14:solidFill>
              <w14:schemeClr w14:val="tx1"/>
            </w14:solidFill>
          </w14:textFill>
        </w:rPr>
        <w:t>满，不得在近两年内申请人或其法定代表人有行贿犯罪行为和不得在国家企</w:t>
      </w:r>
    </w:p>
    <w:p w14:paraId="0329C17B">
      <w:pPr>
        <w:topLinePunct/>
        <w:adjustRightInd w:val="0"/>
        <w:snapToGrid w:val="0"/>
        <w:spacing w:line="440" w:lineRule="exact"/>
        <w:rPr>
          <w:rFonts w:ascii="宋体" w:hAnsi="宋体"/>
          <w:color w:val="000000" w:themeColor="text1"/>
          <w:kern w:val="0"/>
          <w:szCs w:val="21"/>
          <w14:textFill>
            <w14:solidFill>
              <w14:schemeClr w14:val="tx1"/>
            </w14:solidFill>
          </w14:textFill>
        </w:rPr>
      </w:pPr>
      <w:r>
        <w:rPr>
          <w:rFonts w:hint="eastAsia" w:ascii="宋体" w:hAnsi="宋体"/>
          <w:color w:val="000000" w:themeColor="text1"/>
          <w:kern w:val="0"/>
          <w:szCs w:val="21"/>
          <w14:textFill>
            <w14:solidFill>
              <w14:schemeClr w14:val="tx1"/>
            </w14:solidFill>
          </w14:textFill>
        </w:rPr>
        <w:t>业信用信息公示系统“http://www.gsxt.gov.cn/index.html”列入严重违</w:t>
      </w:r>
    </w:p>
    <w:p w14:paraId="5CD51B93">
      <w:pPr>
        <w:topLinePunct/>
        <w:adjustRightInd w:val="0"/>
        <w:snapToGrid w:val="0"/>
        <w:spacing w:line="440" w:lineRule="exact"/>
        <w:rPr>
          <w:rFonts w:ascii="宋体" w:hAnsi="宋体"/>
          <w:color w:val="000000" w:themeColor="text1"/>
          <w:kern w:val="0"/>
          <w:szCs w:val="21"/>
          <w14:textFill>
            <w14:solidFill>
              <w14:schemeClr w14:val="tx1"/>
            </w14:solidFill>
          </w14:textFill>
        </w:rPr>
      </w:pPr>
      <w:r>
        <w:rPr>
          <w:rFonts w:hint="eastAsia" w:ascii="宋体" w:hAnsi="宋体"/>
          <w:color w:val="000000" w:themeColor="text1"/>
          <w:kern w:val="0"/>
          <w:szCs w:val="21"/>
          <w14:textFill>
            <w14:solidFill>
              <w14:schemeClr w14:val="tx1"/>
            </w14:solidFill>
          </w14:textFill>
        </w:rPr>
        <w:t>法企业失信名单。</w:t>
      </w:r>
    </w:p>
    <w:p w14:paraId="084EA52B">
      <w:pPr>
        <w:topLinePunct/>
        <w:adjustRightInd w:val="0"/>
        <w:snapToGrid w:val="0"/>
        <w:spacing w:line="440" w:lineRule="exact"/>
        <w:rPr>
          <w:rFonts w:ascii="宋体" w:hAnsi="宋体"/>
          <w:color w:val="000000" w:themeColor="text1"/>
          <w:kern w:val="0"/>
          <w:szCs w:val="21"/>
          <w:highlight w:val="yellow"/>
          <w14:textFill>
            <w14:solidFill>
              <w14:schemeClr w14:val="tx1"/>
            </w14:solidFill>
          </w14:textFill>
        </w:rPr>
      </w:pPr>
      <w:r>
        <w:rPr>
          <w:rFonts w:hint="eastAsia" w:ascii="宋体" w:hAnsi="宋体"/>
          <w:color w:val="000000" w:themeColor="text1"/>
          <w:kern w:val="0"/>
          <w:szCs w:val="21"/>
          <w14:textFill>
            <w14:solidFill>
              <w14:schemeClr w14:val="tx1"/>
            </w14:solidFill>
          </w14:textFill>
        </w:rPr>
        <w:t>（申请人网上截图、并承诺无以上情形之一）</w:t>
      </w:r>
    </w:p>
    <w:p w14:paraId="49A283C1">
      <w:pPr>
        <w:spacing w:line="440" w:lineRule="exact"/>
        <w:jc w:val="left"/>
        <w:outlineLvl w:val="0"/>
        <w:rPr>
          <w:rFonts w:ascii="宋体" w:hAnsi="宋体"/>
          <w:b/>
          <w:snapToGrid w:val="0"/>
          <w:kern w:val="0"/>
          <w:szCs w:val="21"/>
        </w:rPr>
      </w:pPr>
      <w:r>
        <w:rPr>
          <w:rFonts w:hint="eastAsia" w:ascii="宋体" w:hAnsi="宋体"/>
          <w:b/>
          <w:snapToGrid w:val="0"/>
          <w:kern w:val="0"/>
          <w:szCs w:val="21"/>
        </w:rPr>
        <w:t xml:space="preserve">4. </w:t>
      </w:r>
      <w:bookmarkEnd w:id="32"/>
      <w:bookmarkEnd w:id="33"/>
      <w:bookmarkEnd w:id="34"/>
      <w:bookmarkEnd w:id="35"/>
      <w:bookmarkEnd w:id="36"/>
      <w:bookmarkEnd w:id="37"/>
      <w:bookmarkEnd w:id="38"/>
      <w:bookmarkEnd w:id="39"/>
      <w:bookmarkEnd w:id="40"/>
      <w:bookmarkEnd w:id="41"/>
      <w:r>
        <w:rPr>
          <w:rFonts w:hint="eastAsia" w:ascii="宋体" w:hAnsi="宋体"/>
          <w:b/>
          <w:snapToGrid w:val="0"/>
          <w:kern w:val="0"/>
          <w:szCs w:val="21"/>
        </w:rPr>
        <w:t>谈判采购规则</w:t>
      </w:r>
    </w:p>
    <w:p w14:paraId="65B381D7">
      <w:pPr>
        <w:topLinePunct/>
        <w:adjustRightInd w:val="0"/>
        <w:snapToGrid w:val="0"/>
        <w:spacing w:line="440" w:lineRule="exact"/>
        <w:rPr>
          <w:rFonts w:ascii="宋体" w:hAnsi="宋体"/>
          <w:color w:val="000000"/>
          <w:szCs w:val="21"/>
        </w:rPr>
      </w:pPr>
      <w:r>
        <w:rPr>
          <w:rFonts w:hint="eastAsia" w:ascii="宋体" w:hAnsi="宋体"/>
          <w:color w:val="000000"/>
          <w:szCs w:val="21"/>
        </w:rPr>
        <w:t>4.1谈判文件要求密封，并加盖供应商单位公章。</w:t>
      </w:r>
    </w:p>
    <w:p w14:paraId="7BF573B3">
      <w:pPr>
        <w:topLinePunct/>
        <w:adjustRightInd w:val="0"/>
        <w:snapToGrid w:val="0"/>
        <w:spacing w:line="440" w:lineRule="exact"/>
        <w:rPr>
          <w:rFonts w:ascii="宋体" w:hAnsi="宋体"/>
          <w:color w:val="000000"/>
          <w:szCs w:val="21"/>
        </w:rPr>
      </w:pPr>
      <w:r>
        <w:rPr>
          <w:rFonts w:hint="eastAsia" w:ascii="宋体" w:hAnsi="宋体"/>
          <w:color w:val="000000"/>
          <w:szCs w:val="21"/>
        </w:rPr>
        <w:t>4.2供应商</w:t>
      </w:r>
      <w:r>
        <w:rPr>
          <w:rFonts w:hint="eastAsia" w:ascii="宋体" w:hAnsi="宋体" w:cs="宋体"/>
          <w:color w:val="000000"/>
          <w:szCs w:val="21"/>
        </w:rPr>
        <w:t>应根据自身实力和对谈判采购文件技术参数的理解，结合市场行情自主报价</w:t>
      </w:r>
      <w:r>
        <w:rPr>
          <w:rFonts w:hint="eastAsia" w:ascii="宋体" w:hAnsi="宋体"/>
          <w:color w:val="000000"/>
          <w:szCs w:val="21"/>
        </w:rPr>
        <w:t>。</w:t>
      </w:r>
    </w:p>
    <w:p w14:paraId="7B3B4ECD">
      <w:pPr>
        <w:topLinePunct/>
        <w:adjustRightInd w:val="0"/>
        <w:snapToGrid w:val="0"/>
        <w:spacing w:line="440" w:lineRule="exact"/>
        <w:rPr>
          <w:rFonts w:ascii="宋体" w:hAnsi="宋体"/>
          <w:color w:val="000000"/>
          <w:szCs w:val="21"/>
        </w:rPr>
      </w:pPr>
      <w:r>
        <w:rPr>
          <w:rFonts w:hint="eastAsia" w:ascii="宋体" w:hAnsi="宋体"/>
          <w:color w:val="000000"/>
          <w:szCs w:val="21"/>
        </w:rPr>
        <w:t>4.3谈判</w:t>
      </w:r>
      <w:r>
        <w:rPr>
          <w:rFonts w:hint="eastAsia" w:ascii="宋体" w:hAnsi="宋体" w:cs="宋体"/>
          <w:color w:val="000000"/>
          <w:szCs w:val="21"/>
        </w:rPr>
        <w:t>报价货币为人民币(RMB)，</w:t>
      </w:r>
      <w:r>
        <w:rPr>
          <w:rFonts w:hint="eastAsia" w:ascii="宋体" w:hAnsi="宋体"/>
          <w:color w:val="000000"/>
          <w:szCs w:val="21"/>
        </w:rPr>
        <w:t>应包含备件款、税金、运费、保险费、管理费等一切费用。</w:t>
      </w:r>
    </w:p>
    <w:p w14:paraId="48541DD2">
      <w:pPr>
        <w:pStyle w:val="18"/>
        <w:spacing w:beforeAutospacing="0" w:afterAutospacing="0" w:line="420" w:lineRule="atLeast"/>
        <w:rPr>
          <w:rFonts w:ascii="宋体" w:hAnsi="宋体" w:cs="宋体"/>
          <w:sz w:val="21"/>
          <w:szCs w:val="21"/>
          <w:shd w:val="clear" w:color="auto" w:fill="FFFFFF"/>
        </w:rPr>
      </w:pPr>
      <w:r>
        <w:rPr>
          <w:rFonts w:hint="eastAsia" w:ascii="宋体" w:hAnsi="宋体"/>
          <w:color w:val="000000"/>
          <w:sz w:val="21"/>
          <w:szCs w:val="21"/>
        </w:rPr>
        <w:t>4.4</w:t>
      </w:r>
      <w:r>
        <w:rPr>
          <w:rFonts w:hint="eastAsia" w:ascii="宋体" w:hAnsi="宋体" w:cs="宋体"/>
          <w:sz w:val="21"/>
          <w:szCs w:val="21"/>
          <w:shd w:val="clear" w:color="auto" w:fill="FFFFFF"/>
        </w:rPr>
        <w:t>谈判采购资料包括但不限于：谈判采购报价函、营业执照、法人委托书。</w:t>
      </w:r>
    </w:p>
    <w:p w14:paraId="2843E753">
      <w:pPr>
        <w:spacing w:line="440" w:lineRule="exact"/>
        <w:jc w:val="left"/>
        <w:outlineLvl w:val="0"/>
        <w:rPr>
          <w:rFonts w:ascii="宋体" w:hAnsi="宋体"/>
          <w:b/>
          <w:snapToGrid w:val="0"/>
          <w:kern w:val="0"/>
          <w:szCs w:val="21"/>
        </w:rPr>
      </w:pPr>
      <w:r>
        <w:rPr>
          <w:rFonts w:hint="eastAsia" w:ascii="宋体" w:hAnsi="宋体" w:cs="宋体"/>
          <w:szCs w:val="21"/>
          <w:shd w:val="clear" w:color="auto" w:fill="FFFFFF"/>
        </w:rPr>
        <w:t>4</w:t>
      </w:r>
      <w:r>
        <w:rPr>
          <w:rFonts w:ascii="宋体" w:hAnsi="宋体" w:cs="宋体"/>
          <w:szCs w:val="21"/>
          <w:shd w:val="clear" w:color="auto" w:fill="FFFFFF"/>
        </w:rPr>
        <w:t>.5</w:t>
      </w:r>
      <w:r>
        <w:rPr>
          <w:rFonts w:hint="eastAsia" w:ascii="宋体" w:hAnsi="宋体" w:cs="宋体"/>
          <w:szCs w:val="21"/>
        </w:rPr>
        <w:t>谈判附件</w:t>
      </w:r>
      <w:r>
        <w:rPr>
          <w:rFonts w:ascii="宋体" w:hAnsi="宋体" w:cs="宋体"/>
          <w:szCs w:val="21"/>
        </w:rPr>
        <w:t>电子表格顺序和项目</w:t>
      </w:r>
      <w:r>
        <w:rPr>
          <w:rFonts w:hint="eastAsia" w:ascii="宋体" w:hAnsi="宋体" w:cs="宋体"/>
          <w:szCs w:val="21"/>
        </w:rPr>
        <w:t>不能</w:t>
      </w:r>
      <w:r>
        <w:rPr>
          <w:rFonts w:ascii="宋体" w:hAnsi="宋体" w:cs="宋体"/>
          <w:szCs w:val="21"/>
        </w:rPr>
        <w:t>颠倒顺序及删减，不按照要求报价</w:t>
      </w:r>
      <w:r>
        <w:rPr>
          <w:rFonts w:hint="eastAsia" w:ascii="宋体" w:hAnsi="宋体" w:cs="宋体"/>
          <w:szCs w:val="21"/>
        </w:rPr>
        <w:t>采购</w:t>
      </w:r>
      <w:r>
        <w:rPr>
          <w:rFonts w:ascii="宋体" w:hAnsi="宋体" w:cs="宋体"/>
          <w:szCs w:val="21"/>
        </w:rPr>
        <w:t>方可以做否决处理</w:t>
      </w:r>
      <w:r>
        <w:rPr>
          <w:rFonts w:hint="eastAsia" w:ascii="宋体" w:hAnsi="宋体" w:cs="宋体"/>
          <w:szCs w:val="21"/>
        </w:rPr>
        <w:t>。</w:t>
      </w:r>
      <w:bookmarkStart w:id="42" w:name="_Toc1277"/>
      <w:bookmarkStart w:id="43" w:name="_Toc7273"/>
      <w:bookmarkStart w:id="44" w:name="_Toc19404"/>
      <w:bookmarkStart w:id="45" w:name="_Toc14186"/>
      <w:bookmarkStart w:id="46" w:name="_Toc19904"/>
      <w:bookmarkStart w:id="47" w:name="_Toc22256"/>
      <w:bookmarkStart w:id="48" w:name="_Toc23380"/>
      <w:bookmarkStart w:id="49" w:name="_Toc27438"/>
      <w:bookmarkStart w:id="50" w:name="_Toc5540"/>
      <w:bookmarkStart w:id="51" w:name="_Toc11777"/>
    </w:p>
    <w:p w14:paraId="2957CC47">
      <w:pPr>
        <w:numPr>
          <w:ilvl w:val="0"/>
          <w:numId w:val="3"/>
        </w:numPr>
        <w:spacing w:line="440" w:lineRule="exact"/>
        <w:jc w:val="left"/>
        <w:outlineLvl w:val="0"/>
        <w:rPr>
          <w:rFonts w:ascii="宋体" w:hAnsi="宋体"/>
          <w:b/>
          <w:snapToGrid w:val="0"/>
          <w:kern w:val="0"/>
          <w:szCs w:val="21"/>
        </w:rPr>
      </w:pPr>
      <w:r>
        <w:rPr>
          <w:rFonts w:hint="eastAsia" w:ascii="宋体" w:hAnsi="宋体"/>
          <w:b/>
          <w:snapToGrid w:val="0"/>
          <w:kern w:val="0"/>
          <w:szCs w:val="21"/>
          <w:lang w:eastAsia="zh-CN"/>
        </w:rPr>
        <w:t xml:space="preserve"> </w:t>
      </w:r>
      <w:r>
        <w:rPr>
          <w:rFonts w:hint="eastAsia" w:ascii="宋体" w:hAnsi="宋体"/>
          <w:b/>
          <w:snapToGrid w:val="0"/>
          <w:kern w:val="0"/>
          <w:szCs w:val="21"/>
        </w:rPr>
        <w:t>谈判采购办法</w:t>
      </w:r>
    </w:p>
    <w:p w14:paraId="79621512">
      <w:pPr>
        <w:spacing w:after="24" w:afterLines="10" w:line="400" w:lineRule="exact"/>
        <w:ind w:left="420" w:leftChars="200"/>
        <w:jc w:val="left"/>
        <w:rPr>
          <w:rStyle w:val="24"/>
          <w:rFonts w:ascii="宋体" w:hAnsi="宋体" w:cs="宋体"/>
          <w:color w:val="000000" w:themeColor="text1"/>
          <w:kern w:val="0"/>
          <w14:textFill>
            <w14:solidFill>
              <w14:schemeClr w14:val="tx1"/>
            </w14:solidFill>
          </w14:textFill>
        </w:rPr>
      </w:pPr>
      <w:r>
        <w:rPr>
          <w:rFonts w:hint="eastAsia" w:ascii="宋体" w:hAnsi="宋体" w:cs="宋体"/>
          <w:color w:val="000000" w:themeColor="text1"/>
          <w:szCs w:val="21"/>
          <w14:textFill>
            <w14:solidFill>
              <w14:schemeClr w14:val="tx1"/>
            </w14:solidFill>
          </w14:textFill>
        </w:rPr>
        <w:t>5.1</w:t>
      </w:r>
      <w:r>
        <w:rPr>
          <w:rFonts w:hint="eastAsia" w:ascii="宋体" w:hAnsi="宋体" w:cs="Tahoma"/>
          <w:color w:val="000000" w:themeColor="text1"/>
          <w:szCs w:val="21"/>
          <w14:textFill>
            <w14:solidFill>
              <w14:schemeClr w14:val="tx1"/>
            </w14:solidFill>
          </w14:textFill>
        </w:rPr>
        <w:t>本次谈判采购采取</w:t>
      </w:r>
      <w:r>
        <w:rPr>
          <w:rStyle w:val="24"/>
          <w:rFonts w:ascii="宋体" w:hAnsi="宋体" w:cs="宋体"/>
          <w:color w:val="000000" w:themeColor="text1"/>
          <w:kern w:val="0"/>
          <w14:textFill>
            <w14:solidFill>
              <w14:schemeClr w14:val="tx1"/>
            </w14:solidFill>
          </w14:textFill>
        </w:rPr>
        <w:t>经评审的</w:t>
      </w:r>
      <w:r>
        <w:rPr>
          <w:rStyle w:val="24"/>
          <w:rFonts w:hint="eastAsia" w:ascii="宋体" w:hAnsi="宋体" w:cs="宋体"/>
          <w:color w:val="000000" w:themeColor="text1"/>
          <w:kern w:val="0"/>
          <w14:textFill>
            <w14:solidFill>
              <w14:schemeClr w14:val="tx1"/>
            </w14:solidFill>
          </w14:textFill>
        </w:rPr>
        <w:t>最低价法。</w:t>
      </w:r>
    </w:p>
    <w:p w14:paraId="24B1098F">
      <w:pPr>
        <w:numPr>
          <w:ilvl w:val="0"/>
          <w:numId w:val="4"/>
        </w:numPr>
        <w:spacing w:after="24" w:afterLines="10" w:line="400" w:lineRule="exact"/>
        <w:jc w:val="left"/>
        <w:rPr>
          <w:rFonts w:ascii="宋体" w:hAnsi="宋体"/>
          <w:color w:val="000000" w:themeColor="text1"/>
          <w:kern w:val="0"/>
          <w:szCs w:val="21"/>
          <w14:textFill>
            <w14:solidFill>
              <w14:schemeClr w14:val="tx1"/>
            </w14:solidFill>
          </w14:textFill>
        </w:rPr>
      </w:pPr>
      <w:r>
        <w:rPr>
          <w:rFonts w:hint="eastAsia" w:ascii="宋体" w:hAnsi="宋体"/>
          <w:color w:val="000000" w:themeColor="text1"/>
          <w:kern w:val="0"/>
          <w:szCs w:val="21"/>
          <w14:textFill>
            <w14:solidFill>
              <w14:schemeClr w14:val="tx1"/>
            </w14:solidFill>
          </w14:textFill>
        </w:rPr>
        <w:t>对报价不高于最高限价的所有</w:t>
      </w:r>
      <w:r>
        <w:rPr>
          <w:rFonts w:hint="eastAsia" w:ascii="宋体" w:hAnsi="宋体"/>
          <w:color w:val="000000" w:themeColor="text1"/>
          <w:kern w:val="0"/>
          <w:szCs w:val="21"/>
          <w:lang w:eastAsia="zh-CN"/>
          <w14:textFill>
            <w14:solidFill>
              <w14:schemeClr w14:val="tx1"/>
            </w14:solidFill>
          </w14:textFill>
        </w:rPr>
        <w:t>报价人</w:t>
      </w:r>
      <w:r>
        <w:rPr>
          <w:rFonts w:hint="eastAsia" w:ascii="宋体" w:hAnsi="宋体"/>
          <w:color w:val="000000" w:themeColor="text1"/>
          <w:kern w:val="0"/>
          <w:szCs w:val="21"/>
          <w14:textFill>
            <w14:solidFill>
              <w14:schemeClr w14:val="tx1"/>
            </w14:solidFill>
          </w14:textFill>
        </w:rPr>
        <w:t>的谈判文件，按照报价由低到高的顺序排序。</w:t>
      </w:r>
    </w:p>
    <w:p w14:paraId="76BBE4AD">
      <w:pPr>
        <w:spacing w:after="24" w:afterLines="10" w:line="400" w:lineRule="exact"/>
        <w:jc w:val="left"/>
        <w:rPr>
          <w:rFonts w:ascii="宋体" w:hAnsi="宋体"/>
          <w:color w:val="000000" w:themeColor="text1"/>
          <w:kern w:val="0"/>
          <w:szCs w:val="21"/>
          <w14:textFill>
            <w14:solidFill>
              <w14:schemeClr w14:val="tx1"/>
            </w14:solidFill>
          </w14:textFill>
        </w:rPr>
      </w:pPr>
      <w:r>
        <w:rPr>
          <w:rFonts w:hint="eastAsia" w:ascii="宋体" w:hAnsi="宋体"/>
          <w:color w:val="000000" w:themeColor="text1"/>
          <w:kern w:val="0"/>
          <w:szCs w:val="21"/>
          <w14:textFill>
            <w14:solidFill>
              <w14:schemeClr w14:val="tx1"/>
            </w14:solidFill>
          </w14:textFill>
        </w:rPr>
        <w:t>　　（2）符合性审查合格的</w:t>
      </w:r>
      <w:r>
        <w:rPr>
          <w:rFonts w:hint="eastAsia" w:ascii="宋体" w:hAnsi="宋体"/>
          <w:color w:val="000000" w:themeColor="text1"/>
          <w:kern w:val="0"/>
          <w:szCs w:val="21"/>
          <w:lang w:eastAsia="zh-CN"/>
          <w14:textFill>
            <w14:solidFill>
              <w14:schemeClr w14:val="tx1"/>
            </w14:solidFill>
          </w14:textFill>
        </w:rPr>
        <w:t>报价人</w:t>
      </w:r>
      <w:r>
        <w:rPr>
          <w:rFonts w:hint="eastAsia" w:ascii="宋体" w:hAnsi="宋体"/>
          <w:color w:val="000000" w:themeColor="text1"/>
          <w:kern w:val="0"/>
          <w:szCs w:val="21"/>
          <w14:textFill>
            <w14:solidFill>
              <w14:schemeClr w14:val="tx1"/>
            </w14:solidFill>
          </w14:textFill>
        </w:rPr>
        <w:t>中，报价最低的成为第一成交候选人，报价次低的成为第二成交候选人，依次类推。</w:t>
      </w:r>
    </w:p>
    <w:p w14:paraId="23001BB6">
      <w:pPr>
        <w:spacing w:after="24" w:afterLines="10" w:line="400" w:lineRule="exact"/>
        <w:jc w:val="left"/>
        <w:rPr>
          <w:rFonts w:ascii="宋体" w:hAnsi="宋体" w:cs="宋体"/>
          <w:color w:val="000000" w:themeColor="text1"/>
          <w:szCs w:val="21"/>
          <w14:textFill>
            <w14:solidFill>
              <w14:schemeClr w14:val="tx1"/>
            </w14:solidFill>
          </w14:textFill>
        </w:rPr>
      </w:pPr>
      <w:r>
        <w:rPr>
          <w:rFonts w:hint="eastAsia" w:ascii="宋体" w:hAnsi="宋体"/>
          <w:color w:val="000000" w:themeColor="text1"/>
          <w:kern w:val="0"/>
          <w:szCs w:val="21"/>
          <w14:textFill>
            <w14:solidFill>
              <w14:schemeClr w14:val="tx1"/>
            </w14:solidFill>
          </w14:textFill>
        </w:rPr>
        <w:t>　　（3）因谈判小组作否决处理，导致有效供应商不足三个的，谈判小组应当否决所有谈判文件。</w:t>
      </w:r>
    </w:p>
    <w:p w14:paraId="57C2CDCE">
      <w:pPr>
        <w:spacing w:line="440" w:lineRule="exact"/>
        <w:jc w:val="left"/>
        <w:outlineLvl w:val="0"/>
        <w:rPr>
          <w:rFonts w:ascii="宋体" w:hAnsi="宋体"/>
          <w:b/>
          <w:snapToGrid w:val="0"/>
          <w:kern w:val="0"/>
          <w:szCs w:val="21"/>
        </w:rPr>
      </w:pPr>
      <w:r>
        <w:rPr>
          <w:rFonts w:hint="eastAsia" w:ascii="宋体" w:hAnsi="宋体"/>
          <w:b/>
          <w:snapToGrid w:val="0"/>
          <w:kern w:val="0"/>
          <w:szCs w:val="21"/>
        </w:rPr>
        <w:t>6.</w:t>
      </w:r>
      <w:r>
        <w:rPr>
          <w:rFonts w:hint="eastAsia" w:ascii="宋体" w:hAnsi="宋体"/>
          <w:b/>
          <w:snapToGrid w:val="0"/>
          <w:kern w:val="0"/>
          <w:szCs w:val="21"/>
          <w:lang w:eastAsia="zh-CN"/>
        </w:rPr>
        <w:t xml:space="preserve"> </w:t>
      </w:r>
      <w:r>
        <w:rPr>
          <w:rFonts w:hint="eastAsia" w:ascii="宋体" w:hAnsi="宋体"/>
          <w:b/>
          <w:snapToGrid w:val="0"/>
          <w:kern w:val="0"/>
          <w:szCs w:val="21"/>
        </w:rPr>
        <w:t>谈判采购文件的获取</w:t>
      </w:r>
      <w:bookmarkEnd w:id="42"/>
      <w:bookmarkEnd w:id="43"/>
      <w:bookmarkEnd w:id="44"/>
      <w:bookmarkEnd w:id="45"/>
      <w:bookmarkEnd w:id="46"/>
      <w:bookmarkEnd w:id="47"/>
      <w:bookmarkEnd w:id="48"/>
      <w:bookmarkEnd w:id="49"/>
      <w:bookmarkEnd w:id="50"/>
      <w:bookmarkEnd w:id="51"/>
    </w:p>
    <w:p w14:paraId="68F49EA7">
      <w:pPr>
        <w:tabs>
          <w:tab w:val="left" w:pos="3850"/>
          <w:tab w:val="left" w:pos="3980"/>
          <w:tab w:val="left" w:pos="4100"/>
          <w:tab w:val="left" w:pos="4600"/>
          <w:tab w:val="left" w:pos="5360"/>
          <w:tab w:val="left" w:pos="5460"/>
          <w:tab w:val="left" w:pos="6200"/>
          <w:tab w:val="left" w:pos="6327"/>
          <w:tab w:val="left" w:pos="6901"/>
        </w:tabs>
        <w:autoSpaceDE w:val="0"/>
        <w:autoSpaceDN w:val="0"/>
        <w:spacing w:line="440" w:lineRule="exact"/>
        <w:rPr>
          <w:rFonts w:ascii="宋体" w:hAnsi="宋体" w:cs="宋体"/>
          <w:szCs w:val="21"/>
        </w:rPr>
      </w:pPr>
      <w:bookmarkStart w:id="52" w:name="_Toc784"/>
      <w:bookmarkStart w:id="53" w:name="_Toc24060"/>
      <w:bookmarkStart w:id="54" w:name="_Toc4653"/>
      <w:bookmarkStart w:id="55" w:name="_Toc1075"/>
      <w:bookmarkStart w:id="56" w:name="_Toc21446"/>
      <w:bookmarkStart w:id="57" w:name="_Toc5692"/>
      <w:r>
        <w:rPr>
          <w:rFonts w:hint="eastAsia" w:ascii="宋体" w:hAnsi="宋体" w:cs="宋体"/>
          <w:szCs w:val="21"/>
        </w:rPr>
        <w:t>6.1 凡有意参加谈判采购者，请于北京时间</w:t>
      </w:r>
      <w:r>
        <w:rPr>
          <w:rFonts w:hint="eastAsia" w:ascii="宋体" w:hAnsi="宋体" w:cs="宋体"/>
          <w:szCs w:val="21"/>
          <w:u w:val="single"/>
        </w:rPr>
        <w:t xml:space="preserve"> 2026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u w:val="single"/>
          <w:lang w:val="en-US" w:eastAsia="zh-CN"/>
        </w:rPr>
        <w:t>10</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u w:val="single"/>
          <w:lang w:val="en-US" w:eastAsia="zh-CN"/>
        </w:rPr>
        <w:t>10</w:t>
      </w:r>
      <w:r>
        <w:rPr>
          <w:rFonts w:hint="eastAsia" w:ascii="宋体" w:hAnsi="宋体" w:cs="宋体"/>
          <w:szCs w:val="21"/>
          <w:u w:val="single"/>
        </w:rPr>
        <w:t xml:space="preserve"> </w:t>
      </w:r>
      <w:r>
        <w:rPr>
          <w:rFonts w:hint="eastAsia" w:ascii="宋体" w:hAnsi="宋体" w:cs="宋体"/>
          <w:szCs w:val="21"/>
        </w:rPr>
        <w:t>日至</w:t>
      </w:r>
      <w:r>
        <w:rPr>
          <w:rFonts w:hint="eastAsia" w:ascii="宋体" w:hAnsi="宋体" w:cs="宋体"/>
          <w:szCs w:val="21"/>
          <w:u w:val="single"/>
        </w:rPr>
        <w:t xml:space="preserve"> 2026 </w:t>
      </w:r>
      <w:r>
        <w:rPr>
          <w:rFonts w:hint="eastAsia" w:ascii="宋体" w:hAnsi="宋体" w:cs="宋体"/>
          <w:szCs w:val="21"/>
        </w:rPr>
        <w:t xml:space="preserve">年 </w:t>
      </w:r>
      <w:r>
        <w:rPr>
          <w:rFonts w:hint="eastAsia" w:ascii="宋体" w:hAnsi="宋体" w:cs="宋体"/>
          <w:szCs w:val="21"/>
          <w:u w:val="single"/>
        </w:rPr>
        <w:t xml:space="preserve"> </w:t>
      </w:r>
      <w:r>
        <w:rPr>
          <w:rFonts w:hint="eastAsia" w:ascii="宋体" w:hAnsi="宋体" w:cs="宋体"/>
          <w:szCs w:val="21"/>
          <w:u w:val="single"/>
          <w:lang w:val="en-US" w:eastAsia="zh-CN"/>
        </w:rPr>
        <w:t>10</w:t>
      </w:r>
      <w:r>
        <w:rPr>
          <w:rFonts w:hint="eastAsia" w:ascii="宋体" w:hAnsi="宋体" w:cs="宋体"/>
          <w:szCs w:val="21"/>
          <w:u w:val="single"/>
        </w:rPr>
        <w:t xml:space="preserve"> </w:t>
      </w:r>
      <w:r>
        <w:rPr>
          <w:rFonts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lang w:val="en-US" w:eastAsia="zh-CN"/>
        </w:rPr>
        <w:t>13</w:t>
      </w:r>
      <w:r>
        <w:rPr>
          <w:rFonts w:hint="eastAsia" w:ascii="宋体" w:hAnsi="宋体" w:cs="宋体"/>
          <w:szCs w:val="21"/>
        </w:rPr>
        <w:t>日，每日9:00时至17:00时通过6.2载明的方式获取</w:t>
      </w:r>
      <w:r>
        <w:rPr>
          <w:rFonts w:hint="eastAsia" w:ascii="宋体" w:hAnsi="宋体" w:cs="宋体"/>
          <w:szCs w:val="21"/>
          <w:lang w:eastAsia="zh-CN"/>
        </w:rPr>
        <w:t xml:space="preserve"> </w:t>
      </w:r>
      <w:r>
        <w:rPr>
          <w:rFonts w:hint="eastAsia" w:ascii="宋体" w:hAnsi="宋体" w:cs="宋体"/>
          <w:szCs w:val="21"/>
        </w:rPr>
        <w:t>谈判采购文件。</w:t>
      </w:r>
    </w:p>
    <w:p w14:paraId="7168DC38">
      <w:pPr>
        <w:tabs>
          <w:tab w:val="left" w:pos="3850"/>
          <w:tab w:val="left" w:pos="3980"/>
          <w:tab w:val="left" w:pos="4100"/>
          <w:tab w:val="left" w:pos="4600"/>
          <w:tab w:val="left" w:pos="5360"/>
          <w:tab w:val="left" w:pos="5460"/>
          <w:tab w:val="left" w:pos="6200"/>
          <w:tab w:val="left" w:pos="6327"/>
          <w:tab w:val="left" w:pos="6901"/>
        </w:tabs>
        <w:autoSpaceDE w:val="0"/>
        <w:autoSpaceDN w:val="0"/>
        <w:spacing w:line="440" w:lineRule="exact"/>
        <w:rPr>
          <w:rFonts w:ascii="宋体" w:hAnsi="宋体" w:cs="宋体"/>
          <w:szCs w:val="21"/>
        </w:rPr>
      </w:pPr>
      <w:r>
        <w:rPr>
          <w:rFonts w:hint="eastAsia" w:ascii="宋体" w:hAnsi="宋体" w:cs="宋体"/>
          <w:szCs w:val="21"/>
        </w:rPr>
        <w:t>6.2</w:t>
      </w:r>
      <w:r>
        <w:rPr>
          <w:rFonts w:ascii="宋体" w:hAnsi="宋体" w:cs="宋体"/>
          <w:szCs w:val="21"/>
        </w:rPr>
        <w:t xml:space="preserve"> </w:t>
      </w:r>
      <w:r>
        <w:rPr>
          <w:rFonts w:hint="eastAsia" w:ascii="宋体" w:hAnsi="宋体" w:cs="宋体"/>
          <w:szCs w:val="21"/>
        </w:rPr>
        <w:t>取得谈判采购文件的方式：</w:t>
      </w:r>
    </w:p>
    <w:p w14:paraId="2CE57EDA">
      <w:pPr>
        <w:spacing w:line="440" w:lineRule="exact"/>
        <w:ind w:firstLine="424" w:firstLineChars="202"/>
        <w:rPr>
          <w:rFonts w:ascii="宋体" w:hAnsi="宋体"/>
          <w:szCs w:val="21"/>
        </w:rPr>
      </w:pPr>
      <w:r>
        <w:rPr>
          <w:rFonts w:hint="eastAsia" w:ascii="宋体" w:hAnsi="宋体"/>
          <w:szCs w:val="21"/>
        </w:rPr>
        <w:t>采   购</w:t>
      </w:r>
      <w:r>
        <w:rPr>
          <w:rFonts w:ascii="宋体" w:hAnsi="宋体"/>
          <w:szCs w:val="21"/>
        </w:rPr>
        <w:t xml:space="preserve">   人：</w:t>
      </w:r>
      <w:r>
        <w:rPr>
          <w:rFonts w:hint="eastAsia" w:ascii="宋体" w:hAnsi="宋体"/>
          <w:szCs w:val="21"/>
        </w:rPr>
        <w:t>重庆国际复合材料股份有限公司</w:t>
      </w:r>
    </w:p>
    <w:p w14:paraId="36B5237F">
      <w:pPr>
        <w:spacing w:line="440" w:lineRule="exact"/>
        <w:ind w:firstLine="424" w:firstLineChars="202"/>
        <w:rPr>
          <w:rFonts w:ascii="宋体" w:hAnsi="宋体"/>
          <w:szCs w:val="21"/>
        </w:rPr>
      </w:pPr>
      <w:r>
        <w:rPr>
          <w:rFonts w:ascii="宋体" w:hAnsi="宋体"/>
          <w:szCs w:val="21"/>
        </w:rPr>
        <w:t xml:space="preserve">办 </w:t>
      </w:r>
      <w:r>
        <w:rPr>
          <w:rFonts w:hint="eastAsia" w:ascii="宋体" w:hAnsi="宋体"/>
          <w:szCs w:val="21"/>
        </w:rPr>
        <w:t xml:space="preserve"> </w:t>
      </w:r>
      <w:r>
        <w:rPr>
          <w:rFonts w:ascii="宋体" w:hAnsi="宋体"/>
          <w:szCs w:val="21"/>
        </w:rPr>
        <w:t>公 地 址：</w:t>
      </w:r>
      <w:r>
        <w:rPr>
          <w:rFonts w:hint="eastAsia" w:ascii="宋体" w:hAnsi="宋体"/>
          <w:szCs w:val="21"/>
        </w:rPr>
        <w:t>重庆市大渡口区建桥工业园</w:t>
      </w:r>
      <w:r>
        <w:rPr>
          <w:rFonts w:ascii="宋体" w:hAnsi="宋体"/>
          <w:szCs w:val="21"/>
        </w:rPr>
        <w:t>B</w:t>
      </w:r>
      <w:r>
        <w:rPr>
          <w:rFonts w:hint="eastAsia" w:ascii="宋体" w:hAnsi="宋体"/>
          <w:szCs w:val="21"/>
        </w:rPr>
        <w:t>区</w:t>
      </w:r>
    </w:p>
    <w:p w14:paraId="243A4287">
      <w:pPr>
        <w:spacing w:line="440" w:lineRule="exact"/>
        <w:ind w:firstLine="424" w:firstLineChars="202"/>
        <w:rPr>
          <w:rFonts w:ascii="宋体" w:hAnsi="宋体" w:cs="宋体"/>
          <w:szCs w:val="21"/>
        </w:rPr>
      </w:pPr>
      <w:r>
        <w:rPr>
          <w:rFonts w:ascii="宋体" w:hAnsi="宋体"/>
          <w:szCs w:val="21"/>
        </w:rPr>
        <w:t>联   系   人：</w:t>
      </w:r>
      <w:r>
        <w:rPr>
          <w:rFonts w:hint="eastAsia" w:ascii="宋体" w:hAnsi="宋体"/>
          <w:szCs w:val="21"/>
          <w:u w:val="single"/>
        </w:rPr>
        <w:t xml:space="preserve">     杨老师    </w:t>
      </w:r>
      <w:r>
        <w:rPr>
          <w:rFonts w:hint="eastAsia" w:ascii="宋体" w:hAnsi="宋体"/>
          <w:szCs w:val="21"/>
        </w:rPr>
        <w:t xml:space="preserve"> </w:t>
      </w:r>
      <w:r>
        <w:rPr>
          <w:rFonts w:ascii="宋体" w:hAnsi="宋体"/>
          <w:szCs w:val="21"/>
        </w:rPr>
        <w:t>联系电话：</w:t>
      </w:r>
      <w:r>
        <w:rPr>
          <w:rFonts w:hint="eastAsia" w:ascii="宋体" w:hAnsi="宋体"/>
          <w:szCs w:val="21"/>
          <w:u w:val="single"/>
        </w:rPr>
        <w:t xml:space="preserve"> 18983993055</w:t>
      </w:r>
    </w:p>
    <w:p w14:paraId="523982C3">
      <w:pPr>
        <w:spacing w:line="440" w:lineRule="exact"/>
        <w:ind w:firstLine="424" w:firstLineChars="202"/>
        <w:rPr>
          <w:rFonts w:ascii="宋体" w:hAnsi="宋体" w:cs="宋体"/>
          <w:szCs w:val="21"/>
        </w:rPr>
      </w:pPr>
      <w:r>
        <w:rPr>
          <w:rFonts w:hint="eastAsia" w:ascii="宋体" w:hAnsi="宋体" w:cs="宋体"/>
          <w:szCs w:val="21"/>
        </w:rPr>
        <w:t>技 术 联系人：</w:t>
      </w:r>
      <w:r>
        <w:rPr>
          <w:rFonts w:hint="eastAsia" w:ascii="宋体" w:hAnsi="宋体"/>
          <w:szCs w:val="21"/>
          <w:u w:val="single"/>
        </w:rPr>
        <w:t xml:space="preserve">    张老师   </w:t>
      </w:r>
      <w:r>
        <w:rPr>
          <w:rFonts w:hint="eastAsia" w:ascii="宋体" w:hAnsi="宋体"/>
          <w:szCs w:val="21"/>
        </w:rPr>
        <w:t xml:space="preserve"> </w:t>
      </w:r>
      <w:r>
        <w:rPr>
          <w:rFonts w:ascii="宋体" w:hAnsi="宋体"/>
          <w:szCs w:val="21"/>
        </w:rPr>
        <w:t>联系电话</w:t>
      </w:r>
      <w:r>
        <w:rPr>
          <w:rFonts w:hint="eastAsia" w:ascii="宋体" w:hAnsi="宋体"/>
          <w:szCs w:val="21"/>
        </w:rPr>
        <w:t>：</w:t>
      </w:r>
      <w:r>
        <w:rPr>
          <w:rFonts w:hint="eastAsia" w:ascii="宋体" w:hAnsi="宋体"/>
          <w:szCs w:val="21"/>
          <w:u w:val="single"/>
        </w:rPr>
        <w:t xml:space="preserve"> </w:t>
      </w:r>
      <w:r>
        <w:rPr>
          <w:rFonts w:ascii="宋体" w:hAnsi="宋体"/>
          <w:szCs w:val="21"/>
          <w:u w:val="single"/>
        </w:rPr>
        <w:t>13618317003</w:t>
      </w:r>
      <w:r>
        <w:rPr>
          <w:rFonts w:hint="eastAsia" w:ascii="宋体" w:hAnsi="宋体"/>
          <w:szCs w:val="21"/>
          <w:u w:val="single"/>
        </w:rPr>
        <w:t xml:space="preserve"> </w:t>
      </w:r>
    </w:p>
    <w:p w14:paraId="5FD4ADC5">
      <w:pPr>
        <w:spacing w:line="440" w:lineRule="exact"/>
        <w:jc w:val="left"/>
        <w:outlineLvl w:val="0"/>
        <w:rPr>
          <w:rFonts w:ascii="宋体" w:hAnsi="宋体"/>
          <w:b/>
          <w:snapToGrid w:val="0"/>
          <w:kern w:val="0"/>
          <w:szCs w:val="21"/>
        </w:rPr>
      </w:pPr>
      <w:bookmarkStart w:id="58" w:name="_Toc20721"/>
      <w:bookmarkStart w:id="59" w:name="_Toc1637"/>
      <w:bookmarkStart w:id="60" w:name="_Toc4279"/>
      <w:bookmarkStart w:id="61" w:name="_Toc4674"/>
      <w:r>
        <w:rPr>
          <w:rFonts w:hint="eastAsia" w:ascii="宋体" w:hAnsi="宋体"/>
          <w:b/>
          <w:snapToGrid w:val="0"/>
          <w:kern w:val="0"/>
          <w:szCs w:val="21"/>
        </w:rPr>
        <w:t>7. 谈判文件的递交</w:t>
      </w:r>
      <w:bookmarkEnd w:id="52"/>
      <w:bookmarkEnd w:id="53"/>
      <w:bookmarkEnd w:id="54"/>
      <w:bookmarkEnd w:id="55"/>
      <w:bookmarkEnd w:id="56"/>
      <w:bookmarkEnd w:id="57"/>
      <w:bookmarkEnd w:id="58"/>
      <w:bookmarkEnd w:id="59"/>
      <w:bookmarkEnd w:id="60"/>
      <w:bookmarkEnd w:id="61"/>
    </w:p>
    <w:p w14:paraId="1ABAC81D">
      <w:pPr>
        <w:tabs>
          <w:tab w:val="left" w:pos="1425"/>
        </w:tabs>
        <w:spacing w:line="440" w:lineRule="exact"/>
        <w:rPr>
          <w:rFonts w:ascii="宋体" w:hAnsi="宋体" w:cs="宋体"/>
          <w:color w:val="000000"/>
          <w:szCs w:val="21"/>
        </w:rPr>
      </w:pPr>
      <w:bookmarkStart w:id="62" w:name="_Toc3503"/>
      <w:bookmarkStart w:id="63" w:name="_Toc4477"/>
      <w:bookmarkStart w:id="64" w:name="_Toc18035"/>
      <w:bookmarkStart w:id="65" w:name="_Toc12357"/>
      <w:bookmarkStart w:id="66" w:name="_Toc21549"/>
      <w:bookmarkStart w:id="67" w:name="_Toc29375"/>
      <w:r>
        <w:rPr>
          <w:rFonts w:hint="eastAsia" w:ascii="宋体" w:hAnsi="宋体" w:cs="宋体"/>
          <w:snapToGrid w:val="0"/>
          <w:kern w:val="0"/>
          <w:szCs w:val="21"/>
        </w:rPr>
        <w:t>7.1</w:t>
      </w:r>
      <w:r>
        <w:rPr>
          <w:rFonts w:hint="eastAsia" w:ascii="宋体" w:hAnsi="宋体" w:cs="宋体"/>
          <w:szCs w:val="21"/>
        </w:rPr>
        <w:t>谈判文件递交截止时间：</w:t>
      </w:r>
      <w:r>
        <w:rPr>
          <w:rFonts w:hint="eastAsia" w:ascii="宋体" w:hAnsi="宋体" w:cs="宋体"/>
          <w:szCs w:val="21"/>
          <w:u w:val="single"/>
        </w:rPr>
        <w:t xml:space="preserve"> 　2026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u w:val="single"/>
          <w:lang w:val="en-US" w:eastAsia="zh-CN"/>
        </w:rPr>
        <w:t>10</w:t>
      </w:r>
      <w:r>
        <w:rPr>
          <w:rFonts w:hint="eastAsia" w:ascii="宋体" w:hAnsi="宋体" w:cs="宋体"/>
          <w:szCs w:val="21"/>
          <w:u w:val="single"/>
        </w:rPr>
        <w:t xml:space="preserve">　 </w:t>
      </w:r>
      <w:r>
        <w:rPr>
          <w:rFonts w:hint="eastAsia" w:ascii="宋体" w:hAnsi="宋体" w:cs="宋体"/>
          <w:szCs w:val="21"/>
        </w:rPr>
        <w:t xml:space="preserve">月 </w:t>
      </w:r>
      <w:r>
        <w:rPr>
          <w:rFonts w:ascii="宋体" w:hAnsi="宋体" w:cs="宋体"/>
          <w:szCs w:val="21"/>
          <w:u w:val="single"/>
        </w:rPr>
        <w:t xml:space="preserve"> </w:t>
      </w:r>
      <w:r>
        <w:rPr>
          <w:rFonts w:hint="eastAsia" w:ascii="宋体" w:hAnsi="宋体" w:cs="宋体"/>
          <w:szCs w:val="21"/>
          <w:u w:val="single"/>
          <w:lang w:val="en-US" w:eastAsia="zh-CN"/>
        </w:rPr>
        <w:t>14</w:t>
      </w:r>
      <w:r>
        <w:rPr>
          <w:rFonts w:hint="eastAsia" w:ascii="宋体" w:hAnsi="宋体" w:cs="宋体"/>
          <w:szCs w:val="21"/>
          <w:u w:val="single"/>
        </w:rPr>
        <w:t>　</w:t>
      </w:r>
      <w:r>
        <w:rPr>
          <w:rFonts w:hint="eastAsia" w:ascii="宋体" w:hAnsi="宋体" w:cs="宋体"/>
          <w:szCs w:val="21"/>
        </w:rPr>
        <w:t>日</w:t>
      </w:r>
      <w:r>
        <w:rPr>
          <w:rFonts w:ascii="宋体" w:hAnsi="宋体" w:cs="宋体"/>
          <w:szCs w:val="21"/>
          <w:u w:val="single"/>
        </w:rPr>
        <w:t xml:space="preserve"> </w:t>
      </w:r>
      <w:r>
        <w:rPr>
          <w:rFonts w:hint="eastAsia" w:ascii="宋体" w:hAnsi="宋体" w:cs="宋体"/>
          <w:szCs w:val="21"/>
          <w:u w:val="single"/>
        </w:rPr>
        <w:t xml:space="preserve">10　  </w:t>
      </w:r>
      <w:r>
        <w:rPr>
          <w:rFonts w:ascii="宋体" w:hAnsi="宋体" w:cs="宋体"/>
          <w:szCs w:val="21"/>
        </w:rPr>
        <w:t>时</w:t>
      </w:r>
      <w:r>
        <w:rPr>
          <w:rFonts w:hint="eastAsia" w:ascii="宋体" w:hAnsi="宋体" w:cs="宋体"/>
          <w:szCs w:val="21"/>
          <w:u w:val="single"/>
        </w:rPr>
        <w:t xml:space="preserve"> 　00</w:t>
      </w:r>
      <w:r>
        <w:rPr>
          <w:rFonts w:ascii="宋体" w:hAnsi="宋体" w:cs="宋体"/>
          <w:szCs w:val="21"/>
          <w:u w:val="single"/>
        </w:rPr>
        <w:t xml:space="preserve"> </w:t>
      </w:r>
      <w:r>
        <w:rPr>
          <w:rFonts w:hint="eastAsia" w:ascii="宋体" w:hAnsi="宋体" w:cs="宋体"/>
          <w:szCs w:val="21"/>
        </w:rPr>
        <w:t>分；递交地点为：重庆市大渡口区重庆国际复合材料股份有限公司。</w:t>
      </w:r>
    </w:p>
    <w:p w14:paraId="1D3C7949">
      <w:pPr>
        <w:tabs>
          <w:tab w:val="left" w:pos="3850"/>
          <w:tab w:val="left" w:pos="3980"/>
          <w:tab w:val="left" w:pos="4100"/>
          <w:tab w:val="left" w:pos="4600"/>
          <w:tab w:val="left" w:pos="5360"/>
          <w:tab w:val="left" w:pos="5460"/>
          <w:tab w:val="left" w:pos="6200"/>
          <w:tab w:val="left" w:pos="6327"/>
          <w:tab w:val="left" w:pos="6901"/>
        </w:tabs>
        <w:autoSpaceDE w:val="0"/>
        <w:autoSpaceDN w:val="0"/>
        <w:spacing w:line="440" w:lineRule="exact"/>
        <w:rPr>
          <w:rFonts w:ascii="宋体" w:hAnsi="宋体" w:cs="宋体"/>
          <w:szCs w:val="21"/>
        </w:rPr>
      </w:pPr>
      <w:r>
        <w:rPr>
          <w:rFonts w:hint="eastAsia" w:ascii="宋体" w:hAnsi="宋体" w:cs="宋体"/>
          <w:szCs w:val="21"/>
        </w:rPr>
        <w:t>7.2 谈判采购时间：谈判文件截止之日后三个工作日内。</w:t>
      </w:r>
    </w:p>
    <w:p w14:paraId="177F5861">
      <w:pPr>
        <w:tabs>
          <w:tab w:val="left" w:pos="3850"/>
          <w:tab w:val="left" w:pos="3980"/>
          <w:tab w:val="left" w:pos="4100"/>
          <w:tab w:val="left" w:pos="4600"/>
          <w:tab w:val="left" w:pos="5360"/>
          <w:tab w:val="left" w:pos="5460"/>
          <w:tab w:val="left" w:pos="6200"/>
          <w:tab w:val="left" w:pos="6327"/>
          <w:tab w:val="left" w:pos="6901"/>
        </w:tabs>
        <w:autoSpaceDE w:val="0"/>
        <w:autoSpaceDN w:val="0"/>
        <w:spacing w:line="440" w:lineRule="exact"/>
        <w:rPr>
          <w:rFonts w:ascii="宋体" w:hAnsi="宋体" w:cs="宋体"/>
          <w:szCs w:val="21"/>
        </w:rPr>
      </w:pPr>
      <w:r>
        <w:rPr>
          <w:rFonts w:hint="eastAsia" w:ascii="宋体" w:hAnsi="宋体" w:cs="宋体"/>
          <w:szCs w:val="21"/>
        </w:rPr>
        <w:t>7.3</w:t>
      </w:r>
      <w:r>
        <w:rPr>
          <w:rFonts w:ascii="宋体" w:hAnsi="宋体" w:cs="宋体"/>
          <w:szCs w:val="21"/>
        </w:rPr>
        <w:t xml:space="preserve"> </w:t>
      </w:r>
      <w:r>
        <w:rPr>
          <w:rFonts w:hint="eastAsia" w:ascii="宋体" w:hAnsi="宋体" w:cs="宋体"/>
          <w:szCs w:val="21"/>
        </w:rPr>
        <w:t>谈判采购地点：重庆市大渡口区重庆国际复合材料股份有限公司。</w:t>
      </w:r>
    </w:p>
    <w:p w14:paraId="3D03C1C6">
      <w:pPr>
        <w:tabs>
          <w:tab w:val="left" w:pos="3850"/>
          <w:tab w:val="left" w:pos="3980"/>
          <w:tab w:val="left" w:pos="4100"/>
          <w:tab w:val="left" w:pos="4600"/>
          <w:tab w:val="left" w:pos="5360"/>
          <w:tab w:val="left" w:pos="5460"/>
          <w:tab w:val="left" w:pos="6200"/>
          <w:tab w:val="left" w:pos="6327"/>
          <w:tab w:val="left" w:pos="6901"/>
        </w:tabs>
        <w:autoSpaceDE w:val="0"/>
        <w:autoSpaceDN w:val="0"/>
        <w:spacing w:line="440" w:lineRule="exact"/>
        <w:rPr>
          <w:rFonts w:ascii="宋体" w:hAnsi="宋体" w:cs="宋体"/>
          <w:szCs w:val="21"/>
        </w:rPr>
      </w:pPr>
      <w:r>
        <w:rPr>
          <w:rFonts w:hint="eastAsia" w:ascii="宋体" w:hAnsi="宋体" w:cs="宋体"/>
          <w:szCs w:val="21"/>
        </w:rPr>
        <w:t>7.</w:t>
      </w:r>
      <w:r>
        <w:rPr>
          <w:rFonts w:ascii="宋体" w:hAnsi="宋体" w:cs="宋体"/>
          <w:szCs w:val="21"/>
        </w:rPr>
        <w:t>4</w:t>
      </w:r>
      <w:r>
        <w:rPr>
          <w:rFonts w:hint="eastAsia" w:ascii="宋体" w:hAnsi="宋体" w:cs="宋体"/>
          <w:szCs w:val="21"/>
        </w:rPr>
        <w:t xml:space="preserve"> 逾期送达的、未送达指定地点或</w:t>
      </w:r>
      <w:r>
        <w:rPr>
          <w:rFonts w:hint="eastAsia" w:ascii="宋体" w:hAnsi="宋体" w:cs="宋体"/>
          <w:color w:val="000000"/>
          <w:szCs w:val="21"/>
        </w:rPr>
        <w:t>不按照谈判采购文件要求密封的</w:t>
      </w:r>
      <w:r>
        <w:rPr>
          <w:rFonts w:hint="eastAsia" w:ascii="宋体" w:hAnsi="宋体" w:cs="宋体"/>
          <w:szCs w:val="21"/>
        </w:rPr>
        <w:t>谈判文件，不予受理。</w:t>
      </w:r>
    </w:p>
    <w:bookmarkEnd w:id="62"/>
    <w:bookmarkEnd w:id="63"/>
    <w:bookmarkEnd w:id="64"/>
    <w:bookmarkEnd w:id="65"/>
    <w:bookmarkEnd w:id="66"/>
    <w:bookmarkEnd w:id="67"/>
    <w:p w14:paraId="678D2E92">
      <w:pPr>
        <w:spacing w:line="440" w:lineRule="exact"/>
        <w:jc w:val="left"/>
        <w:outlineLvl w:val="0"/>
        <w:rPr>
          <w:rFonts w:ascii="宋体" w:hAnsi="宋体"/>
          <w:b/>
          <w:snapToGrid w:val="0"/>
          <w:kern w:val="0"/>
          <w:szCs w:val="21"/>
        </w:rPr>
      </w:pPr>
      <w:bookmarkStart w:id="68" w:name="_Toc9249"/>
      <w:bookmarkStart w:id="69" w:name="_Toc27658"/>
      <w:bookmarkStart w:id="70" w:name="_Toc4764"/>
      <w:bookmarkStart w:id="71" w:name="_Toc5392"/>
      <w:r>
        <w:rPr>
          <w:rFonts w:hint="eastAsia" w:ascii="宋体" w:hAnsi="宋体"/>
          <w:b/>
          <w:snapToGrid w:val="0"/>
          <w:kern w:val="0"/>
          <w:szCs w:val="21"/>
        </w:rPr>
        <w:t>8. 发布公告的媒介</w:t>
      </w:r>
      <w:bookmarkEnd w:id="68"/>
      <w:bookmarkEnd w:id="69"/>
      <w:bookmarkEnd w:id="70"/>
      <w:bookmarkEnd w:id="71"/>
    </w:p>
    <w:p w14:paraId="21D0C23C">
      <w:pPr>
        <w:spacing w:line="440" w:lineRule="exact"/>
        <w:ind w:firstLine="420"/>
        <w:jc w:val="left"/>
        <w:rPr>
          <w:rFonts w:ascii="宋体" w:hAnsi="宋体"/>
          <w:szCs w:val="21"/>
        </w:rPr>
      </w:pPr>
      <w:bookmarkStart w:id="72" w:name="_Toc15696"/>
      <w:bookmarkStart w:id="73" w:name="_Toc10099"/>
      <w:bookmarkStart w:id="74" w:name="_Toc19026"/>
      <w:bookmarkStart w:id="75" w:name="_Toc15091"/>
      <w:bookmarkStart w:id="76" w:name="_Toc17881"/>
      <w:bookmarkStart w:id="77" w:name="_Toc29368"/>
      <w:r>
        <w:rPr>
          <w:rFonts w:hint="eastAsia" w:ascii="宋体" w:hAnsi="宋体" w:cs="宋体"/>
          <w:snapToGrid w:val="0"/>
          <w:kern w:val="0"/>
          <w:szCs w:val="21"/>
        </w:rPr>
        <w:t>本次谈判采购公告在</w:t>
      </w:r>
      <w:r>
        <w:rPr>
          <w:rFonts w:hint="eastAsia" w:ascii="宋体" w:hAnsi="宋体"/>
          <w:szCs w:val="21"/>
        </w:rPr>
        <w:t>重庆国际复合材料</w:t>
      </w:r>
      <w:r>
        <w:rPr>
          <w:rFonts w:ascii="宋体" w:hAnsi="宋体"/>
          <w:szCs w:val="21"/>
        </w:rPr>
        <w:t>股份有限公司（http://www.cpicfiber.com/）上发布。</w:t>
      </w:r>
    </w:p>
    <w:p w14:paraId="0707E371">
      <w:pPr>
        <w:spacing w:line="440" w:lineRule="exact"/>
        <w:jc w:val="left"/>
        <w:outlineLvl w:val="0"/>
        <w:rPr>
          <w:rFonts w:ascii="宋体" w:hAnsi="宋体"/>
          <w:b/>
          <w:snapToGrid w:val="0"/>
          <w:kern w:val="0"/>
          <w:szCs w:val="21"/>
        </w:rPr>
      </w:pPr>
      <w:r>
        <w:rPr>
          <w:rFonts w:hint="eastAsia" w:ascii="宋体" w:hAnsi="宋体"/>
          <w:b/>
          <w:snapToGrid w:val="0"/>
          <w:kern w:val="0"/>
          <w:szCs w:val="21"/>
        </w:rPr>
        <w:t>9.特别注意</w:t>
      </w:r>
    </w:p>
    <w:p w14:paraId="34359C30">
      <w:pPr>
        <w:spacing w:line="440" w:lineRule="exact"/>
        <w:jc w:val="left"/>
        <w:outlineLvl w:val="0"/>
        <w:rPr>
          <w:rFonts w:ascii="宋体" w:hAnsi="宋体"/>
          <w:b/>
          <w:snapToGrid w:val="0"/>
          <w:kern w:val="0"/>
          <w:szCs w:val="21"/>
        </w:rPr>
      </w:pPr>
      <w:r>
        <w:rPr>
          <w:rFonts w:hint="eastAsia" w:ascii="宋体" w:hAnsi="宋体"/>
          <w:b/>
          <w:snapToGrid w:val="0"/>
          <w:kern w:val="0"/>
          <w:szCs w:val="21"/>
        </w:rPr>
        <w:t>　　单位负责人为同一人或者存在控股、管理关系的不同单位，不得同时参加本次谈判采购。</w:t>
      </w:r>
    </w:p>
    <w:p w14:paraId="49256130">
      <w:pPr>
        <w:spacing w:line="440" w:lineRule="exact"/>
        <w:jc w:val="left"/>
        <w:outlineLvl w:val="0"/>
        <w:rPr>
          <w:rFonts w:ascii="宋体" w:hAnsi="宋体"/>
          <w:b/>
          <w:snapToGrid w:val="0"/>
          <w:kern w:val="0"/>
          <w:szCs w:val="21"/>
        </w:rPr>
      </w:pPr>
      <w:bookmarkStart w:id="78" w:name="_Toc4445"/>
      <w:bookmarkStart w:id="79" w:name="_Toc29627"/>
      <w:bookmarkStart w:id="80" w:name="_Toc11677"/>
      <w:bookmarkStart w:id="81" w:name="_Toc30129"/>
      <w:r>
        <w:rPr>
          <w:rFonts w:hint="eastAsia" w:ascii="宋体" w:hAnsi="宋体"/>
          <w:b/>
          <w:snapToGrid w:val="0"/>
          <w:kern w:val="0"/>
          <w:szCs w:val="21"/>
        </w:rPr>
        <w:t>10. 联系方式</w:t>
      </w:r>
      <w:bookmarkEnd w:id="72"/>
      <w:bookmarkEnd w:id="73"/>
      <w:bookmarkEnd w:id="74"/>
      <w:bookmarkEnd w:id="75"/>
      <w:bookmarkEnd w:id="76"/>
      <w:bookmarkEnd w:id="77"/>
      <w:bookmarkEnd w:id="78"/>
      <w:bookmarkEnd w:id="79"/>
      <w:bookmarkEnd w:id="80"/>
      <w:bookmarkEnd w:id="81"/>
    </w:p>
    <w:p w14:paraId="4EE0B492">
      <w:pPr>
        <w:spacing w:line="440" w:lineRule="exact"/>
        <w:ind w:firstLine="424" w:firstLineChars="202"/>
        <w:rPr>
          <w:rFonts w:ascii="宋体" w:hAnsi="宋体"/>
          <w:szCs w:val="21"/>
        </w:rPr>
      </w:pPr>
      <w:r>
        <w:rPr>
          <w:rFonts w:hint="eastAsia" w:ascii="宋体" w:hAnsi="宋体"/>
          <w:szCs w:val="21"/>
        </w:rPr>
        <w:t>采购</w:t>
      </w:r>
      <w:r>
        <w:rPr>
          <w:rFonts w:ascii="宋体" w:hAnsi="宋体"/>
          <w:szCs w:val="21"/>
        </w:rPr>
        <w:t>人：</w:t>
      </w:r>
      <w:r>
        <w:rPr>
          <w:rFonts w:hint="eastAsia" w:ascii="宋体" w:hAnsi="宋体"/>
          <w:szCs w:val="21"/>
        </w:rPr>
        <w:t>重庆国际复合材料股份有限公司</w:t>
      </w:r>
    </w:p>
    <w:p w14:paraId="29D39BF5">
      <w:pPr>
        <w:spacing w:line="440" w:lineRule="exact"/>
        <w:ind w:firstLine="424" w:firstLineChars="202"/>
        <w:rPr>
          <w:rFonts w:ascii="宋体" w:hAnsi="宋体"/>
          <w:szCs w:val="21"/>
        </w:rPr>
      </w:pPr>
      <w:r>
        <w:rPr>
          <w:rFonts w:hint="eastAsia" w:ascii="宋体" w:hAnsi="宋体"/>
          <w:szCs w:val="21"/>
        </w:rPr>
        <w:t>办公地址</w:t>
      </w:r>
      <w:r>
        <w:rPr>
          <w:rFonts w:ascii="宋体" w:hAnsi="宋体"/>
          <w:szCs w:val="21"/>
        </w:rPr>
        <w:t>：</w:t>
      </w:r>
      <w:r>
        <w:rPr>
          <w:rFonts w:hint="eastAsia" w:ascii="宋体" w:hAnsi="宋体"/>
          <w:szCs w:val="21"/>
        </w:rPr>
        <w:t>重庆市大渡口区建桥工业园</w:t>
      </w:r>
      <w:r>
        <w:rPr>
          <w:rFonts w:ascii="宋体" w:hAnsi="宋体"/>
          <w:szCs w:val="21"/>
        </w:rPr>
        <w:t>B</w:t>
      </w:r>
      <w:r>
        <w:rPr>
          <w:rFonts w:hint="eastAsia" w:ascii="宋体" w:hAnsi="宋体"/>
          <w:szCs w:val="21"/>
        </w:rPr>
        <w:t>区</w:t>
      </w:r>
    </w:p>
    <w:p w14:paraId="0164273B">
      <w:pPr>
        <w:spacing w:line="440" w:lineRule="exact"/>
        <w:ind w:firstLine="424" w:firstLineChars="202"/>
        <w:rPr>
          <w:rFonts w:ascii="宋体" w:hAnsi="宋体"/>
          <w:szCs w:val="21"/>
        </w:rPr>
      </w:pPr>
      <w:r>
        <w:rPr>
          <w:rFonts w:ascii="宋体" w:hAnsi="宋体"/>
          <w:szCs w:val="21"/>
        </w:rPr>
        <w:t>联系人：</w:t>
      </w:r>
      <w:bookmarkEnd w:id="6"/>
      <w:bookmarkEnd w:id="7"/>
      <w:bookmarkEnd w:id="8"/>
      <w:bookmarkEnd w:id="9"/>
      <w:bookmarkEnd w:id="10"/>
      <w:bookmarkEnd w:id="11"/>
      <w:r>
        <w:rPr>
          <w:rFonts w:hint="eastAsia" w:ascii="宋体" w:hAnsi="宋体"/>
          <w:szCs w:val="21"/>
        </w:rPr>
        <w:t>杨老师</w:t>
      </w:r>
    </w:p>
    <w:p w14:paraId="62BFC3AC">
      <w:pPr>
        <w:spacing w:line="440" w:lineRule="exact"/>
        <w:ind w:firstLine="424" w:firstLineChars="202"/>
        <w:rPr>
          <w:rFonts w:ascii="宋体" w:hAnsi="宋体"/>
          <w:szCs w:val="21"/>
        </w:rPr>
      </w:pPr>
      <w:r>
        <w:rPr>
          <w:rFonts w:ascii="宋体" w:hAnsi="宋体"/>
          <w:szCs w:val="21"/>
        </w:rPr>
        <w:t>联系电话：</w:t>
      </w:r>
      <w:r>
        <w:rPr>
          <w:rFonts w:hint="eastAsia" w:ascii="宋体" w:hAnsi="宋体"/>
          <w:szCs w:val="21"/>
        </w:rPr>
        <w:t>18983993055</w:t>
      </w:r>
    </w:p>
    <w:p w14:paraId="43EAED30">
      <w:pPr>
        <w:spacing w:line="440" w:lineRule="exact"/>
        <w:ind w:firstLine="424" w:firstLineChars="202"/>
        <w:rPr>
          <w:rFonts w:ascii="宋体" w:hAnsi="宋体"/>
          <w:szCs w:val="21"/>
        </w:rPr>
      </w:pPr>
      <w:r>
        <w:rPr>
          <w:rFonts w:hint="eastAsia" w:ascii="宋体" w:hAnsi="宋体"/>
          <w:szCs w:val="21"/>
        </w:rPr>
        <w:t>监督人：重庆国际复合材料股份有限公司</w:t>
      </w:r>
    </w:p>
    <w:p w14:paraId="16EFACE2">
      <w:pPr>
        <w:spacing w:line="440" w:lineRule="exact"/>
        <w:ind w:firstLine="424" w:firstLineChars="202"/>
        <w:rPr>
          <w:rFonts w:ascii="宋体" w:hAnsi="宋体"/>
          <w:szCs w:val="21"/>
        </w:rPr>
      </w:pPr>
      <w:r>
        <w:rPr>
          <w:rFonts w:hint="eastAsia" w:ascii="宋体" w:hAnsi="宋体"/>
          <w:szCs w:val="21"/>
        </w:rPr>
        <w:t>地址：重庆市大渡口区建桥工业园B区</w:t>
      </w:r>
    </w:p>
    <w:p w14:paraId="78549787">
      <w:pPr>
        <w:spacing w:line="440" w:lineRule="exact"/>
        <w:ind w:firstLine="424" w:firstLineChars="202"/>
        <w:rPr>
          <w:rFonts w:ascii="宋体" w:hAnsi="宋体"/>
          <w:szCs w:val="21"/>
        </w:rPr>
      </w:pPr>
      <w:r>
        <w:rPr>
          <w:rFonts w:hint="eastAsia" w:ascii="宋体" w:hAnsi="宋体"/>
          <w:szCs w:val="21"/>
        </w:rPr>
        <w:t>联系人：付老师</w:t>
      </w:r>
    </w:p>
    <w:p w14:paraId="465943E3">
      <w:pPr>
        <w:spacing w:line="440" w:lineRule="exact"/>
        <w:ind w:firstLine="424" w:firstLineChars="202"/>
        <w:rPr>
          <w:rFonts w:ascii="宋体" w:hAnsi="宋体"/>
          <w:szCs w:val="21"/>
        </w:rPr>
      </w:pPr>
      <w:r>
        <w:rPr>
          <w:rFonts w:hint="eastAsia" w:ascii="宋体" w:hAnsi="宋体"/>
          <w:szCs w:val="21"/>
        </w:rPr>
        <w:t>联系电话：023-68536643</w:t>
      </w:r>
    </w:p>
    <w:p w14:paraId="2F43F5B8">
      <w:pPr>
        <w:spacing w:line="440" w:lineRule="exact"/>
        <w:ind w:firstLine="424" w:firstLineChars="202"/>
        <w:rPr>
          <w:rFonts w:ascii="宋体" w:hAnsi="宋体"/>
          <w:szCs w:val="21"/>
        </w:rPr>
      </w:pPr>
      <w:r>
        <w:rPr>
          <w:rFonts w:hint="eastAsia" w:ascii="宋体" w:hAnsi="宋体"/>
          <w:szCs w:val="21"/>
        </w:rPr>
        <w:t>邮箱：fuwei4253@cpicfiber.com</w:t>
      </w:r>
    </w:p>
    <w:p w14:paraId="31301297">
      <w:pPr>
        <w:rPr>
          <w:rFonts w:ascii="宋体" w:hAnsi="宋体"/>
          <w:highlight w:val="yellow"/>
        </w:rPr>
      </w:pPr>
      <w:r>
        <w:rPr>
          <w:rFonts w:hint="eastAsia" w:ascii="宋体" w:hAnsi="宋体"/>
          <w:highlight w:val="yellow"/>
        </w:rPr>
        <w:br w:type="page"/>
      </w:r>
    </w:p>
    <w:p w14:paraId="1A4F899A">
      <w:pPr>
        <w:pStyle w:val="2"/>
        <w:spacing w:before="240" w:beforeLines="100" w:after="360" w:afterLines="150" w:line="276" w:lineRule="auto"/>
        <w:jc w:val="center"/>
        <w:rPr>
          <w:rFonts w:ascii="宋体" w:hAnsi="宋体"/>
        </w:rPr>
      </w:pPr>
      <w:r>
        <w:rPr>
          <w:rFonts w:hint="eastAsia" w:ascii="宋体" w:hAnsi="宋体"/>
        </w:rPr>
        <w:t>第二章  采购内容</w:t>
      </w:r>
    </w:p>
    <w:p w14:paraId="4B75114F">
      <w:pPr>
        <w:spacing w:line="360" w:lineRule="auto"/>
        <w:ind w:firstLine="480" w:firstLineChars="200"/>
        <w:rPr>
          <w:rFonts w:ascii="宋体" w:hAnsi="宋体"/>
          <w:kern w:val="0"/>
          <w:sz w:val="24"/>
        </w:rPr>
      </w:pPr>
      <w:r>
        <w:rPr>
          <w:rFonts w:hint="eastAsia" w:ascii="宋体" w:hAnsi="宋体"/>
          <w:kern w:val="0"/>
          <w:sz w:val="24"/>
        </w:rPr>
        <w:t>1．项目概况</w:t>
      </w:r>
    </w:p>
    <w:p w14:paraId="5B71FD89">
      <w:pPr>
        <w:spacing w:line="360" w:lineRule="auto"/>
        <w:ind w:firstLine="420" w:firstLineChars="200"/>
        <w:rPr>
          <w:rFonts w:ascii="宋体" w:hAnsi="宋体"/>
          <w:kern w:val="0"/>
          <w:sz w:val="24"/>
          <w:highlight w:val="yellow"/>
        </w:rPr>
      </w:pPr>
      <w:r>
        <w:rPr>
          <w:rFonts w:hint="eastAsia" w:ascii="宋体" w:hAnsi="宋体" w:cs="宋体"/>
          <w:color w:val="000000" w:themeColor="text1"/>
          <w:kern w:val="0"/>
          <w:szCs w:val="21"/>
          <w:u w:val="single"/>
          <w14:textFill>
            <w14:solidFill>
              <w14:schemeClr w14:val="tx1"/>
            </w14:solidFill>
          </w14:textFill>
        </w:rPr>
        <w:t>对F07线厂区包含但不限于钢结构拆除工程、装饰拆除工程、电气拆除工程、管道拆除工程、消防拆除工程、设备拆除工程、建筑拆除工程等，具体详见谈判采购文件及其附件，提供本工程的拆除内容及要求明确的资料、堆放区域明确的资料、堆放要求明确的资料及现场踏勘沟通及回复的要求。</w:t>
      </w:r>
    </w:p>
    <w:p w14:paraId="30450B79">
      <w:pPr>
        <w:numPr>
          <w:ilvl w:val="0"/>
          <w:numId w:val="5"/>
        </w:numPr>
        <w:spacing w:line="360" w:lineRule="auto"/>
        <w:ind w:firstLine="480" w:firstLineChars="200"/>
        <w:rPr>
          <w:rFonts w:ascii="宋体" w:hAnsi="宋体"/>
          <w:kern w:val="0"/>
          <w:sz w:val="24"/>
        </w:rPr>
      </w:pPr>
      <w:r>
        <w:rPr>
          <w:rFonts w:hint="eastAsia" w:ascii="宋体" w:hAnsi="宋体"/>
          <w:kern w:val="0"/>
          <w:sz w:val="24"/>
        </w:rPr>
        <w:t>项目建设地点</w:t>
      </w:r>
    </w:p>
    <w:p w14:paraId="44E1A230">
      <w:pPr>
        <w:spacing w:line="360" w:lineRule="auto"/>
        <w:ind w:firstLine="480" w:firstLineChars="200"/>
        <w:rPr>
          <w:rFonts w:ascii="宋体" w:hAnsi="宋体"/>
          <w:kern w:val="0"/>
          <w:sz w:val="24"/>
        </w:rPr>
      </w:pPr>
      <w:r>
        <w:rPr>
          <w:rFonts w:hint="eastAsia" w:ascii="宋体" w:hAnsi="宋体"/>
          <w:kern w:val="0"/>
          <w:sz w:val="24"/>
        </w:rPr>
        <w:t>重庆天泽新材料有限公司长寿经济技术开发区齐心大道25号。</w:t>
      </w:r>
    </w:p>
    <w:p w14:paraId="58ADCFAF">
      <w:pPr>
        <w:spacing w:line="360" w:lineRule="auto"/>
        <w:ind w:firstLine="480" w:firstLineChars="200"/>
        <w:rPr>
          <w:rFonts w:ascii="宋体" w:hAnsi="宋体"/>
          <w:kern w:val="0"/>
          <w:sz w:val="24"/>
        </w:rPr>
      </w:pPr>
      <w:r>
        <w:rPr>
          <w:rFonts w:ascii="宋体" w:hAnsi="宋体"/>
          <w:kern w:val="0"/>
          <w:sz w:val="24"/>
        </w:rPr>
        <w:t>3</w:t>
      </w:r>
      <w:r>
        <w:rPr>
          <w:rFonts w:hint="eastAsia" w:ascii="宋体" w:hAnsi="宋体"/>
          <w:kern w:val="0"/>
          <w:sz w:val="24"/>
        </w:rPr>
        <w:t>．项目</w:t>
      </w:r>
      <w:r>
        <w:rPr>
          <w:rFonts w:ascii="宋体" w:hAnsi="宋体"/>
          <w:kern w:val="0"/>
          <w:sz w:val="24"/>
        </w:rPr>
        <w:t>方案的组成</w:t>
      </w:r>
    </w:p>
    <w:p w14:paraId="5192C822">
      <w:pPr>
        <w:spacing w:line="360" w:lineRule="auto"/>
        <w:ind w:firstLine="480" w:firstLineChars="200"/>
        <w:rPr>
          <w:rFonts w:ascii="宋体" w:hAnsi="宋体"/>
          <w:kern w:val="0"/>
          <w:sz w:val="24"/>
        </w:rPr>
      </w:pPr>
      <w:r>
        <w:rPr>
          <w:rFonts w:hint="eastAsia" w:ascii="宋体" w:hAnsi="宋体"/>
          <w:kern w:val="0"/>
          <w:sz w:val="24"/>
        </w:rPr>
        <w:t>供应商</w:t>
      </w:r>
      <w:r>
        <w:rPr>
          <w:rFonts w:ascii="宋体" w:hAnsi="宋体"/>
          <w:kern w:val="0"/>
          <w:sz w:val="24"/>
        </w:rPr>
        <w:t>提供的</w:t>
      </w:r>
      <w:r>
        <w:rPr>
          <w:rFonts w:hint="eastAsia" w:ascii="宋体" w:hAnsi="宋体"/>
          <w:kern w:val="0"/>
          <w:sz w:val="24"/>
        </w:rPr>
        <w:t>项目</w:t>
      </w:r>
      <w:r>
        <w:rPr>
          <w:rFonts w:ascii="宋体" w:hAnsi="宋体"/>
          <w:kern w:val="0"/>
          <w:sz w:val="24"/>
        </w:rPr>
        <w:t>方案应包含以下内容：</w:t>
      </w:r>
    </w:p>
    <w:p w14:paraId="54D803CF">
      <w:pPr>
        <w:spacing w:line="360" w:lineRule="auto"/>
        <w:ind w:firstLine="420" w:firstLineChars="200"/>
        <w:rPr>
          <w:rFonts w:ascii="宋体" w:hAnsi="宋体"/>
          <w:kern w:val="0"/>
          <w:sz w:val="24"/>
          <w:highlight w:val="yellow"/>
        </w:rPr>
      </w:pPr>
      <w:bookmarkStart w:id="82" w:name="OLE_LINK2"/>
      <w:bookmarkStart w:id="83" w:name="OLE_LINK3"/>
      <w:r>
        <w:rPr>
          <w:rFonts w:hint="eastAsia" w:ascii="宋体" w:hAnsi="宋体" w:cs="宋体"/>
          <w:color w:val="000000" w:themeColor="text1"/>
          <w:kern w:val="0"/>
          <w:szCs w:val="21"/>
          <w:u w:val="single"/>
          <w14:textFill>
            <w14:solidFill>
              <w14:schemeClr w14:val="tx1"/>
            </w14:solidFill>
          </w14:textFill>
        </w:rPr>
        <w:t>对F07线厂区包含但不限于钢结构拆除工程、装饰拆除工程、电气拆除工程、管道拆除工程、消防拆除工程、设备拆除工程、建筑拆除工程破坏性、保护性拆除工程等安全施工拆除方案。</w:t>
      </w:r>
      <w:bookmarkEnd w:id="82"/>
      <w:bookmarkEnd w:id="83"/>
    </w:p>
    <w:p w14:paraId="4DFFFB80">
      <w:pPr>
        <w:rPr>
          <w:rFonts w:ascii="宋体" w:hAnsi="宋体"/>
          <w:sz w:val="24"/>
        </w:rPr>
      </w:pPr>
    </w:p>
    <w:p w14:paraId="5304833E">
      <w:pPr>
        <w:rPr>
          <w:rFonts w:ascii="宋体" w:hAnsi="宋体"/>
          <w:sz w:val="24"/>
        </w:rPr>
      </w:pPr>
    </w:p>
    <w:p w14:paraId="4A3FBD33">
      <w:pPr>
        <w:rPr>
          <w:rFonts w:ascii="宋体" w:hAnsi="宋体"/>
          <w:sz w:val="24"/>
        </w:rPr>
      </w:pPr>
    </w:p>
    <w:p w14:paraId="72EF35D8">
      <w:pPr>
        <w:rPr>
          <w:rFonts w:ascii="宋体" w:hAnsi="宋体"/>
          <w:sz w:val="24"/>
        </w:rPr>
      </w:pPr>
    </w:p>
    <w:p w14:paraId="75203929">
      <w:pPr>
        <w:rPr>
          <w:rFonts w:ascii="宋体" w:hAnsi="宋体"/>
          <w:sz w:val="24"/>
        </w:rPr>
      </w:pPr>
    </w:p>
    <w:p w14:paraId="2B0A44CA">
      <w:pPr>
        <w:rPr>
          <w:rFonts w:ascii="宋体" w:hAnsi="宋体"/>
          <w:sz w:val="24"/>
        </w:rPr>
      </w:pPr>
    </w:p>
    <w:p w14:paraId="6C73BF28">
      <w:pPr>
        <w:rPr>
          <w:rFonts w:ascii="宋体" w:hAnsi="宋体"/>
          <w:sz w:val="24"/>
        </w:rPr>
      </w:pPr>
    </w:p>
    <w:p w14:paraId="702BF617">
      <w:pPr>
        <w:rPr>
          <w:rFonts w:ascii="宋体" w:hAnsi="宋体"/>
          <w:sz w:val="24"/>
        </w:rPr>
      </w:pPr>
    </w:p>
    <w:p w14:paraId="53C67A38">
      <w:pPr>
        <w:rPr>
          <w:rFonts w:ascii="宋体" w:hAnsi="宋体"/>
          <w:sz w:val="24"/>
        </w:rPr>
      </w:pPr>
    </w:p>
    <w:p w14:paraId="7D61DC64">
      <w:pPr>
        <w:rPr>
          <w:rFonts w:ascii="宋体" w:hAnsi="宋体"/>
          <w:sz w:val="24"/>
        </w:rPr>
      </w:pPr>
    </w:p>
    <w:p w14:paraId="5EA186C3">
      <w:pPr>
        <w:rPr>
          <w:rFonts w:ascii="宋体" w:hAnsi="宋体"/>
          <w:sz w:val="24"/>
        </w:rPr>
      </w:pPr>
    </w:p>
    <w:p w14:paraId="4C4B239B">
      <w:pPr>
        <w:rPr>
          <w:rFonts w:ascii="宋体" w:hAnsi="宋体"/>
          <w:sz w:val="24"/>
        </w:rPr>
      </w:pPr>
    </w:p>
    <w:p w14:paraId="7E6FB419">
      <w:pPr>
        <w:rPr>
          <w:rFonts w:ascii="宋体" w:hAnsi="宋体"/>
          <w:sz w:val="24"/>
        </w:rPr>
      </w:pPr>
    </w:p>
    <w:p w14:paraId="7A46251D">
      <w:pPr>
        <w:rPr>
          <w:rFonts w:ascii="宋体" w:hAnsi="宋体"/>
          <w:sz w:val="24"/>
        </w:rPr>
      </w:pPr>
    </w:p>
    <w:p w14:paraId="36ACA313">
      <w:pPr>
        <w:rPr>
          <w:rFonts w:ascii="宋体" w:hAnsi="宋体"/>
          <w:sz w:val="24"/>
        </w:rPr>
      </w:pPr>
    </w:p>
    <w:p w14:paraId="461B2EFE">
      <w:pPr>
        <w:rPr>
          <w:rFonts w:ascii="宋体" w:hAnsi="宋体"/>
          <w:sz w:val="24"/>
        </w:rPr>
      </w:pPr>
    </w:p>
    <w:p w14:paraId="14FA5099">
      <w:pPr>
        <w:rPr>
          <w:rFonts w:ascii="宋体" w:hAnsi="宋体"/>
          <w:sz w:val="24"/>
        </w:rPr>
      </w:pPr>
    </w:p>
    <w:p w14:paraId="516A3F7C">
      <w:pPr>
        <w:rPr>
          <w:rFonts w:ascii="宋体" w:hAnsi="宋体"/>
          <w:sz w:val="24"/>
        </w:rPr>
      </w:pPr>
    </w:p>
    <w:p w14:paraId="543BA098">
      <w:pPr>
        <w:rPr>
          <w:rFonts w:ascii="宋体" w:hAnsi="宋体"/>
          <w:sz w:val="24"/>
        </w:rPr>
      </w:pPr>
    </w:p>
    <w:p w14:paraId="13431571">
      <w:pPr>
        <w:rPr>
          <w:rFonts w:ascii="宋体" w:hAnsi="宋体"/>
          <w:sz w:val="24"/>
        </w:rPr>
      </w:pPr>
    </w:p>
    <w:p w14:paraId="6AA6B976">
      <w:pPr>
        <w:rPr>
          <w:rFonts w:ascii="宋体" w:hAnsi="宋体"/>
          <w:sz w:val="24"/>
        </w:rPr>
      </w:pPr>
    </w:p>
    <w:p w14:paraId="58CCCE7B">
      <w:pPr>
        <w:rPr>
          <w:rFonts w:ascii="宋体" w:hAnsi="宋体"/>
          <w:sz w:val="24"/>
        </w:rPr>
      </w:pPr>
    </w:p>
    <w:p w14:paraId="69F7EDE9">
      <w:pPr>
        <w:rPr>
          <w:rFonts w:ascii="宋体" w:hAnsi="宋体"/>
          <w:sz w:val="24"/>
        </w:rPr>
      </w:pPr>
    </w:p>
    <w:p w14:paraId="67AD54E0">
      <w:pPr>
        <w:pStyle w:val="2"/>
        <w:spacing w:before="240" w:beforeLines="100" w:after="360" w:afterLines="150" w:line="276" w:lineRule="auto"/>
        <w:jc w:val="center"/>
        <w:rPr>
          <w:rFonts w:ascii="宋体" w:hAnsi="宋体"/>
        </w:rPr>
      </w:pPr>
      <w:bookmarkStart w:id="84" w:name="OLE_LINK8"/>
      <w:bookmarkStart w:id="85" w:name="OLE_LINK9"/>
      <w:r>
        <w:rPr>
          <w:rFonts w:hint="eastAsia" w:ascii="宋体" w:hAnsi="宋体"/>
        </w:rPr>
        <w:t>第三章  供应商</w:t>
      </w:r>
      <w:r>
        <w:rPr>
          <w:rFonts w:ascii="宋体" w:hAnsi="宋体"/>
        </w:rPr>
        <w:t>须知</w:t>
      </w:r>
    </w:p>
    <w:bookmarkEnd w:id="84"/>
    <w:bookmarkEnd w:id="85"/>
    <w:p w14:paraId="5FFA2AAF">
      <w:pPr>
        <w:spacing w:line="360" w:lineRule="auto"/>
        <w:ind w:firstLine="482" w:firstLineChars="200"/>
        <w:rPr>
          <w:rFonts w:ascii="宋体" w:hAnsi="宋体"/>
          <w:b/>
          <w:kern w:val="0"/>
          <w:sz w:val="24"/>
        </w:rPr>
      </w:pPr>
      <w:r>
        <w:rPr>
          <w:rFonts w:hint="eastAsia" w:ascii="宋体" w:hAnsi="宋体"/>
          <w:b/>
          <w:kern w:val="0"/>
          <w:sz w:val="24"/>
        </w:rPr>
        <w:t>一</w:t>
      </w:r>
      <w:r>
        <w:rPr>
          <w:rFonts w:ascii="宋体" w:hAnsi="宋体"/>
          <w:b/>
          <w:kern w:val="0"/>
          <w:sz w:val="24"/>
        </w:rPr>
        <w:t>、总则</w:t>
      </w:r>
    </w:p>
    <w:p w14:paraId="3DFB99F1">
      <w:pPr>
        <w:spacing w:line="360" w:lineRule="auto"/>
        <w:ind w:firstLine="482" w:firstLineChars="200"/>
        <w:rPr>
          <w:rFonts w:ascii="宋体" w:hAnsi="宋体"/>
          <w:b/>
          <w:kern w:val="0"/>
          <w:sz w:val="24"/>
        </w:rPr>
      </w:pPr>
      <w:r>
        <w:rPr>
          <w:rFonts w:ascii="宋体" w:hAnsi="宋体"/>
          <w:b/>
          <w:kern w:val="0"/>
          <w:sz w:val="24"/>
        </w:rPr>
        <w:t>1.</w:t>
      </w:r>
      <w:r>
        <w:rPr>
          <w:rFonts w:hint="eastAsia" w:ascii="宋体" w:hAnsi="宋体"/>
          <w:b/>
          <w:kern w:val="0"/>
          <w:sz w:val="24"/>
        </w:rPr>
        <w:t>适用</w:t>
      </w:r>
      <w:r>
        <w:rPr>
          <w:rFonts w:ascii="宋体" w:hAnsi="宋体"/>
          <w:b/>
          <w:kern w:val="0"/>
          <w:sz w:val="24"/>
        </w:rPr>
        <w:t>范围</w:t>
      </w:r>
    </w:p>
    <w:p w14:paraId="6DBA5B45">
      <w:pPr>
        <w:spacing w:line="360" w:lineRule="auto"/>
        <w:ind w:firstLine="480" w:firstLineChars="200"/>
        <w:rPr>
          <w:rFonts w:ascii="宋体" w:hAnsi="宋体"/>
          <w:kern w:val="0"/>
          <w:sz w:val="24"/>
        </w:rPr>
      </w:pPr>
      <w:r>
        <w:rPr>
          <w:rFonts w:hint="eastAsia" w:ascii="宋体" w:hAnsi="宋体"/>
          <w:kern w:val="0"/>
          <w:sz w:val="24"/>
        </w:rPr>
        <w:t>1.1 本谈判文件仅</w:t>
      </w:r>
      <w:r>
        <w:rPr>
          <w:rFonts w:ascii="宋体" w:hAnsi="宋体"/>
          <w:kern w:val="0"/>
          <w:sz w:val="24"/>
        </w:rPr>
        <w:t>适用于本</w:t>
      </w:r>
      <w:r>
        <w:rPr>
          <w:rFonts w:hint="eastAsia" w:ascii="宋体" w:hAnsi="宋体"/>
          <w:kern w:val="0"/>
          <w:sz w:val="24"/>
        </w:rPr>
        <w:t>谈判采购</w:t>
      </w:r>
      <w:r>
        <w:rPr>
          <w:rFonts w:ascii="宋体" w:hAnsi="宋体"/>
          <w:kern w:val="0"/>
          <w:sz w:val="24"/>
        </w:rPr>
        <w:t>中所叙述项目下的采购</w:t>
      </w:r>
      <w:r>
        <w:rPr>
          <w:rFonts w:hint="eastAsia" w:ascii="宋体" w:hAnsi="宋体"/>
          <w:color w:val="000000" w:themeColor="text1"/>
          <w:sz w:val="24"/>
          <w14:textFill>
            <w14:solidFill>
              <w14:schemeClr w14:val="tx1"/>
            </w14:solidFill>
          </w14:textFill>
        </w:rPr>
        <w:t>，是供应商编制谈判文件的依据</w:t>
      </w:r>
      <w:r>
        <w:rPr>
          <w:rFonts w:ascii="宋体" w:hAnsi="宋体"/>
          <w:kern w:val="0"/>
          <w:sz w:val="24"/>
        </w:rPr>
        <w:t>。</w:t>
      </w:r>
    </w:p>
    <w:p w14:paraId="5382A561">
      <w:pPr>
        <w:spacing w:line="360" w:lineRule="auto"/>
        <w:ind w:firstLine="480" w:firstLineChars="200"/>
        <w:rPr>
          <w:rFonts w:ascii="宋体" w:hAnsi="宋体"/>
          <w:kern w:val="0"/>
          <w:sz w:val="24"/>
        </w:rPr>
      </w:pPr>
      <w:r>
        <w:rPr>
          <w:rFonts w:hint="eastAsia" w:ascii="宋体" w:hAnsi="宋体"/>
          <w:kern w:val="0"/>
          <w:sz w:val="24"/>
        </w:rPr>
        <w:t>1.2</w:t>
      </w:r>
      <w:r>
        <w:rPr>
          <w:rFonts w:ascii="宋体" w:hAnsi="宋体"/>
          <w:kern w:val="0"/>
          <w:sz w:val="24"/>
        </w:rPr>
        <w:t xml:space="preserve"> </w:t>
      </w:r>
      <w:r>
        <w:rPr>
          <w:rFonts w:hint="eastAsia" w:ascii="宋体" w:hAnsi="宋体"/>
          <w:color w:val="000000" w:themeColor="text1"/>
          <w:sz w:val="24"/>
          <w14:textFill>
            <w14:solidFill>
              <w14:schemeClr w14:val="tx1"/>
            </w14:solidFill>
          </w14:textFill>
        </w:rPr>
        <w:t>本谈判文件及由本次谈判所形成的合同适用中华人民共和国法律。</w:t>
      </w:r>
    </w:p>
    <w:p w14:paraId="1B16C9FD">
      <w:pPr>
        <w:spacing w:line="360" w:lineRule="auto"/>
        <w:ind w:firstLine="482" w:firstLineChars="200"/>
        <w:rPr>
          <w:rFonts w:ascii="宋体" w:hAnsi="宋体"/>
          <w:b/>
          <w:kern w:val="0"/>
          <w:sz w:val="24"/>
        </w:rPr>
      </w:pPr>
      <w:r>
        <w:rPr>
          <w:rFonts w:ascii="宋体" w:hAnsi="宋体"/>
          <w:b/>
          <w:kern w:val="0"/>
          <w:sz w:val="24"/>
        </w:rPr>
        <w:t>2.</w:t>
      </w:r>
      <w:r>
        <w:rPr>
          <w:rFonts w:hint="eastAsia" w:ascii="宋体" w:hAnsi="宋体"/>
          <w:b/>
          <w:kern w:val="0"/>
          <w:sz w:val="24"/>
        </w:rPr>
        <w:t>合格</w:t>
      </w:r>
      <w:r>
        <w:rPr>
          <w:rFonts w:ascii="宋体" w:hAnsi="宋体"/>
          <w:b/>
          <w:kern w:val="0"/>
          <w:sz w:val="24"/>
        </w:rPr>
        <w:t>的供应商</w:t>
      </w:r>
    </w:p>
    <w:p w14:paraId="5EE48F31">
      <w:pPr>
        <w:spacing w:line="360" w:lineRule="auto"/>
        <w:ind w:firstLine="480" w:firstLineChars="200"/>
        <w:rPr>
          <w:rFonts w:ascii="宋体" w:hAnsi="宋体"/>
          <w:kern w:val="0"/>
          <w:sz w:val="24"/>
        </w:rPr>
      </w:pPr>
      <w:r>
        <w:rPr>
          <w:rFonts w:ascii="宋体" w:hAnsi="宋体"/>
          <w:kern w:val="0"/>
          <w:sz w:val="24"/>
        </w:rPr>
        <w:t>2</w:t>
      </w:r>
      <w:r>
        <w:rPr>
          <w:rFonts w:hint="eastAsia" w:ascii="宋体" w:hAnsi="宋体"/>
          <w:kern w:val="0"/>
          <w:sz w:val="24"/>
        </w:rPr>
        <w:t>.1 凡在</w:t>
      </w:r>
      <w:r>
        <w:rPr>
          <w:rFonts w:ascii="宋体" w:hAnsi="宋体"/>
          <w:kern w:val="0"/>
          <w:sz w:val="24"/>
        </w:rPr>
        <w:t>中华人民共和国注册的、具有法人资格的、具备资质要求的公司均可</w:t>
      </w:r>
      <w:r>
        <w:rPr>
          <w:rFonts w:hint="eastAsia" w:ascii="宋体" w:hAnsi="宋体"/>
          <w:kern w:val="0"/>
          <w:sz w:val="24"/>
        </w:rPr>
        <w:t>参与谈判采购</w:t>
      </w:r>
      <w:r>
        <w:rPr>
          <w:rFonts w:ascii="宋体" w:hAnsi="宋体"/>
          <w:kern w:val="0"/>
          <w:sz w:val="24"/>
        </w:rPr>
        <w:t>。</w:t>
      </w:r>
    </w:p>
    <w:p w14:paraId="3C2E73F7">
      <w:pPr>
        <w:spacing w:line="360" w:lineRule="auto"/>
        <w:ind w:firstLine="480" w:firstLineChars="200"/>
        <w:rPr>
          <w:rFonts w:ascii="宋体" w:hAnsi="宋体"/>
          <w:kern w:val="0"/>
          <w:sz w:val="24"/>
        </w:rPr>
      </w:pPr>
      <w:r>
        <w:rPr>
          <w:rFonts w:ascii="宋体" w:hAnsi="宋体"/>
          <w:kern w:val="0"/>
          <w:sz w:val="24"/>
        </w:rPr>
        <w:t xml:space="preserve">2.2 </w:t>
      </w:r>
      <w:r>
        <w:rPr>
          <w:rFonts w:hint="eastAsia" w:ascii="宋体" w:hAnsi="宋体"/>
          <w:color w:val="000000" w:themeColor="text1"/>
          <w:sz w:val="24"/>
          <w14:textFill>
            <w14:solidFill>
              <w14:schemeClr w14:val="tx1"/>
            </w14:solidFill>
          </w14:textFill>
        </w:rPr>
        <w:t>本次谈判采购对供应商的资格审查采用资格后审。</w:t>
      </w:r>
    </w:p>
    <w:p w14:paraId="082046C9">
      <w:pPr>
        <w:spacing w:line="360" w:lineRule="auto"/>
        <w:ind w:firstLine="480" w:firstLineChars="200"/>
        <w:rPr>
          <w:rFonts w:ascii="宋体" w:hAnsi="宋体"/>
          <w:kern w:val="0"/>
          <w:sz w:val="24"/>
        </w:rPr>
      </w:pPr>
      <w:r>
        <w:rPr>
          <w:rFonts w:ascii="宋体" w:hAnsi="宋体"/>
          <w:kern w:val="0"/>
          <w:sz w:val="24"/>
        </w:rPr>
        <w:t>2</w:t>
      </w:r>
      <w:r>
        <w:rPr>
          <w:rFonts w:hint="eastAsia" w:ascii="宋体" w:hAnsi="宋体"/>
          <w:kern w:val="0"/>
          <w:sz w:val="24"/>
        </w:rPr>
        <w:t>.3 供应商</w:t>
      </w:r>
      <w:r>
        <w:rPr>
          <w:rFonts w:ascii="宋体" w:hAnsi="宋体"/>
          <w:kern w:val="0"/>
          <w:sz w:val="24"/>
        </w:rPr>
        <w:t>应遵</w:t>
      </w:r>
      <w:r>
        <w:rPr>
          <w:rFonts w:ascii="宋体" w:hAnsi="宋体"/>
          <w:color w:val="000000" w:themeColor="text1"/>
          <w:kern w:val="0"/>
          <w:sz w:val="24"/>
          <w14:textFill>
            <w14:solidFill>
              <w14:schemeClr w14:val="tx1"/>
            </w14:solidFill>
          </w14:textFill>
        </w:rPr>
        <w:t>守</w:t>
      </w:r>
      <w:r>
        <w:rPr>
          <w:rFonts w:ascii="宋体" w:hAnsi="宋体"/>
          <w:kern w:val="0"/>
          <w:sz w:val="24"/>
        </w:rPr>
        <w:t>中国法律和法规。</w:t>
      </w:r>
    </w:p>
    <w:p w14:paraId="208E153B">
      <w:pPr>
        <w:spacing w:line="360" w:lineRule="auto"/>
        <w:ind w:firstLine="482" w:firstLineChars="200"/>
        <w:rPr>
          <w:rFonts w:ascii="宋体" w:hAnsi="宋体"/>
          <w:b/>
          <w:kern w:val="0"/>
          <w:sz w:val="24"/>
        </w:rPr>
      </w:pPr>
      <w:r>
        <w:rPr>
          <w:rFonts w:ascii="宋体" w:hAnsi="宋体"/>
          <w:b/>
          <w:kern w:val="0"/>
          <w:sz w:val="24"/>
        </w:rPr>
        <w:t>3</w:t>
      </w:r>
      <w:r>
        <w:rPr>
          <w:rFonts w:hint="eastAsia" w:ascii="宋体" w:hAnsi="宋体"/>
          <w:b/>
          <w:kern w:val="0"/>
          <w:sz w:val="24"/>
        </w:rPr>
        <w:t>.谈判采购</w:t>
      </w:r>
      <w:r>
        <w:rPr>
          <w:rFonts w:ascii="宋体" w:hAnsi="宋体"/>
          <w:b/>
          <w:kern w:val="0"/>
          <w:sz w:val="24"/>
        </w:rPr>
        <w:t>费用</w:t>
      </w:r>
    </w:p>
    <w:p w14:paraId="7A28B544">
      <w:pPr>
        <w:spacing w:line="360" w:lineRule="auto"/>
        <w:ind w:firstLine="480" w:firstLineChars="200"/>
        <w:rPr>
          <w:rFonts w:ascii="宋体" w:hAnsi="宋体"/>
          <w:color w:val="000000" w:themeColor="text1"/>
          <w:sz w:val="24"/>
          <w14:textFill>
            <w14:solidFill>
              <w14:schemeClr w14:val="tx1"/>
            </w14:solidFill>
          </w14:textFill>
        </w:rPr>
      </w:pPr>
      <w:r>
        <w:rPr>
          <w:rFonts w:ascii="宋体" w:hAnsi="宋体"/>
          <w:kern w:val="0"/>
          <w:sz w:val="24"/>
        </w:rPr>
        <w:t>3</w:t>
      </w:r>
      <w:r>
        <w:rPr>
          <w:rFonts w:hint="eastAsia" w:ascii="宋体" w:hAnsi="宋体"/>
          <w:kern w:val="0"/>
          <w:sz w:val="24"/>
        </w:rPr>
        <w:t>.1</w:t>
      </w:r>
      <w:r>
        <w:rPr>
          <w:rFonts w:ascii="宋体" w:hAnsi="宋体"/>
          <w:color w:val="000000" w:themeColor="text1"/>
          <w:sz w:val="24"/>
          <w14:textFill>
            <w14:solidFill>
              <w14:schemeClr w14:val="tx1"/>
            </w14:solidFill>
          </w14:textFill>
        </w:rPr>
        <w:t>供应商应承担其参与本次</w:t>
      </w:r>
      <w:r>
        <w:rPr>
          <w:rFonts w:hint="eastAsia" w:ascii="宋体" w:hAnsi="宋体"/>
          <w:kern w:val="0"/>
          <w:sz w:val="24"/>
        </w:rPr>
        <w:t>谈判采购</w:t>
      </w:r>
      <w:r>
        <w:rPr>
          <w:rFonts w:ascii="宋体" w:hAnsi="宋体"/>
          <w:color w:val="000000" w:themeColor="text1"/>
          <w:sz w:val="24"/>
          <w14:textFill>
            <w14:solidFill>
              <w14:schemeClr w14:val="tx1"/>
            </w14:solidFill>
          </w14:textFill>
        </w:rPr>
        <w:t>所涉及的一切费用。不论</w:t>
      </w:r>
      <w:r>
        <w:rPr>
          <w:rFonts w:hint="eastAsia" w:ascii="宋体" w:hAnsi="宋体"/>
          <w:color w:val="000000" w:themeColor="text1"/>
          <w:sz w:val="24"/>
          <w14:textFill>
            <w14:solidFill>
              <w14:schemeClr w14:val="tx1"/>
            </w14:solidFill>
          </w14:textFill>
        </w:rPr>
        <w:t>谈判</w:t>
      </w:r>
      <w:r>
        <w:rPr>
          <w:rFonts w:ascii="宋体" w:hAnsi="宋体"/>
          <w:color w:val="000000" w:themeColor="text1"/>
          <w:sz w:val="24"/>
          <w14:textFill>
            <w14:solidFill>
              <w14:schemeClr w14:val="tx1"/>
            </w14:solidFill>
          </w14:textFill>
        </w:rPr>
        <w:t>结果如何，</w:t>
      </w:r>
      <w:r>
        <w:rPr>
          <w:rFonts w:hint="eastAsia" w:ascii="宋体" w:hAnsi="宋体"/>
          <w:color w:val="000000" w:themeColor="text1"/>
          <w:sz w:val="24"/>
          <w14:textFill>
            <w14:solidFill>
              <w14:schemeClr w14:val="tx1"/>
            </w14:solidFill>
          </w14:textFill>
        </w:rPr>
        <w:t>采购人均无</w:t>
      </w:r>
      <w:r>
        <w:rPr>
          <w:rFonts w:ascii="宋体" w:hAnsi="宋体"/>
          <w:color w:val="000000" w:themeColor="text1"/>
          <w:sz w:val="24"/>
          <w14:textFill>
            <w14:solidFill>
              <w14:schemeClr w14:val="tx1"/>
            </w14:solidFill>
          </w14:textFill>
        </w:rPr>
        <w:t>义务</w:t>
      </w:r>
      <w:r>
        <w:rPr>
          <w:rFonts w:hint="eastAsia" w:ascii="宋体" w:hAnsi="宋体"/>
          <w:color w:val="000000" w:themeColor="text1"/>
          <w:sz w:val="24"/>
          <w14:textFill>
            <w14:solidFill>
              <w14:schemeClr w14:val="tx1"/>
            </w14:solidFill>
          </w14:textFill>
        </w:rPr>
        <w:t>和</w:t>
      </w:r>
      <w:r>
        <w:rPr>
          <w:rFonts w:ascii="宋体" w:hAnsi="宋体"/>
          <w:color w:val="000000" w:themeColor="text1"/>
          <w:sz w:val="24"/>
          <w14:textFill>
            <w14:solidFill>
              <w14:schemeClr w14:val="tx1"/>
            </w14:solidFill>
          </w14:textFill>
        </w:rPr>
        <w:t>责任承担这些费用</w:t>
      </w:r>
      <w:r>
        <w:rPr>
          <w:rFonts w:hint="eastAsia" w:ascii="宋体" w:hAnsi="宋体"/>
          <w:color w:val="000000" w:themeColor="text1"/>
          <w:sz w:val="24"/>
          <w14:textFill>
            <w14:solidFill>
              <w14:schemeClr w14:val="tx1"/>
            </w14:solidFill>
          </w14:textFill>
        </w:rPr>
        <w:t>。</w:t>
      </w:r>
    </w:p>
    <w:p w14:paraId="334EA8F4">
      <w:pPr>
        <w:spacing w:line="360" w:lineRule="auto"/>
        <w:ind w:firstLine="482" w:firstLineChars="200"/>
        <w:rPr>
          <w:rFonts w:ascii="宋体" w:hAnsi="宋体"/>
          <w:b/>
          <w:sz w:val="24"/>
        </w:rPr>
      </w:pPr>
      <w:r>
        <w:rPr>
          <w:rFonts w:ascii="宋体" w:hAnsi="宋体"/>
          <w:b/>
          <w:sz w:val="24"/>
        </w:rPr>
        <w:t>4.特别注意</w:t>
      </w:r>
    </w:p>
    <w:p w14:paraId="5E2E0B2B">
      <w:pPr>
        <w:spacing w:line="360" w:lineRule="auto"/>
        <w:ind w:firstLine="480" w:firstLineChars="200"/>
        <w:rPr>
          <w:rFonts w:ascii="宋体" w:hAnsi="宋体"/>
          <w:sz w:val="24"/>
        </w:rPr>
      </w:pPr>
      <w:r>
        <w:rPr>
          <w:rFonts w:hint="eastAsia" w:ascii="宋体" w:hAnsi="宋体"/>
          <w:sz w:val="24"/>
        </w:rPr>
        <w:t>单位负责人为同一人或者存在控股、管理关系的不同单位，不得同时参加本次谈判采购。</w:t>
      </w:r>
    </w:p>
    <w:p w14:paraId="15F556B3">
      <w:pPr>
        <w:spacing w:line="360" w:lineRule="auto"/>
        <w:ind w:firstLine="482" w:firstLineChars="200"/>
        <w:rPr>
          <w:rFonts w:ascii="宋体" w:hAnsi="宋体"/>
          <w:b/>
          <w:kern w:val="0"/>
          <w:sz w:val="24"/>
        </w:rPr>
      </w:pPr>
      <w:r>
        <w:rPr>
          <w:rFonts w:hint="eastAsia" w:ascii="宋体" w:hAnsi="宋体"/>
          <w:b/>
          <w:kern w:val="0"/>
          <w:sz w:val="24"/>
        </w:rPr>
        <w:t>二</w:t>
      </w:r>
      <w:r>
        <w:rPr>
          <w:rFonts w:ascii="宋体" w:hAnsi="宋体"/>
          <w:b/>
          <w:kern w:val="0"/>
          <w:sz w:val="24"/>
        </w:rPr>
        <w:t>、谈判文件说明</w:t>
      </w:r>
    </w:p>
    <w:p w14:paraId="02B5529B">
      <w:pPr>
        <w:spacing w:line="360" w:lineRule="auto"/>
        <w:ind w:firstLine="482" w:firstLineChars="200"/>
        <w:rPr>
          <w:rFonts w:ascii="宋体" w:hAnsi="宋体"/>
          <w:b/>
          <w:kern w:val="0"/>
          <w:sz w:val="24"/>
        </w:rPr>
      </w:pPr>
      <w:r>
        <w:rPr>
          <w:rFonts w:ascii="宋体" w:hAnsi="宋体"/>
          <w:b/>
          <w:kern w:val="0"/>
          <w:sz w:val="24"/>
        </w:rPr>
        <w:t>1</w:t>
      </w:r>
      <w:r>
        <w:rPr>
          <w:rFonts w:hint="eastAsia" w:ascii="宋体" w:hAnsi="宋体"/>
          <w:b/>
          <w:kern w:val="0"/>
          <w:sz w:val="24"/>
        </w:rPr>
        <w:t>.谈判文件</w:t>
      </w:r>
      <w:r>
        <w:rPr>
          <w:rFonts w:ascii="宋体" w:hAnsi="宋体"/>
          <w:b/>
          <w:kern w:val="0"/>
          <w:sz w:val="24"/>
        </w:rPr>
        <w:t>的构成</w:t>
      </w:r>
    </w:p>
    <w:p w14:paraId="758C1219">
      <w:pPr>
        <w:spacing w:line="360" w:lineRule="auto"/>
        <w:ind w:firstLine="480" w:firstLineChars="200"/>
        <w:rPr>
          <w:rFonts w:ascii="宋体" w:hAnsi="宋体"/>
          <w:kern w:val="0"/>
          <w:sz w:val="24"/>
        </w:rPr>
      </w:pPr>
      <w:r>
        <w:rPr>
          <w:rFonts w:ascii="宋体" w:hAnsi="宋体"/>
          <w:kern w:val="0"/>
          <w:sz w:val="24"/>
        </w:rPr>
        <w:t xml:space="preserve">1.1 </w:t>
      </w:r>
      <w:r>
        <w:rPr>
          <w:rFonts w:hint="eastAsia" w:ascii="宋体" w:hAnsi="宋体"/>
          <w:kern w:val="0"/>
          <w:sz w:val="24"/>
        </w:rPr>
        <w:t>谈判文件用</w:t>
      </w:r>
      <w:r>
        <w:rPr>
          <w:rFonts w:ascii="宋体" w:hAnsi="宋体"/>
          <w:kern w:val="0"/>
          <w:sz w:val="24"/>
        </w:rPr>
        <w:t>以阐明所需提供的服务内容和范围及</w:t>
      </w:r>
      <w:r>
        <w:rPr>
          <w:rFonts w:hint="eastAsia" w:ascii="宋体" w:hAnsi="宋体"/>
          <w:kern w:val="0"/>
          <w:sz w:val="24"/>
        </w:rPr>
        <w:t>谈判采购</w:t>
      </w:r>
      <w:r>
        <w:rPr>
          <w:rFonts w:ascii="宋体" w:hAnsi="宋体"/>
          <w:kern w:val="0"/>
          <w:sz w:val="24"/>
        </w:rPr>
        <w:t>程序。谈判文件包括以下内容：</w:t>
      </w:r>
    </w:p>
    <w:p w14:paraId="7C90B7AF">
      <w:pPr>
        <w:spacing w:line="360" w:lineRule="auto"/>
        <w:ind w:firstLine="480" w:firstLineChars="200"/>
        <w:rPr>
          <w:rFonts w:ascii="宋体" w:hAnsi="宋体"/>
          <w:kern w:val="0"/>
          <w:sz w:val="24"/>
        </w:rPr>
      </w:pPr>
      <w:r>
        <w:rPr>
          <w:rFonts w:hint="eastAsia" w:ascii="宋体" w:hAnsi="宋体"/>
          <w:kern w:val="0"/>
          <w:sz w:val="24"/>
        </w:rPr>
        <w:t>（1）谈判公告</w:t>
      </w:r>
    </w:p>
    <w:p w14:paraId="041F299F">
      <w:pPr>
        <w:spacing w:line="360" w:lineRule="auto"/>
        <w:ind w:firstLine="480" w:firstLineChars="200"/>
        <w:rPr>
          <w:rFonts w:ascii="宋体" w:hAnsi="宋体"/>
          <w:kern w:val="0"/>
          <w:sz w:val="24"/>
        </w:rPr>
      </w:pPr>
      <w:r>
        <w:rPr>
          <w:rFonts w:hint="eastAsia" w:ascii="宋体" w:hAnsi="宋体"/>
          <w:kern w:val="0"/>
          <w:sz w:val="24"/>
        </w:rPr>
        <w:t>（2）供应商</w:t>
      </w:r>
      <w:r>
        <w:rPr>
          <w:rFonts w:ascii="宋体" w:hAnsi="宋体"/>
          <w:kern w:val="0"/>
          <w:sz w:val="24"/>
        </w:rPr>
        <w:t>须知</w:t>
      </w:r>
    </w:p>
    <w:p w14:paraId="35E09072">
      <w:pPr>
        <w:spacing w:line="360" w:lineRule="auto"/>
        <w:ind w:firstLine="480" w:firstLineChars="200"/>
        <w:rPr>
          <w:rFonts w:ascii="宋体" w:hAnsi="宋体"/>
          <w:kern w:val="0"/>
          <w:sz w:val="24"/>
        </w:rPr>
      </w:pPr>
      <w:r>
        <w:rPr>
          <w:rFonts w:hint="eastAsia" w:ascii="宋体" w:hAnsi="宋体"/>
          <w:kern w:val="0"/>
          <w:sz w:val="24"/>
        </w:rPr>
        <w:t>（3）项目</w:t>
      </w:r>
      <w:r>
        <w:rPr>
          <w:rFonts w:ascii="宋体" w:hAnsi="宋体"/>
          <w:kern w:val="0"/>
          <w:sz w:val="24"/>
        </w:rPr>
        <w:t>内容</w:t>
      </w:r>
    </w:p>
    <w:p w14:paraId="65A99DCA">
      <w:pPr>
        <w:spacing w:line="360" w:lineRule="auto"/>
        <w:ind w:firstLine="480" w:firstLineChars="200"/>
        <w:rPr>
          <w:rFonts w:ascii="宋体" w:hAnsi="宋体"/>
          <w:kern w:val="0"/>
          <w:sz w:val="24"/>
        </w:rPr>
      </w:pPr>
      <w:r>
        <w:rPr>
          <w:rFonts w:hint="eastAsia" w:ascii="宋体" w:hAnsi="宋体"/>
          <w:kern w:val="0"/>
          <w:sz w:val="24"/>
        </w:rPr>
        <w:t>（</w:t>
      </w:r>
      <w:r>
        <w:rPr>
          <w:rFonts w:ascii="宋体" w:hAnsi="宋体"/>
          <w:kern w:val="0"/>
          <w:sz w:val="24"/>
        </w:rPr>
        <w:t>4</w:t>
      </w:r>
      <w:r>
        <w:rPr>
          <w:rFonts w:hint="eastAsia" w:ascii="宋体" w:hAnsi="宋体"/>
          <w:kern w:val="0"/>
          <w:sz w:val="24"/>
        </w:rPr>
        <w:t>）附件－谈判文件</w:t>
      </w:r>
      <w:r>
        <w:rPr>
          <w:rFonts w:ascii="宋体" w:hAnsi="宋体"/>
          <w:kern w:val="0"/>
          <w:sz w:val="24"/>
        </w:rPr>
        <w:t>格式</w:t>
      </w:r>
    </w:p>
    <w:p w14:paraId="61C9EA8C">
      <w:pPr>
        <w:spacing w:line="360" w:lineRule="auto"/>
        <w:ind w:firstLine="480" w:firstLineChars="200"/>
        <w:rPr>
          <w:rFonts w:ascii="宋体" w:hAnsi="宋体"/>
          <w:kern w:val="0"/>
          <w:sz w:val="24"/>
        </w:rPr>
      </w:pPr>
      <w:r>
        <w:rPr>
          <w:rFonts w:ascii="宋体" w:hAnsi="宋体"/>
          <w:kern w:val="0"/>
          <w:sz w:val="24"/>
        </w:rPr>
        <w:t>1</w:t>
      </w:r>
      <w:r>
        <w:rPr>
          <w:rFonts w:hint="eastAsia" w:ascii="宋体" w:hAnsi="宋体"/>
          <w:kern w:val="0"/>
          <w:sz w:val="24"/>
        </w:rPr>
        <w:t>.2 供应商</w:t>
      </w:r>
      <w:r>
        <w:rPr>
          <w:rFonts w:ascii="宋体" w:hAnsi="宋体"/>
          <w:kern w:val="0"/>
          <w:sz w:val="24"/>
        </w:rPr>
        <w:t>应认真阅读谈判文件中的所有条款、格式和服务要求等。供应商</w:t>
      </w:r>
      <w:r>
        <w:rPr>
          <w:rFonts w:hint="eastAsia" w:ascii="宋体" w:hAnsi="宋体"/>
          <w:kern w:val="0"/>
          <w:sz w:val="24"/>
        </w:rPr>
        <w:t>没有</w:t>
      </w:r>
      <w:r>
        <w:rPr>
          <w:rFonts w:ascii="宋体" w:hAnsi="宋体"/>
          <w:kern w:val="0"/>
          <w:sz w:val="24"/>
        </w:rPr>
        <w:t>按照谈判文件要求提交全部资料，或其</w:t>
      </w:r>
      <w:r>
        <w:rPr>
          <w:rFonts w:hint="eastAsia" w:ascii="宋体" w:hAnsi="宋体"/>
          <w:kern w:val="0"/>
          <w:sz w:val="24"/>
        </w:rPr>
        <w:t>谈判文件</w:t>
      </w:r>
      <w:r>
        <w:rPr>
          <w:rFonts w:ascii="宋体" w:hAnsi="宋体"/>
          <w:kern w:val="0"/>
          <w:sz w:val="24"/>
        </w:rPr>
        <w:t>没有对谈判文件全面做出实质性</w:t>
      </w:r>
      <w:r>
        <w:rPr>
          <w:rFonts w:hint="eastAsia" w:ascii="宋体" w:hAnsi="宋体"/>
          <w:kern w:val="0"/>
          <w:sz w:val="24"/>
        </w:rPr>
        <w:t>响应</w:t>
      </w:r>
      <w:r>
        <w:rPr>
          <w:rFonts w:ascii="宋体" w:hAnsi="宋体"/>
          <w:kern w:val="0"/>
          <w:sz w:val="24"/>
        </w:rPr>
        <w:t>，都可能导致被拒绝。</w:t>
      </w:r>
    </w:p>
    <w:p w14:paraId="0BAB6A1B">
      <w:pPr>
        <w:spacing w:line="360" w:lineRule="auto"/>
        <w:ind w:firstLine="482" w:firstLineChars="200"/>
        <w:rPr>
          <w:rFonts w:ascii="宋体" w:hAnsi="宋体"/>
          <w:b/>
          <w:kern w:val="0"/>
          <w:sz w:val="24"/>
        </w:rPr>
      </w:pPr>
      <w:r>
        <w:rPr>
          <w:rFonts w:ascii="宋体" w:hAnsi="宋体"/>
          <w:b/>
          <w:kern w:val="0"/>
          <w:sz w:val="24"/>
        </w:rPr>
        <w:t>2.</w:t>
      </w:r>
      <w:r>
        <w:rPr>
          <w:rFonts w:hint="eastAsia" w:ascii="宋体" w:hAnsi="宋体"/>
          <w:b/>
          <w:kern w:val="0"/>
          <w:sz w:val="24"/>
        </w:rPr>
        <w:t>谈判文件</w:t>
      </w:r>
      <w:r>
        <w:rPr>
          <w:rFonts w:ascii="宋体" w:hAnsi="宋体"/>
          <w:b/>
          <w:kern w:val="0"/>
          <w:sz w:val="24"/>
        </w:rPr>
        <w:t>的澄清</w:t>
      </w:r>
    </w:p>
    <w:p w14:paraId="2E60D7BB">
      <w:pPr>
        <w:spacing w:line="360" w:lineRule="auto"/>
        <w:ind w:firstLine="480" w:firstLineChars="200"/>
        <w:rPr>
          <w:rFonts w:ascii="宋体" w:hAnsi="宋体"/>
          <w:kern w:val="0"/>
          <w:sz w:val="24"/>
        </w:rPr>
      </w:pPr>
      <w:r>
        <w:rPr>
          <w:rFonts w:ascii="宋体" w:hAnsi="宋体"/>
          <w:kern w:val="0"/>
          <w:sz w:val="24"/>
        </w:rPr>
        <w:t>2</w:t>
      </w:r>
      <w:r>
        <w:rPr>
          <w:rFonts w:hint="eastAsia" w:ascii="宋体" w:hAnsi="宋体"/>
          <w:kern w:val="0"/>
          <w:sz w:val="24"/>
        </w:rPr>
        <w:t>.1 任何</w:t>
      </w:r>
      <w:r>
        <w:rPr>
          <w:rFonts w:ascii="宋体" w:hAnsi="宋体"/>
          <w:kern w:val="0"/>
          <w:sz w:val="24"/>
        </w:rPr>
        <w:t>要求采购人对谈判文件进行澄清的</w:t>
      </w:r>
      <w:r>
        <w:rPr>
          <w:rFonts w:hint="eastAsia" w:ascii="宋体" w:hAnsi="宋体"/>
          <w:kern w:val="0"/>
          <w:sz w:val="24"/>
        </w:rPr>
        <w:t>供应商</w:t>
      </w:r>
      <w:r>
        <w:rPr>
          <w:rFonts w:ascii="宋体" w:hAnsi="宋体"/>
          <w:kern w:val="0"/>
          <w:sz w:val="24"/>
        </w:rPr>
        <w:t>，均应以</w:t>
      </w:r>
      <w:r>
        <w:rPr>
          <w:rFonts w:hint="eastAsia" w:ascii="宋体" w:hAnsi="宋体"/>
          <w:kern w:val="0"/>
          <w:sz w:val="24"/>
        </w:rPr>
        <w:t>书面</w:t>
      </w:r>
      <w:r>
        <w:rPr>
          <w:rFonts w:ascii="宋体" w:hAnsi="宋体"/>
          <w:kern w:val="0"/>
          <w:sz w:val="24"/>
        </w:rPr>
        <w:t>形式（</w:t>
      </w:r>
      <w:r>
        <w:rPr>
          <w:rFonts w:hint="eastAsia" w:ascii="宋体" w:hAnsi="宋体"/>
          <w:kern w:val="0"/>
          <w:sz w:val="24"/>
        </w:rPr>
        <w:t>包括</w:t>
      </w:r>
      <w:r>
        <w:rPr>
          <w:rFonts w:ascii="宋体" w:hAnsi="宋体"/>
          <w:kern w:val="0"/>
          <w:sz w:val="24"/>
        </w:rPr>
        <w:t>传真）</w:t>
      </w:r>
      <w:r>
        <w:rPr>
          <w:rFonts w:hint="eastAsia" w:ascii="宋体" w:hAnsi="宋体"/>
          <w:kern w:val="0"/>
          <w:sz w:val="24"/>
        </w:rPr>
        <w:t>通知</w:t>
      </w:r>
      <w:r>
        <w:rPr>
          <w:rFonts w:ascii="宋体" w:hAnsi="宋体"/>
          <w:kern w:val="0"/>
          <w:sz w:val="24"/>
        </w:rPr>
        <w:t>采购人。采购人</w:t>
      </w:r>
      <w:r>
        <w:rPr>
          <w:rFonts w:hint="eastAsia" w:ascii="宋体" w:hAnsi="宋体"/>
          <w:kern w:val="0"/>
          <w:sz w:val="24"/>
        </w:rPr>
        <w:t>将视情况确定</w:t>
      </w:r>
      <w:r>
        <w:rPr>
          <w:rFonts w:ascii="宋体" w:hAnsi="宋体"/>
          <w:kern w:val="0"/>
          <w:sz w:val="24"/>
        </w:rPr>
        <w:t>采用适当方式予以澄清</w:t>
      </w:r>
      <w:r>
        <w:rPr>
          <w:rFonts w:hint="eastAsia" w:ascii="宋体" w:hAnsi="宋体"/>
          <w:kern w:val="0"/>
          <w:sz w:val="24"/>
        </w:rPr>
        <w:t>或以</w:t>
      </w:r>
      <w:r>
        <w:rPr>
          <w:rFonts w:ascii="宋体" w:hAnsi="宋体"/>
          <w:kern w:val="0"/>
          <w:sz w:val="24"/>
        </w:rPr>
        <w:t>书面形式予以答复，并在其认为必要时，</w:t>
      </w:r>
      <w:r>
        <w:rPr>
          <w:rFonts w:hint="eastAsia" w:ascii="宋体" w:hAnsi="宋体"/>
          <w:kern w:val="0"/>
          <w:sz w:val="24"/>
        </w:rPr>
        <w:t>将</w:t>
      </w:r>
      <w:r>
        <w:rPr>
          <w:rFonts w:ascii="宋体" w:hAnsi="宋体"/>
          <w:kern w:val="0"/>
          <w:sz w:val="24"/>
        </w:rPr>
        <w:t>不</w:t>
      </w:r>
      <w:r>
        <w:rPr>
          <w:rFonts w:hint="eastAsia" w:ascii="宋体" w:hAnsi="宋体"/>
          <w:kern w:val="0"/>
          <w:sz w:val="24"/>
        </w:rPr>
        <w:t>标明</w:t>
      </w:r>
      <w:r>
        <w:rPr>
          <w:rFonts w:ascii="宋体" w:hAnsi="宋体"/>
          <w:kern w:val="0"/>
          <w:sz w:val="24"/>
        </w:rPr>
        <w:t>询问来源的书面答复发送给每个</w:t>
      </w:r>
      <w:r>
        <w:rPr>
          <w:rFonts w:hint="eastAsia" w:ascii="宋体" w:hAnsi="宋体"/>
          <w:kern w:val="0"/>
          <w:sz w:val="24"/>
        </w:rPr>
        <w:t>获取</w:t>
      </w:r>
      <w:r>
        <w:rPr>
          <w:rFonts w:ascii="宋体" w:hAnsi="宋体"/>
          <w:kern w:val="0"/>
          <w:sz w:val="24"/>
        </w:rPr>
        <w:t>谈判文件的供应商。</w:t>
      </w:r>
    </w:p>
    <w:p w14:paraId="3E2525B1">
      <w:pPr>
        <w:spacing w:line="360" w:lineRule="auto"/>
        <w:ind w:firstLine="482" w:firstLineChars="200"/>
        <w:rPr>
          <w:rFonts w:ascii="宋体" w:hAnsi="宋体"/>
          <w:b/>
          <w:kern w:val="0"/>
          <w:sz w:val="24"/>
        </w:rPr>
      </w:pPr>
      <w:r>
        <w:rPr>
          <w:rFonts w:hint="eastAsia" w:ascii="宋体" w:hAnsi="宋体"/>
          <w:b/>
          <w:kern w:val="0"/>
          <w:sz w:val="24"/>
        </w:rPr>
        <w:t>三</w:t>
      </w:r>
      <w:r>
        <w:rPr>
          <w:rFonts w:ascii="宋体" w:hAnsi="宋体"/>
          <w:b/>
          <w:kern w:val="0"/>
          <w:sz w:val="24"/>
        </w:rPr>
        <w:t>、</w:t>
      </w:r>
      <w:r>
        <w:rPr>
          <w:rFonts w:hint="eastAsia" w:ascii="宋体" w:hAnsi="宋体"/>
          <w:b/>
          <w:kern w:val="0"/>
          <w:sz w:val="24"/>
        </w:rPr>
        <w:t>谈判文件</w:t>
      </w:r>
      <w:r>
        <w:rPr>
          <w:rFonts w:ascii="宋体" w:hAnsi="宋体"/>
          <w:b/>
          <w:kern w:val="0"/>
          <w:sz w:val="24"/>
        </w:rPr>
        <w:t>的编写</w:t>
      </w:r>
    </w:p>
    <w:p w14:paraId="4017A481">
      <w:pPr>
        <w:spacing w:line="360" w:lineRule="auto"/>
        <w:ind w:firstLine="482" w:firstLineChars="200"/>
        <w:rPr>
          <w:rFonts w:ascii="宋体" w:hAnsi="宋体"/>
          <w:b/>
          <w:kern w:val="0"/>
          <w:sz w:val="24"/>
        </w:rPr>
      </w:pPr>
      <w:r>
        <w:rPr>
          <w:rFonts w:ascii="宋体" w:hAnsi="宋体"/>
          <w:b/>
          <w:kern w:val="0"/>
          <w:sz w:val="24"/>
        </w:rPr>
        <w:t>1</w:t>
      </w:r>
      <w:r>
        <w:rPr>
          <w:rFonts w:hint="eastAsia" w:ascii="宋体" w:hAnsi="宋体"/>
          <w:b/>
          <w:kern w:val="0"/>
          <w:sz w:val="24"/>
        </w:rPr>
        <w:t>.文件</w:t>
      </w:r>
      <w:r>
        <w:rPr>
          <w:rFonts w:ascii="宋体" w:hAnsi="宋体"/>
          <w:b/>
          <w:kern w:val="0"/>
          <w:sz w:val="24"/>
        </w:rPr>
        <w:t>语言</w:t>
      </w:r>
    </w:p>
    <w:p w14:paraId="0E0C3ABD">
      <w:pPr>
        <w:spacing w:line="360" w:lineRule="auto"/>
        <w:ind w:firstLine="480" w:firstLineChars="200"/>
        <w:rPr>
          <w:rFonts w:ascii="宋体" w:hAnsi="宋体"/>
          <w:kern w:val="0"/>
          <w:sz w:val="24"/>
        </w:rPr>
      </w:pPr>
      <w:r>
        <w:rPr>
          <w:rFonts w:ascii="宋体" w:hAnsi="宋体"/>
          <w:kern w:val="0"/>
          <w:sz w:val="24"/>
        </w:rPr>
        <w:t xml:space="preserve">1.1 </w:t>
      </w:r>
      <w:r>
        <w:rPr>
          <w:rFonts w:hint="eastAsia" w:ascii="宋体" w:hAnsi="宋体"/>
          <w:kern w:val="0"/>
          <w:sz w:val="24"/>
        </w:rPr>
        <w:t>由</w:t>
      </w:r>
      <w:r>
        <w:rPr>
          <w:rFonts w:ascii="宋体" w:hAnsi="宋体"/>
          <w:kern w:val="0"/>
          <w:sz w:val="24"/>
        </w:rPr>
        <w:t>供应商编写的</w:t>
      </w:r>
      <w:r>
        <w:rPr>
          <w:rFonts w:hint="eastAsia" w:ascii="宋体" w:hAnsi="宋体"/>
          <w:kern w:val="0"/>
          <w:sz w:val="24"/>
        </w:rPr>
        <w:t>谈判文件</w:t>
      </w:r>
      <w:r>
        <w:rPr>
          <w:rFonts w:ascii="宋体" w:hAnsi="宋体"/>
          <w:kern w:val="0"/>
          <w:sz w:val="24"/>
        </w:rPr>
        <w:t>和往来信件应以</w:t>
      </w:r>
      <w:r>
        <w:rPr>
          <w:rFonts w:hint="eastAsia" w:ascii="宋体" w:hAnsi="宋体"/>
          <w:kern w:val="0"/>
          <w:sz w:val="24"/>
        </w:rPr>
        <w:t>简体</w:t>
      </w:r>
      <w:r>
        <w:rPr>
          <w:rFonts w:ascii="宋体" w:hAnsi="宋体"/>
          <w:kern w:val="0"/>
          <w:sz w:val="24"/>
        </w:rPr>
        <w:t>中文书写。</w:t>
      </w:r>
    </w:p>
    <w:p w14:paraId="1E1F1076">
      <w:pPr>
        <w:spacing w:line="360" w:lineRule="auto"/>
        <w:ind w:firstLine="482" w:firstLineChars="200"/>
        <w:rPr>
          <w:rFonts w:ascii="宋体" w:hAnsi="宋体"/>
          <w:b/>
          <w:kern w:val="0"/>
          <w:sz w:val="24"/>
        </w:rPr>
      </w:pPr>
      <w:r>
        <w:rPr>
          <w:rFonts w:ascii="宋体" w:hAnsi="宋体"/>
          <w:b/>
          <w:kern w:val="0"/>
          <w:sz w:val="24"/>
        </w:rPr>
        <w:t>2.</w:t>
      </w:r>
      <w:r>
        <w:rPr>
          <w:rFonts w:hint="eastAsia" w:ascii="宋体" w:hAnsi="宋体"/>
          <w:b/>
          <w:kern w:val="0"/>
          <w:sz w:val="24"/>
        </w:rPr>
        <w:t>计量单位</w:t>
      </w:r>
    </w:p>
    <w:p w14:paraId="1345E1C2">
      <w:pPr>
        <w:spacing w:line="360" w:lineRule="auto"/>
        <w:ind w:firstLine="480" w:firstLineChars="200"/>
        <w:rPr>
          <w:rFonts w:ascii="宋体" w:hAnsi="宋体"/>
          <w:kern w:val="0"/>
          <w:sz w:val="24"/>
        </w:rPr>
      </w:pPr>
      <w:r>
        <w:rPr>
          <w:rFonts w:ascii="宋体" w:hAnsi="宋体"/>
          <w:kern w:val="0"/>
          <w:sz w:val="24"/>
        </w:rPr>
        <w:t>2</w:t>
      </w:r>
      <w:r>
        <w:rPr>
          <w:rFonts w:hint="eastAsia" w:ascii="宋体" w:hAnsi="宋体"/>
          <w:kern w:val="0"/>
          <w:sz w:val="24"/>
        </w:rPr>
        <w:t>.1 除</w:t>
      </w:r>
      <w:r>
        <w:rPr>
          <w:rFonts w:ascii="宋体" w:hAnsi="宋体"/>
          <w:kern w:val="0"/>
          <w:sz w:val="24"/>
        </w:rPr>
        <w:t>在谈判文件中</w:t>
      </w:r>
      <w:r>
        <w:rPr>
          <w:rFonts w:hint="eastAsia" w:ascii="宋体" w:hAnsi="宋体"/>
          <w:kern w:val="0"/>
          <w:sz w:val="24"/>
        </w:rPr>
        <w:t>有</w:t>
      </w:r>
      <w:r>
        <w:rPr>
          <w:rFonts w:ascii="宋体" w:hAnsi="宋体"/>
          <w:kern w:val="0"/>
          <w:sz w:val="24"/>
        </w:rPr>
        <w:t>特殊要求外，</w:t>
      </w:r>
      <w:r>
        <w:rPr>
          <w:rFonts w:hint="eastAsia" w:ascii="宋体" w:hAnsi="宋体"/>
          <w:kern w:val="0"/>
          <w:sz w:val="24"/>
        </w:rPr>
        <w:t>谈判文件</w:t>
      </w:r>
      <w:r>
        <w:rPr>
          <w:rFonts w:ascii="宋体" w:hAnsi="宋体"/>
          <w:kern w:val="0"/>
          <w:sz w:val="24"/>
        </w:rPr>
        <w:t>中所使用的计量单位应为中华人民共和国法定计量单位。</w:t>
      </w:r>
    </w:p>
    <w:p w14:paraId="16C94623">
      <w:pPr>
        <w:spacing w:line="360" w:lineRule="auto"/>
        <w:ind w:firstLine="482" w:firstLineChars="200"/>
        <w:rPr>
          <w:rFonts w:ascii="宋体" w:hAnsi="宋体"/>
          <w:b/>
          <w:kern w:val="0"/>
          <w:sz w:val="24"/>
        </w:rPr>
      </w:pPr>
      <w:r>
        <w:rPr>
          <w:rFonts w:ascii="宋体" w:hAnsi="宋体"/>
          <w:b/>
          <w:kern w:val="0"/>
          <w:sz w:val="24"/>
        </w:rPr>
        <w:t>3.</w:t>
      </w:r>
      <w:r>
        <w:rPr>
          <w:rFonts w:hint="eastAsia" w:ascii="宋体" w:hAnsi="宋体"/>
          <w:b/>
          <w:kern w:val="0"/>
          <w:sz w:val="24"/>
        </w:rPr>
        <w:t>谈判文件</w:t>
      </w:r>
      <w:r>
        <w:rPr>
          <w:rFonts w:ascii="宋体" w:hAnsi="宋体"/>
          <w:b/>
          <w:kern w:val="0"/>
          <w:sz w:val="24"/>
        </w:rPr>
        <w:t>的组成</w:t>
      </w:r>
    </w:p>
    <w:p w14:paraId="3B73E37F">
      <w:pPr>
        <w:spacing w:line="360" w:lineRule="auto"/>
        <w:ind w:firstLine="480" w:firstLineChars="200"/>
        <w:rPr>
          <w:rFonts w:ascii="宋体" w:hAnsi="宋体"/>
          <w:kern w:val="0"/>
          <w:sz w:val="24"/>
        </w:rPr>
      </w:pPr>
      <w:r>
        <w:rPr>
          <w:rFonts w:ascii="宋体" w:hAnsi="宋体"/>
          <w:kern w:val="0"/>
          <w:sz w:val="24"/>
        </w:rPr>
        <w:t>3</w:t>
      </w:r>
      <w:r>
        <w:rPr>
          <w:rFonts w:hint="eastAsia" w:ascii="宋体" w:hAnsi="宋体"/>
          <w:kern w:val="0"/>
          <w:sz w:val="24"/>
        </w:rPr>
        <w:t>.1 供应商</w:t>
      </w:r>
      <w:r>
        <w:rPr>
          <w:rFonts w:ascii="宋体" w:hAnsi="宋体"/>
          <w:kern w:val="0"/>
          <w:sz w:val="24"/>
        </w:rPr>
        <w:t>编写的</w:t>
      </w:r>
      <w:r>
        <w:rPr>
          <w:rFonts w:hint="eastAsia" w:ascii="宋体" w:hAnsi="宋体"/>
          <w:kern w:val="0"/>
          <w:sz w:val="24"/>
        </w:rPr>
        <w:t>谈判文件</w:t>
      </w:r>
      <w:r>
        <w:rPr>
          <w:rFonts w:ascii="宋体" w:hAnsi="宋体"/>
          <w:kern w:val="0"/>
          <w:sz w:val="24"/>
        </w:rPr>
        <w:t>应包括下列部分：</w:t>
      </w:r>
    </w:p>
    <w:p w14:paraId="6DD7DB80">
      <w:pPr>
        <w:spacing w:line="360" w:lineRule="auto"/>
        <w:ind w:firstLine="480" w:firstLineChars="200"/>
        <w:rPr>
          <w:rFonts w:ascii="宋体" w:hAnsi="宋体"/>
          <w:color w:val="000000" w:themeColor="text1"/>
          <w:kern w:val="0"/>
          <w:sz w:val="24"/>
          <w14:textFill>
            <w14:solidFill>
              <w14:schemeClr w14:val="tx1"/>
            </w14:solidFill>
          </w14:textFill>
        </w:rPr>
      </w:pPr>
      <w:r>
        <w:rPr>
          <w:rFonts w:hint="eastAsia" w:ascii="宋体" w:hAnsi="宋体"/>
          <w:color w:val="000000" w:themeColor="text1"/>
          <w:kern w:val="0"/>
          <w:sz w:val="24"/>
          <w14:textFill>
            <w14:solidFill>
              <w14:schemeClr w14:val="tx1"/>
            </w14:solidFill>
          </w14:textFill>
        </w:rPr>
        <w:t>（</w:t>
      </w:r>
      <w:r>
        <w:rPr>
          <w:rFonts w:ascii="宋体" w:hAnsi="宋体"/>
          <w:color w:val="000000" w:themeColor="text1"/>
          <w:kern w:val="0"/>
          <w:sz w:val="24"/>
          <w14:textFill>
            <w14:solidFill>
              <w14:schemeClr w14:val="tx1"/>
            </w14:solidFill>
          </w14:textFill>
        </w:rPr>
        <w:t>1）</w:t>
      </w:r>
      <w:r>
        <w:rPr>
          <w:rFonts w:hint="eastAsia" w:ascii="宋体" w:hAnsi="宋体"/>
          <w:color w:val="000000" w:themeColor="text1"/>
          <w:kern w:val="0"/>
          <w:sz w:val="24"/>
          <w14:textFill>
            <w14:solidFill>
              <w14:schemeClr w14:val="tx1"/>
            </w14:solidFill>
          </w14:textFill>
        </w:rPr>
        <w:t>谈判响应书</w:t>
      </w:r>
    </w:p>
    <w:p w14:paraId="039247BF">
      <w:pPr>
        <w:spacing w:line="360" w:lineRule="auto"/>
        <w:ind w:firstLine="480" w:firstLineChars="200"/>
        <w:rPr>
          <w:rFonts w:ascii="宋体" w:hAnsi="宋体"/>
          <w:color w:val="000000" w:themeColor="text1"/>
          <w:kern w:val="0"/>
          <w:sz w:val="24"/>
          <w14:textFill>
            <w14:solidFill>
              <w14:schemeClr w14:val="tx1"/>
            </w14:solidFill>
          </w14:textFill>
        </w:rPr>
      </w:pPr>
      <w:r>
        <w:rPr>
          <w:rFonts w:hint="eastAsia" w:ascii="宋体" w:hAnsi="宋体"/>
          <w:color w:val="000000" w:themeColor="text1"/>
          <w:kern w:val="0"/>
          <w:sz w:val="24"/>
          <w14:textFill>
            <w14:solidFill>
              <w14:schemeClr w14:val="tx1"/>
            </w14:solidFill>
          </w14:textFill>
        </w:rPr>
        <w:t>（2）供应商</w:t>
      </w:r>
      <w:r>
        <w:rPr>
          <w:rFonts w:ascii="宋体" w:hAnsi="宋体"/>
          <w:color w:val="000000" w:themeColor="text1"/>
          <w:kern w:val="0"/>
          <w:sz w:val="24"/>
          <w14:textFill>
            <w14:solidFill>
              <w14:schemeClr w14:val="tx1"/>
            </w14:solidFill>
          </w14:textFill>
        </w:rPr>
        <w:t>基本情况表</w:t>
      </w:r>
    </w:p>
    <w:p w14:paraId="3CEB942A">
      <w:pPr>
        <w:spacing w:line="360" w:lineRule="auto"/>
        <w:ind w:firstLine="480" w:firstLineChars="200"/>
        <w:rPr>
          <w:rFonts w:ascii="宋体" w:hAnsi="宋体"/>
          <w:kern w:val="0"/>
          <w:sz w:val="24"/>
        </w:rPr>
      </w:pPr>
      <w:r>
        <w:rPr>
          <w:rFonts w:hint="eastAsia" w:ascii="宋体" w:hAnsi="宋体"/>
          <w:kern w:val="0"/>
          <w:sz w:val="24"/>
        </w:rPr>
        <w:t>（3）项目</w:t>
      </w:r>
      <w:r>
        <w:rPr>
          <w:rFonts w:ascii="宋体" w:hAnsi="宋体"/>
          <w:kern w:val="0"/>
          <w:sz w:val="24"/>
        </w:rPr>
        <w:t>方案及有关承诺。供应商</w:t>
      </w:r>
      <w:r>
        <w:rPr>
          <w:rFonts w:hint="eastAsia" w:ascii="宋体" w:hAnsi="宋体"/>
          <w:kern w:val="0"/>
          <w:sz w:val="24"/>
        </w:rPr>
        <w:t>必须</w:t>
      </w:r>
      <w:r>
        <w:rPr>
          <w:rFonts w:ascii="宋体" w:hAnsi="宋体"/>
          <w:kern w:val="0"/>
          <w:sz w:val="24"/>
        </w:rPr>
        <w:t>提出明确的用于本项目方案，方案应包括但不限于以下内容：</w:t>
      </w:r>
      <w:r>
        <w:rPr>
          <w:rFonts w:hint="eastAsia" w:ascii="宋体" w:hAnsi="宋体"/>
          <w:kern w:val="0"/>
          <w:sz w:val="24"/>
        </w:rPr>
        <w:t>对F07线厂区包含但不限于钢结构拆除工程、装饰拆除工程、电气拆除工程、管道拆除工程、消防拆除工程、设备拆除工程、建筑拆除工程破坏性、保护性拆除工程等安全施工拆除方案。</w:t>
      </w:r>
    </w:p>
    <w:p w14:paraId="021D3E1E">
      <w:pPr>
        <w:spacing w:line="360" w:lineRule="auto"/>
        <w:ind w:firstLine="480" w:firstLineChars="200"/>
        <w:rPr>
          <w:rFonts w:ascii="宋体" w:hAnsi="宋体"/>
          <w:kern w:val="0"/>
          <w:sz w:val="24"/>
        </w:rPr>
      </w:pPr>
      <w:r>
        <w:rPr>
          <w:rFonts w:hint="eastAsia" w:ascii="宋体" w:hAnsi="宋体"/>
          <w:kern w:val="0"/>
          <w:sz w:val="24"/>
        </w:rPr>
        <w:t>（4）按照</w:t>
      </w:r>
      <w:r>
        <w:rPr>
          <w:rFonts w:ascii="宋体" w:hAnsi="宋体"/>
          <w:kern w:val="0"/>
          <w:sz w:val="24"/>
        </w:rPr>
        <w:t>供应商</w:t>
      </w:r>
      <w:r>
        <w:rPr>
          <w:rFonts w:ascii="宋体" w:hAnsi="宋体"/>
          <w:color w:val="000000" w:themeColor="text1"/>
          <w:kern w:val="0"/>
          <w:sz w:val="24"/>
          <w14:textFill>
            <w14:solidFill>
              <w14:schemeClr w14:val="tx1"/>
            </w14:solidFill>
          </w14:textFill>
        </w:rPr>
        <w:t>须知</w:t>
      </w:r>
      <w:r>
        <w:rPr>
          <w:rFonts w:ascii="宋体" w:hAnsi="宋体"/>
          <w:kern w:val="0"/>
          <w:sz w:val="24"/>
        </w:rPr>
        <w:t>出具的供应商资格证明文件</w:t>
      </w:r>
      <w:r>
        <w:rPr>
          <w:rFonts w:hint="eastAsia" w:ascii="宋体" w:hAnsi="宋体"/>
          <w:kern w:val="0"/>
          <w:sz w:val="24"/>
        </w:rPr>
        <w:t>；</w:t>
      </w:r>
    </w:p>
    <w:p w14:paraId="79869EB1">
      <w:pPr>
        <w:spacing w:line="360" w:lineRule="auto"/>
        <w:ind w:firstLine="482" w:firstLineChars="200"/>
        <w:rPr>
          <w:rFonts w:ascii="宋体" w:hAnsi="宋体"/>
          <w:b/>
          <w:kern w:val="0"/>
          <w:sz w:val="24"/>
        </w:rPr>
      </w:pPr>
      <w:r>
        <w:rPr>
          <w:rFonts w:ascii="宋体" w:hAnsi="宋体"/>
          <w:b/>
          <w:kern w:val="0"/>
          <w:sz w:val="24"/>
        </w:rPr>
        <w:t>4</w:t>
      </w:r>
      <w:r>
        <w:rPr>
          <w:rFonts w:hint="eastAsia" w:ascii="宋体" w:hAnsi="宋体"/>
          <w:b/>
          <w:kern w:val="0"/>
          <w:sz w:val="24"/>
        </w:rPr>
        <w:t>．谈判文件</w:t>
      </w:r>
      <w:r>
        <w:rPr>
          <w:rFonts w:ascii="宋体" w:hAnsi="宋体"/>
          <w:b/>
          <w:kern w:val="0"/>
          <w:sz w:val="24"/>
        </w:rPr>
        <w:t>格式</w:t>
      </w:r>
    </w:p>
    <w:p w14:paraId="55695E79">
      <w:pPr>
        <w:spacing w:line="360" w:lineRule="auto"/>
        <w:ind w:firstLine="480" w:firstLineChars="200"/>
        <w:rPr>
          <w:rFonts w:ascii="宋体" w:hAnsi="宋体"/>
          <w:kern w:val="0"/>
          <w:sz w:val="24"/>
        </w:rPr>
      </w:pPr>
      <w:r>
        <w:rPr>
          <w:rFonts w:ascii="宋体" w:hAnsi="宋体"/>
          <w:kern w:val="0"/>
          <w:sz w:val="24"/>
        </w:rPr>
        <w:t>4</w:t>
      </w:r>
      <w:r>
        <w:rPr>
          <w:rFonts w:hint="eastAsia" w:ascii="宋体" w:hAnsi="宋体"/>
          <w:kern w:val="0"/>
          <w:sz w:val="24"/>
        </w:rPr>
        <w:t>.1 供应商</w:t>
      </w:r>
      <w:r>
        <w:rPr>
          <w:rFonts w:ascii="宋体" w:hAnsi="宋体"/>
          <w:kern w:val="0"/>
          <w:sz w:val="24"/>
        </w:rPr>
        <w:t>应</w:t>
      </w:r>
      <w:r>
        <w:rPr>
          <w:rFonts w:hint="eastAsia" w:ascii="宋体" w:hAnsi="宋体"/>
          <w:kern w:val="0"/>
          <w:sz w:val="24"/>
        </w:rPr>
        <w:t>按</w:t>
      </w:r>
      <w:r>
        <w:rPr>
          <w:rFonts w:ascii="宋体" w:hAnsi="宋体"/>
          <w:kern w:val="0"/>
          <w:sz w:val="24"/>
        </w:rPr>
        <w:t>谈判文件中提供的</w:t>
      </w:r>
      <w:r>
        <w:rPr>
          <w:rFonts w:hint="eastAsia" w:ascii="宋体" w:hAnsi="宋体"/>
          <w:kern w:val="0"/>
          <w:sz w:val="24"/>
        </w:rPr>
        <w:t>谈判文件</w:t>
      </w:r>
      <w:r>
        <w:rPr>
          <w:rFonts w:ascii="宋体" w:hAnsi="宋体"/>
          <w:color w:val="000000" w:themeColor="text1"/>
          <w:kern w:val="0"/>
          <w:sz w:val="24"/>
          <w14:textFill>
            <w14:solidFill>
              <w14:schemeClr w14:val="tx1"/>
            </w14:solidFill>
          </w14:textFill>
        </w:rPr>
        <w:t>格式填写“</w:t>
      </w:r>
      <w:r>
        <w:rPr>
          <w:rFonts w:hint="eastAsia" w:ascii="宋体" w:hAnsi="宋体"/>
          <w:color w:val="000000" w:themeColor="text1"/>
          <w:kern w:val="0"/>
          <w:sz w:val="24"/>
          <w14:textFill>
            <w14:solidFill>
              <w14:schemeClr w14:val="tx1"/>
            </w14:solidFill>
          </w14:textFill>
        </w:rPr>
        <w:t>响应书</w:t>
      </w:r>
      <w:r>
        <w:rPr>
          <w:rFonts w:ascii="宋体" w:hAnsi="宋体"/>
          <w:color w:val="000000" w:themeColor="text1"/>
          <w:kern w:val="0"/>
          <w:sz w:val="24"/>
          <w14:textFill>
            <w14:solidFill>
              <w14:schemeClr w14:val="tx1"/>
            </w14:solidFill>
          </w14:textFill>
        </w:rPr>
        <w:t>”</w:t>
      </w:r>
      <w:r>
        <w:rPr>
          <w:rFonts w:hint="eastAsia" w:ascii="宋体" w:hAnsi="宋体"/>
          <w:color w:val="000000" w:themeColor="text1"/>
          <w:kern w:val="0"/>
          <w:sz w:val="24"/>
          <w14:textFill>
            <w14:solidFill>
              <w14:schemeClr w14:val="tx1"/>
            </w14:solidFill>
          </w14:textFill>
        </w:rPr>
        <w:t>、</w:t>
      </w:r>
      <w:r>
        <w:rPr>
          <w:rFonts w:ascii="宋体" w:hAnsi="宋体"/>
          <w:color w:val="000000" w:themeColor="text1"/>
          <w:kern w:val="0"/>
          <w:sz w:val="24"/>
          <w14:textFill>
            <w14:solidFill>
              <w14:schemeClr w14:val="tx1"/>
            </w14:solidFill>
          </w14:textFill>
        </w:rPr>
        <w:t>“</w:t>
      </w:r>
      <w:r>
        <w:rPr>
          <w:rFonts w:hint="eastAsia" w:ascii="宋体" w:hAnsi="宋体"/>
          <w:color w:val="000000" w:themeColor="text1"/>
          <w:kern w:val="0"/>
          <w:sz w:val="24"/>
          <w14:textFill>
            <w14:solidFill>
              <w14:schemeClr w14:val="tx1"/>
            </w14:solidFill>
          </w14:textFill>
        </w:rPr>
        <w:t>供应商</w:t>
      </w:r>
      <w:r>
        <w:rPr>
          <w:rFonts w:ascii="宋体" w:hAnsi="宋体"/>
          <w:color w:val="000000" w:themeColor="text1"/>
          <w:kern w:val="0"/>
          <w:sz w:val="24"/>
          <w14:textFill>
            <w14:solidFill>
              <w14:schemeClr w14:val="tx1"/>
            </w14:solidFill>
          </w14:textFill>
        </w:rPr>
        <w:t>资格证明文件”</w:t>
      </w:r>
      <w:r>
        <w:rPr>
          <w:rFonts w:hint="eastAsia" w:ascii="宋体" w:hAnsi="宋体"/>
          <w:color w:val="000000" w:themeColor="text1"/>
          <w:kern w:val="0"/>
          <w:sz w:val="24"/>
          <w14:textFill>
            <w14:solidFill>
              <w14:schemeClr w14:val="tx1"/>
            </w14:solidFill>
          </w14:textFill>
        </w:rPr>
        <w:t>以及</w:t>
      </w:r>
      <w:r>
        <w:rPr>
          <w:rFonts w:ascii="宋体" w:hAnsi="宋体"/>
          <w:color w:val="000000" w:themeColor="text1"/>
          <w:kern w:val="0"/>
          <w:sz w:val="24"/>
          <w14:textFill>
            <w14:solidFill>
              <w14:schemeClr w14:val="tx1"/>
            </w14:solidFill>
          </w14:textFill>
        </w:rPr>
        <w:t>其他注</w:t>
      </w:r>
      <w:r>
        <w:rPr>
          <w:rFonts w:ascii="宋体" w:hAnsi="宋体"/>
          <w:kern w:val="0"/>
          <w:sz w:val="24"/>
        </w:rPr>
        <w:t>明提供的相关文件。</w:t>
      </w:r>
    </w:p>
    <w:p w14:paraId="61AFF938">
      <w:pPr>
        <w:spacing w:line="360" w:lineRule="auto"/>
        <w:ind w:firstLine="482" w:firstLineChars="200"/>
        <w:rPr>
          <w:rFonts w:ascii="宋体" w:hAnsi="宋体"/>
          <w:b/>
          <w:kern w:val="0"/>
          <w:sz w:val="24"/>
        </w:rPr>
      </w:pPr>
      <w:r>
        <w:rPr>
          <w:rFonts w:ascii="宋体" w:hAnsi="宋体"/>
          <w:b/>
          <w:kern w:val="0"/>
          <w:sz w:val="24"/>
        </w:rPr>
        <w:t>5</w:t>
      </w:r>
      <w:r>
        <w:rPr>
          <w:rFonts w:hint="eastAsia" w:ascii="宋体" w:hAnsi="宋体"/>
          <w:b/>
          <w:kern w:val="0"/>
          <w:sz w:val="24"/>
        </w:rPr>
        <w:t>．</w:t>
      </w:r>
      <w:r>
        <w:rPr>
          <w:rFonts w:ascii="宋体" w:hAnsi="宋体"/>
          <w:b/>
          <w:kern w:val="0"/>
          <w:sz w:val="24"/>
        </w:rPr>
        <w:t>报价</w:t>
      </w:r>
    </w:p>
    <w:p w14:paraId="52966AB0">
      <w:pPr>
        <w:spacing w:line="360" w:lineRule="auto"/>
        <w:ind w:firstLine="480" w:firstLineChars="200"/>
        <w:rPr>
          <w:rFonts w:ascii="宋体" w:hAnsi="宋体"/>
          <w:kern w:val="0"/>
          <w:sz w:val="24"/>
        </w:rPr>
      </w:pPr>
      <w:r>
        <w:rPr>
          <w:rFonts w:ascii="宋体" w:hAnsi="宋体"/>
          <w:kern w:val="0"/>
          <w:sz w:val="24"/>
        </w:rPr>
        <w:t>5</w:t>
      </w:r>
      <w:r>
        <w:rPr>
          <w:rFonts w:hint="eastAsia" w:ascii="宋体" w:hAnsi="宋体"/>
          <w:kern w:val="0"/>
          <w:sz w:val="24"/>
        </w:rPr>
        <w:t>.1 供应商</w:t>
      </w:r>
      <w:r>
        <w:rPr>
          <w:rFonts w:ascii="宋体" w:hAnsi="宋体"/>
          <w:kern w:val="0"/>
          <w:sz w:val="24"/>
        </w:rPr>
        <w:t>必须按照本谈判文件所要求的供应商应提供的所有</w:t>
      </w:r>
      <w:r>
        <w:rPr>
          <w:rFonts w:hint="eastAsia" w:ascii="宋体" w:hAnsi="宋体"/>
          <w:kern w:val="0"/>
          <w:sz w:val="24"/>
        </w:rPr>
        <w:t>项目</w:t>
      </w:r>
      <w:r>
        <w:rPr>
          <w:rFonts w:ascii="宋体" w:hAnsi="宋体"/>
          <w:kern w:val="0"/>
          <w:sz w:val="24"/>
        </w:rPr>
        <w:t>进行报价</w:t>
      </w:r>
      <w:r>
        <w:rPr>
          <w:rFonts w:hint="eastAsia" w:ascii="宋体" w:hAnsi="宋体"/>
          <w:color w:val="000000" w:themeColor="text1"/>
          <w:kern w:val="0"/>
          <w:sz w:val="24"/>
          <w14:textFill>
            <w14:solidFill>
              <w14:schemeClr w14:val="tx1"/>
            </w14:solidFill>
          </w14:textFill>
        </w:rPr>
        <w:t>；</w:t>
      </w:r>
    </w:p>
    <w:p w14:paraId="1AC763EE">
      <w:pPr>
        <w:spacing w:line="360" w:lineRule="auto"/>
        <w:ind w:firstLine="482" w:firstLineChars="200"/>
        <w:rPr>
          <w:rFonts w:ascii="宋体" w:hAnsi="宋体"/>
          <w:b/>
          <w:kern w:val="0"/>
          <w:sz w:val="24"/>
        </w:rPr>
      </w:pPr>
      <w:r>
        <w:rPr>
          <w:rFonts w:ascii="宋体" w:hAnsi="宋体"/>
          <w:b/>
          <w:kern w:val="0"/>
          <w:sz w:val="24"/>
        </w:rPr>
        <w:t>5.2 供应商必须对</w:t>
      </w:r>
      <w:r>
        <w:rPr>
          <w:rFonts w:hint="eastAsia" w:ascii="宋体" w:hAnsi="宋体"/>
          <w:b/>
          <w:kern w:val="0"/>
          <w:sz w:val="24"/>
        </w:rPr>
        <w:t>承诺</w:t>
      </w:r>
      <w:r>
        <w:rPr>
          <w:rFonts w:ascii="宋体" w:hAnsi="宋体"/>
          <w:b/>
          <w:kern w:val="0"/>
          <w:sz w:val="24"/>
        </w:rPr>
        <w:t>期限内的服务做出承诺</w:t>
      </w:r>
      <w:r>
        <w:rPr>
          <w:rFonts w:hint="eastAsia" w:ascii="宋体" w:hAnsi="宋体"/>
          <w:b/>
          <w:kern w:val="0"/>
          <w:sz w:val="24"/>
        </w:rPr>
        <w:t>。</w:t>
      </w:r>
    </w:p>
    <w:p w14:paraId="6B07E68B">
      <w:pPr>
        <w:spacing w:line="360" w:lineRule="auto"/>
        <w:ind w:firstLine="482" w:firstLineChars="200"/>
        <w:rPr>
          <w:rFonts w:ascii="宋体" w:hAnsi="宋体"/>
          <w:b/>
          <w:kern w:val="0"/>
          <w:sz w:val="24"/>
        </w:rPr>
      </w:pPr>
      <w:r>
        <w:rPr>
          <w:rFonts w:hint="eastAsia" w:ascii="宋体" w:hAnsi="宋体"/>
          <w:b/>
          <w:kern w:val="0"/>
          <w:sz w:val="24"/>
        </w:rPr>
        <w:t>5</w:t>
      </w:r>
      <w:r>
        <w:rPr>
          <w:rFonts w:ascii="宋体" w:hAnsi="宋体"/>
          <w:b/>
          <w:kern w:val="0"/>
          <w:sz w:val="24"/>
        </w:rPr>
        <w:t>.3报价说明：</w:t>
      </w:r>
    </w:p>
    <w:p w14:paraId="354D21D1">
      <w:pPr>
        <w:spacing w:line="360" w:lineRule="auto"/>
        <w:ind w:firstLine="482" w:firstLineChars="200"/>
        <w:rPr>
          <w:rFonts w:ascii="宋体" w:hAnsi="宋体"/>
          <w:b/>
          <w:kern w:val="0"/>
          <w:sz w:val="24"/>
        </w:rPr>
      </w:pPr>
      <w:r>
        <w:rPr>
          <w:rFonts w:ascii="宋体" w:hAnsi="宋体"/>
          <w:b/>
          <w:kern w:val="0"/>
          <w:sz w:val="24"/>
        </w:rPr>
        <w:t>5.3.</w:t>
      </w:r>
      <w:r>
        <w:rPr>
          <w:rFonts w:hint="eastAsia" w:ascii="宋体" w:hAnsi="宋体"/>
          <w:b/>
          <w:kern w:val="0"/>
          <w:sz w:val="24"/>
        </w:rPr>
        <w:t>1、报价范围：本次谈判采购拆除内容及要求明确资料、堆放区域明确的资料、堆放要求明确的资料及现场踏勘沟通及回复要求的所有工程内容。</w:t>
      </w:r>
    </w:p>
    <w:p w14:paraId="5D562FD0">
      <w:pPr>
        <w:spacing w:line="360" w:lineRule="auto"/>
        <w:ind w:firstLine="482" w:firstLineChars="200"/>
        <w:rPr>
          <w:rFonts w:ascii="宋体" w:hAnsi="宋体"/>
          <w:b/>
          <w:kern w:val="0"/>
          <w:sz w:val="24"/>
        </w:rPr>
      </w:pPr>
      <w:r>
        <w:rPr>
          <w:rFonts w:ascii="宋体" w:hAnsi="宋体"/>
          <w:b/>
          <w:kern w:val="0"/>
          <w:sz w:val="24"/>
        </w:rPr>
        <w:t>5.3.</w:t>
      </w:r>
      <w:r>
        <w:rPr>
          <w:rFonts w:hint="eastAsia" w:ascii="宋体" w:hAnsi="宋体"/>
          <w:b/>
          <w:kern w:val="0"/>
          <w:sz w:val="24"/>
        </w:rPr>
        <w:t>2、谈判采购响应报价编制依据：承包商结合本企业的经营情况、自身实力、现场踏勘所获取的相关信息资料和企业发展策略以及市场行情和谈判采购文件对工程质量、工期的要求自主进行报价。</w:t>
      </w:r>
    </w:p>
    <w:p w14:paraId="0B4DC309">
      <w:pPr>
        <w:spacing w:line="360" w:lineRule="auto"/>
        <w:ind w:firstLine="482" w:firstLineChars="200"/>
        <w:rPr>
          <w:rFonts w:ascii="宋体" w:hAnsi="宋体"/>
          <w:b/>
          <w:kern w:val="0"/>
          <w:sz w:val="24"/>
        </w:rPr>
      </w:pPr>
      <w:r>
        <w:rPr>
          <w:rFonts w:ascii="宋体" w:hAnsi="宋体"/>
          <w:b/>
          <w:kern w:val="0"/>
          <w:sz w:val="24"/>
        </w:rPr>
        <w:t>5.3.</w:t>
      </w:r>
      <w:r>
        <w:rPr>
          <w:rFonts w:hint="eastAsia" w:ascii="宋体" w:hAnsi="宋体"/>
          <w:b/>
          <w:kern w:val="0"/>
          <w:sz w:val="24"/>
        </w:rPr>
        <w:t>3、编制说明：</w:t>
      </w:r>
    </w:p>
    <w:p w14:paraId="76D9FBF4">
      <w:pPr>
        <w:spacing w:line="360" w:lineRule="auto"/>
        <w:ind w:firstLine="482" w:firstLineChars="200"/>
        <w:rPr>
          <w:rFonts w:ascii="宋体" w:hAnsi="宋体"/>
          <w:b/>
          <w:kern w:val="0"/>
          <w:sz w:val="24"/>
        </w:rPr>
      </w:pPr>
      <w:r>
        <w:rPr>
          <w:rFonts w:hint="eastAsia" w:ascii="宋体" w:hAnsi="宋体"/>
          <w:b/>
          <w:kern w:val="0"/>
          <w:sz w:val="24"/>
        </w:rPr>
        <w:t>i. 除非合同中另有规定，承包商的总报价均包括了承包商为实施和完成该工程谈判采购范围所确定的全部工程内容所需的直接费、间接费、管理费、工伤保险费、利润、税金（含销项税额）、措施费、配合费、大型机械进出场费、排污费、二次或多次转运费、安全文明施工费、建设工程竣工档案编制费、风险费、规费、政策性文件规定费用等所有与本工程建设相关的费用，以及施工合同明示或暗示的所有责任、义务和风险。承包商的谈判采购响应报价视为是一个有经验的承包商，在对工程充分了解及对风险充分估计后所作的完备报价，谈判采购响应报价必须为含税价，增值税税率为9%。</w:t>
      </w:r>
    </w:p>
    <w:p w14:paraId="65C09C89">
      <w:pPr>
        <w:spacing w:line="360" w:lineRule="auto"/>
        <w:ind w:firstLine="482" w:firstLineChars="200"/>
        <w:rPr>
          <w:rFonts w:ascii="宋体" w:hAnsi="宋体"/>
          <w:b/>
          <w:kern w:val="0"/>
          <w:sz w:val="24"/>
        </w:rPr>
      </w:pPr>
      <w:r>
        <w:rPr>
          <w:rFonts w:hint="eastAsia" w:ascii="宋体" w:hAnsi="宋体"/>
          <w:b/>
          <w:kern w:val="0"/>
          <w:sz w:val="24"/>
        </w:rPr>
        <w:t>ii.承包商在其谈判采购响应报价中应充分考虑各项措施费用包括但不限于：临时水、电、脚手架和仓储用地、用房、人员食宿、建筑垃圾清运、排污费、材料及半成品的二次或多次转运、成品保护、所拆除的建筑构件及材料场内二次或多次转运等所引起的费用纳入谈判采购响应报价中，采购人对此类费用不另行支付。</w:t>
      </w:r>
    </w:p>
    <w:p w14:paraId="200FFF6A">
      <w:pPr>
        <w:spacing w:line="360" w:lineRule="auto"/>
        <w:ind w:firstLine="482" w:firstLineChars="200"/>
        <w:rPr>
          <w:rFonts w:ascii="宋体" w:hAnsi="宋体"/>
          <w:b/>
          <w:kern w:val="0"/>
          <w:sz w:val="24"/>
        </w:rPr>
      </w:pPr>
      <w:r>
        <w:rPr>
          <w:rFonts w:hint="eastAsia" w:ascii="宋体" w:hAnsi="宋体"/>
          <w:b/>
          <w:kern w:val="0"/>
          <w:sz w:val="24"/>
        </w:rPr>
        <w:t>iii.</w:t>
      </w:r>
      <w:r>
        <w:rPr>
          <w:rFonts w:hint="eastAsia"/>
        </w:rPr>
        <w:t xml:space="preserve"> </w:t>
      </w:r>
      <w:r>
        <w:rPr>
          <w:rFonts w:hint="eastAsia" w:ascii="宋体" w:hAnsi="宋体"/>
          <w:b/>
          <w:kern w:val="0"/>
          <w:sz w:val="24"/>
        </w:rPr>
        <w:t>承包商负责施工用水、用电的接口，其费用也由承包商负责。承包商必须结合施工场地供水、供电的实际情况，负责接至各施工点并对安全负责，并根据实际情况配备必要发电设备和水压增压设备等。由此发生的所有费用（包括搭接费、协调费、设备设施费等）已包含在总价中，工程结算时采购人不另行支付该费用。承包商负责施工产生的水费、电费由采购人承担。.</w:t>
      </w:r>
    </w:p>
    <w:p w14:paraId="65F20D7F">
      <w:pPr>
        <w:spacing w:line="360" w:lineRule="auto"/>
        <w:ind w:firstLine="482" w:firstLineChars="200"/>
        <w:rPr>
          <w:rFonts w:ascii="宋体" w:hAnsi="宋体"/>
          <w:b/>
          <w:kern w:val="0"/>
          <w:sz w:val="24"/>
        </w:rPr>
      </w:pPr>
      <w:r>
        <w:rPr>
          <w:rFonts w:hint="eastAsia" w:ascii="宋体" w:hAnsi="宋体"/>
          <w:b/>
          <w:kern w:val="0"/>
          <w:sz w:val="24"/>
        </w:rPr>
        <w:t>iv.包括但不限于建筑垃圾、余土石方、淤泥、混凝土浆、机械生产所需的汽油（机油）等按环保要求进行处理，并由承包商自行外运，由此所发生的一切费用（包括但不限于建筑垃圾的收集处理、弃土场道路的修建和维护、弃渣费、运输道路沿线的清扫、易撒漏物资密闭运输费以及措施费等）由承包商纳入谈判采购响应报价中，成交后采购人不作任何调整。承包商由于余土石方及建筑垃圾的弃置所造成的一切赔偿由承包商自行负责并承担费用。</w:t>
      </w:r>
    </w:p>
    <w:p w14:paraId="6F77076A">
      <w:pPr>
        <w:spacing w:line="360" w:lineRule="auto"/>
        <w:ind w:firstLine="482" w:firstLineChars="200"/>
        <w:rPr>
          <w:rFonts w:ascii="宋体" w:hAnsi="宋体"/>
          <w:b/>
          <w:kern w:val="0"/>
          <w:sz w:val="24"/>
        </w:rPr>
      </w:pPr>
      <w:r>
        <w:rPr>
          <w:rFonts w:hint="eastAsia" w:ascii="宋体" w:hAnsi="宋体"/>
          <w:b/>
          <w:kern w:val="0"/>
          <w:sz w:val="24"/>
        </w:rPr>
        <w:t>v. 承包商必须注意安全防范，建筑材料不得乱堆乱放，充分考虑采取措施保护施工人员、过往行人等安全，按规定设置围墙、护栏、安全警示标志、警示照明、警示语等，承包商要按采购人要求对采购人正在生产的区域进行防护隔离避免影响生产。由此而采取的一切措施所发生的费用已含在综合报价中，业主不再另行支付该项费用。若在施工期间由于施工措施或防护措施不当而造成的一切安全事故的，其全部安全责任和经济责任均由承包商自行承担，采购人不承担连带责任。</w:t>
      </w:r>
    </w:p>
    <w:p w14:paraId="7C00532D">
      <w:pPr>
        <w:spacing w:line="360" w:lineRule="auto"/>
        <w:ind w:firstLine="482" w:firstLineChars="200"/>
        <w:rPr>
          <w:rFonts w:ascii="宋体" w:hAnsi="宋体"/>
          <w:b/>
          <w:kern w:val="0"/>
          <w:sz w:val="24"/>
        </w:rPr>
      </w:pPr>
      <w:r>
        <w:rPr>
          <w:rFonts w:hint="eastAsia" w:ascii="宋体" w:hAnsi="宋体"/>
          <w:b/>
          <w:kern w:val="0"/>
          <w:sz w:val="24"/>
        </w:rPr>
        <w:t>vi.承包商应保持施工区域内及周边现有道路、周边企业建设的进出道路的畅通，以及对相关设施的保护等，请承包商充分考虑，其费用全部纳入谈判采购响应报价中。因本工程场地受限，厂区内不提供现场办公和生活区的搭建场地，承包商应充分考虑现场实际情况，选址由承包商自行解决，采购人不提供使用场地，所发生费用由承包商综合考虑进入谈判采购响应报价中，不再另行计价。</w:t>
      </w:r>
    </w:p>
    <w:p w14:paraId="582D63C2">
      <w:pPr>
        <w:spacing w:line="360" w:lineRule="auto"/>
        <w:ind w:firstLine="482" w:firstLineChars="200"/>
        <w:rPr>
          <w:rFonts w:ascii="宋体" w:hAnsi="宋体"/>
          <w:b/>
          <w:kern w:val="0"/>
          <w:sz w:val="24"/>
        </w:rPr>
      </w:pPr>
      <w:r>
        <w:rPr>
          <w:rFonts w:hint="eastAsia" w:ascii="宋体" w:hAnsi="宋体"/>
          <w:b/>
          <w:kern w:val="0"/>
          <w:sz w:val="24"/>
        </w:rPr>
        <w:t>vii.本工程施工期间承包商须保护施工场地范围内地上（地下）各种管线、施工现场周边的建、构筑物，承包商所采取保护措施而发生的相关费用（包括人、材、机停窝工、管线保护费、作业方式的调整等）由承包商承担，若承包商对管线和建、构筑物造成损坏或破坏的，由承包商负责修复并承担所有经济责任和法律责任，采购人不承担任何连带责任。</w:t>
      </w:r>
    </w:p>
    <w:p w14:paraId="2685AFDB">
      <w:pPr>
        <w:spacing w:line="360" w:lineRule="auto"/>
        <w:ind w:firstLine="482" w:firstLineChars="200"/>
        <w:rPr>
          <w:rFonts w:ascii="宋体" w:hAnsi="宋体"/>
          <w:b/>
          <w:kern w:val="0"/>
          <w:sz w:val="24"/>
        </w:rPr>
      </w:pPr>
      <w:r>
        <w:rPr>
          <w:rFonts w:hint="eastAsia" w:ascii="宋体" w:hAnsi="宋体"/>
          <w:b/>
          <w:kern w:val="0"/>
          <w:sz w:val="24"/>
        </w:rPr>
        <w:t>viii.承包商应充分了解工地位置，若多家施工单位现场交叉作业时，承包商须无条件的服从采购人统一安排，否则立即无条件清离现场。一切损失由承包商自行承担，因此给采购人造成的损失，承包商必须承担赔偿。由于交叉作业增加的各种费用由承包商纳入谈判采购响应报价中，采购人不另支付其它费用和调整成交价。本工程存在多专业交叉作业，无法形成连续流水施工的客观情况，承包人在其报价中应充分考虑交叉作业带来的局部窝工、工序间歇等风险所引起的费用已综合包含在成交报价内，采购人对此类费用不另行支付。</w:t>
      </w:r>
    </w:p>
    <w:p w14:paraId="5BD77BE0">
      <w:pPr>
        <w:spacing w:line="360" w:lineRule="auto"/>
        <w:ind w:firstLine="482" w:firstLineChars="200"/>
        <w:rPr>
          <w:rFonts w:ascii="宋体" w:hAnsi="宋体"/>
          <w:b/>
          <w:kern w:val="0"/>
          <w:sz w:val="24"/>
        </w:rPr>
      </w:pPr>
      <w:r>
        <w:rPr>
          <w:rFonts w:hint="eastAsia" w:ascii="宋体" w:hAnsi="宋体"/>
          <w:b/>
          <w:kern w:val="0"/>
          <w:sz w:val="24"/>
        </w:rPr>
        <w:t>ix.若因采购人原因造成人、材、机停（窝）工、工期延长等，其相关费用由承包商纳入谈判采购响应报价中，采购人不另行支付其它费用或调整成交价，但影响的工期，采购人同意顺延。</w:t>
      </w:r>
    </w:p>
    <w:p w14:paraId="56514EE3">
      <w:pPr>
        <w:spacing w:line="360" w:lineRule="auto"/>
        <w:ind w:firstLine="482" w:firstLineChars="200"/>
        <w:rPr>
          <w:rFonts w:ascii="宋体" w:hAnsi="宋体"/>
          <w:b/>
          <w:kern w:val="0"/>
          <w:sz w:val="24"/>
        </w:rPr>
      </w:pPr>
      <w:r>
        <w:rPr>
          <w:rFonts w:hint="eastAsia" w:ascii="宋体" w:hAnsi="宋体"/>
          <w:b/>
          <w:kern w:val="0"/>
          <w:sz w:val="24"/>
        </w:rPr>
        <w:t>x.若因承包商原因，造成总工期延误的，每延误一日历天则向采购人支付违约金10000元，依此类推，承包商在谈判采购报价时充分考虑此因素。</w:t>
      </w:r>
    </w:p>
    <w:p w14:paraId="6B1C60B1">
      <w:pPr>
        <w:spacing w:line="360" w:lineRule="auto"/>
        <w:ind w:firstLine="482" w:firstLineChars="200"/>
        <w:rPr>
          <w:rFonts w:ascii="宋体" w:hAnsi="宋体"/>
          <w:b/>
          <w:kern w:val="0"/>
          <w:sz w:val="24"/>
        </w:rPr>
      </w:pPr>
      <w:r>
        <w:rPr>
          <w:rFonts w:hint="eastAsia" w:ascii="宋体" w:hAnsi="宋体"/>
          <w:b/>
          <w:kern w:val="0"/>
          <w:sz w:val="24"/>
        </w:rPr>
        <w:t>xi.本工程因工期紧，任务重，承包商应根据工期要求，合理安排机械设备及人员的投入，所发生的一切费用由承包商纳入谈判采购响应报价中。承包人须按工程工期要求组织 24 小时连续不间断施工；夜间施工作业饱和度应与日间保持一致，同工作面夜间在岗施工作业人员数量不得少于日间在岗作业人员数量。承包人在其谈判采购报价中应充分考虑各项费用包括但不限于夜间施工人员组织、夜间施工措施、劳务成本、夜间施工许可办理等相关费用纳入谈判采购报价中，采购人对此类费用不另行支付。</w:t>
      </w:r>
    </w:p>
    <w:p w14:paraId="5D5996F4">
      <w:pPr>
        <w:spacing w:line="360" w:lineRule="auto"/>
        <w:ind w:firstLine="482" w:firstLineChars="200"/>
        <w:rPr>
          <w:rFonts w:ascii="宋体" w:hAnsi="宋体"/>
          <w:b/>
          <w:kern w:val="0"/>
          <w:sz w:val="24"/>
        </w:rPr>
      </w:pPr>
      <w:r>
        <w:rPr>
          <w:rFonts w:hint="eastAsia" w:ascii="宋体" w:hAnsi="宋体"/>
          <w:b/>
          <w:kern w:val="0"/>
          <w:sz w:val="24"/>
        </w:rPr>
        <w:t>xii. 承包商在报价时应充分考虑整个施工期内材料、设备的涨价因素，所有材料及设备均由承包商自主报价并采购，承包商在报价时应充分考虑整个施工期内材料、设备的涨价因素，不因市场价格的变化而调整。</w:t>
      </w:r>
    </w:p>
    <w:p w14:paraId="1D40A20B">
      <w:pPr>
        <w:spacing w:line="360" w:lineRule="auto"/>
        <w:ind w:firstLine="482" w:firstLineChars="200"/>
        <w:rPr>
          <w:rFonts w:ascii="宋体" w:hAnsi="宋体"/>
          <w:b/>
          <w:kern w:val="0"/>
          <w:sz w:val="24"/>
        </w:rPr>
      </w:pPr>
      <w:r>
        <w:rPr>
          <w:rFonts w:hint="eastAsia" w:ascii="宋体" w:hAnsi="宋体"/>
          <w:b/>
          <w:kern w:val="0"/>
          <w:sz w:val="24"/>
        </w:rPr>
        <w:t>xiii.对于采购人已移交、具备施工条件的工作面，承包人须足额配置作业人员持续施工，不得发生工作面闲置、施工人员不足的情况。承包人在其谈判采购报价中应充分考虑包括但不限于工作面周转、工序衔接、人员调配等相关费用纳入成交报价中，采购人对此类费用不另行支付。</w:t>
      </w:r>
    </w:p>
    <w:p w14:paraId="68C1D5C6">
      <w:pPr>
        <w:spacing w:line="360" w:lineRule="auto"/>
        <w:ind w:firstLine="482" w:firstLineChars="200"/>
        <w:rPr>
          <w:rFonts w:ascii="宋体" w:hAnsi="宋体"/>
          <w:b/>
          <w:kern w:val="0"/>
          <w:sz w:val="24"/>
        </w:rPr>
      </w:pPr>
      <w:r>
        <w:rPr>
          <w:rFonts w:hint="eastAsia" w:ascii="宋体" w:hAnsi="宋体"/>
          <w:b/>
          <w:kern w:val="0"/>
          <w:sz w:val="24"/>
        </w:rPr>
        <w:t xml:space="preserve">xiv. 本工程风险：①承包商应按采购人规定时间到工地踏勘以充分了解工地位置、道路、储存空间、装卸限制等任何其它足以影响报价的情况，任何因忽视或误解工地情况而导致的索赔或工期延长申请将不获批准；②承包商的谈判采购响应报价应结合当地市场价格，充分考虑本工程的施工条件、踏勘现场的实际情况及本工程的相关潜在风险（本工程施工期间若人工费、机械费价格上涨，成交价不作调整），依据本企业自身实力、技术及管理水平等自主报价； </w:t>
      </w:r>
    </w:p>
    <w:p w14:paraId="30293519">
      <w:pPr>
        <w:spacing w:line="360" w:lineRule="auto"/>
        <w:ind w:firstLine="482" w:firstLineChars="200"/>
        <w:rPr>
          <w:rFonts w:ascii="宋体" w:hAnsi="宋体"/>
          <w:b/>
          <w:kern w:val="0"/>
          <w:sz w:val="24"/>
        </w:rPr>
      </w:pPr>
      <w:r>
        <w:rPr>
          <w:rFonts w:hint="eastAsia" w:ascii="宋体" w:hAnsi="宋体"/>
          <w:b/>
          <w:kern w:val="0"/>
          <w:sz w:val="24"/>
        </w:rPr>
        <w:t>xv.. 税金：①进项税额计算方法：按《重庆市住房和城乡建设委员会关于适用增值税新税率调整建设工程计价依据的通知》（渝建〔2019〕143号）文件规定执行；②销项税额计算方法：按《重庆市住房和城乡建设委员会关于适用增值税新税率调整建设工程计价依据的通知》（渝建〔2019〕143号）文件规定执行；③如有最新相关文件出台，按最新文件执行。</w:t>
      </w:r>
    </w:p>
    <w:p w14:paraId="697413C4">
      <w:pPr>
        <w:spacing w:line="360" w:lineRule="auto"/>
        <w:ind w:firstLine="482" w:firstLineChars="200"/>
        <w:rPr>
          <w:rFonts w:ascii="宋体" w:hAnsi="宋体"/>
          <w:b/>
          <w:kern w:val="0"/>
          <w:sz w:val="24"/>
        </w:rPr>
      </w:pPr>
      <w:r>
        <w:rPr>
          <w:rFonts w:hint="eastAsia" w:ascii="宋体" w:hAnsi="宋体"/>
          <w:b/>
          <w:kern w:val="0"/>
          <w:sz w:val="24"/>
        </w:rPr>
        <w:t>xvi.本工程设置投标总报价最高限价，本工程总报价最高限价</w:t>
      </w:r>
      <w:r>
        <w:rPr>
          <w:rFonts w:hint="eastAsia" w:ascii="宋体" w:hAnsi="宋体"/>
          <w:b/>
          <w:kern w:val="0"/>
          <w:sz w:val="24"/>
          <w:lang w:val="en-US" w:eastAsia="zh-CN"/>
        </w:rPr>
        <w:t>136</w:t>
      </w:r>
      <w:r>
        <w:rPr>
          <w:rFonts w:hint="eastAsia" w:ascii="宋体" w:hAnsi="宋体"/>
          <w:b/>
          <w:kern w:val="0"/>
          <w:sz w:val="24"/>
        </w:rPr>
        <w:t>万元，最高限价为含税价，增值税税率为9%。大于最高限价的为无效报价，其谈判采购响应报价文件作否决投标处理。</w:t>
      </w:r>
    </w:p>
    <w:p w14:paraId="1568A45A">
      <w:pPr>
        <w:spacing w:line="360" w:lineRule="auto"/>
        <w:ind w:firstLine="482" w:firstLineChars="200"/>
        <w:rPr>
          <w:rFonts w:ascii="宋体" w:hAnsi="宋体"/>
          <w:b/>
          <w:kern w:val="0"/>
          <w:sz w:val="24"/>
        </w:rPr>
      </w:pPr>
      <w:r>
        <w:rPr>
          <w:rFonts w:ascii="宋体" w:hAnsi="宋体"/>
          <w:b/>
          <w:kern w:val="0"/>
          <w:sz w:val="24"/>
        </w:rPr>
        <w:t>5.3.</w:t>
      </w:r>
      <w:r>
        <w:rPr>
          <w:rFonts w:hint="eastAsia" w:ascii="宋体" w:hAnsi="宋体"/>
          <w:b/>
          <w:kern w:val="0"/>
          <w:sz w:val="24"/>
        </w:rPr>
        <w:t>4、履约保证金：成交金额10%，银行转账或银行保函，提交时间为自</w:t>
      </w:r>
      <w:bookmarkStart w:id="508" w:name="_GoBack"/>
      <w:bookmarkEnd w:id="508"/>
      <w:r>
        <w:rPr>
          <w:rFonts w:hint="eastAsia" w:ascii="宋体" w:hAnsi="宋体"/>
          <w:b/>
          <w:kern w:val="0"/>
          <w:sz w:val="24"/>
        </w:rPr>
        <w:t>成交通知书发出之日起10天内提交，竣工验收合格退场后15个工作日内无息退还。</w:t>
      </w:r>
    </w:p>
    <w:p w14:paraId="73FCBCCE">
      <w:pPr>
        <w:spacing w:line="360" w:lineRule="auto"/>
        <w:ind w:firstLine="482" w:firstLineChars="200"/>
        <w:rPr>
          <w:rFonts w:ascii="宋体" w:hAnsi="宋体"/>
          <w:b/>
          <w:kern w:val="0"/>
          <w:sz w:val="24"/>
        </w:rPr>
      </w:pPr>
      <w:r>
        <w:rPr>
          <w:rFonts w:ascii="宋体" w:hAnsi="宋体"/>
          <w:b/>
          <w:kern w:val="0"/>
          <w:sz w:val="24"/>
        </w:rPr>
        <w:t>5.3.5</w:t>
      </w:r>
      <w:r>
        <w:rPr>
          <w:rFonts w:hint="eastAsia" w:ascii="宋体" w:hAnsi="宋体"/>
          <w:b/>
          <w:kern w:val="0"/>
          <w:sz w:val="24"/>
        </w:rPr>
        <w:t>、特别说明：</w:t>
      </w:r>
    </w:p>
    <w:p w14:paraId="5318BA6B">
      <w:pPr>
        <w:spacing w:line="360" w:lineRule="auto"/>
        <w:ind w:firstLine="482" w:firstLineChars="200"/>
        <w:rPr>
          <w:rFonts w:ascii="宋体" w:hAnsi="宋体"/>
          <w:b/>
          <w:kern w:val="0"/>
          <w:sz w:val="24"/>
        </w:rPr>
      </w:pPr>
      <w:r>
        <w:rPr>
          <w:rFonts w:hint="eastAsia" w:ascii="宋体" w:hAnsi="宋体"/>
          <w:b/>
          <w:kern w:val="0"/>
          <w:sz w:val="24"/>
        </w:rPr>
        <w:t>谈判采购文件中合同模板专用条款“安全生产履约保证金”相关内容，承包商在报价时必须注意，此条款承包商在签订合同后，入厂施工作业前必须支付到位。</w:t>
      </w:r>
    </w:p>
    <w:p w14:paraId="00387F1E">
      <w:pPr>
        <w:spacing w:line="360" w:lineRule="auto"/>
        <w:ind w:firstLine="482" w:firstLineChars="200"/>
        <w:rPr>
          <w:rFonts w:ascii="宋体" w:hAnsi="宋体"/>
          <w:b/>
          <w:kern w:val="0"/>
          <w:sz w:val="24"/>
        </w:rPr>
      </w:pPr>
      <w:r>
        <w:rPr>
          <w:rFonts w:ascii="宋体" w:hAnsi="宋体"/>
          <w:b/>
          <w:kern w:val="0"/>
          <w:sz w:val="24"/>
        </w:rPr>
        <w:t>6</w:t>
      </w:r>
      <w:r>
        <w:rPr>
          <w:rFonts w:hint="eastAsia" w:ascii="宋体" w:hAnsi="宋体"/>
          <w:b/>
          <w:kern w:val="0"/>
          <w:sz w:val="24"/>
        </w:rPr>
        <w:t>. 报价</w:t>
      </w:r>
      <w:r>
        <w:rPr>
          <w:rFonts w:ascii="宋体" w:hAnsi="宋体"/>
          <w:b/>
          <w:kern w:val="0"/>
          <w:sz w:val="24"/>
        </w:rPr>
        <w:t>货币</w:t>
      </w:r>
    </w:p>
    <w:p w14:paraId="547B71F5">
      <w:pPr>
        <w:spacing w:line="360" w:lineRule="auto"/>
        <w:ind w:firstLine="480" w:firstLineChars="200"/>
        <w:rPr>
          <w:rFonts w:ascii="宋体" w:hAnsi="宋体"/>
          <w:kern w:val="0"/>
          <w:sz w:val="24"/>
        </w:rPr>
      </w:pPr>
      <w:r>
        <w:rPr>
          <w:rFonts w:ascii="宋体" w:hAnsi="宋体"/>
          <w:kern w:val="0"/>
          <w:sz w:val="24"/>
        </w:rPr>
        <w:t>6</w:t>
      </w:r>
      <w:r>
        <w:rPr>
          <w:rFonts w:hint="eastAsia" w:ascii="宋体" w:hAnsi="宋体"/>
          <w:kern w:val="0"/>
          <w:sz w:val="24"/>
        </w:rPr>
        <w:t>.1 谈判文件</w:t>
      </w:r>
      <w:r>
        <w:rPr>
          <w:rFonts w:ascii="宋体" w:hAnsi="宋体"/>
          <w:kern w:val="0"/>
          <w:sz w:val="24"/>
        </w:rPr>
        <w:t>中的</w:t>
      </w:r>
      <w:r>
        <w:rPr>
          <w:rFonts w:hint="eastAsia" w:ascii="宋体" w:hAnsi="宋体"/>
          <w:kern w:val="0"/>
          <w:sz w:val="24"/>
        </w:rPr>
        <w:t>报价</w:t>
      </w:r>
      <w:r>
        <w:rPr>
          <w:rFonts w:ascii="宋体" w:hAnsi="宋体"/>
          <w:kern w:val="0"/>
          <w:sz w:val="24"/>
        </w:rPr>
        <w:t>一律用人民币币种填报。</w:t>
      </w:r>
    </w:p>
    <w:p w14:paraId="5DB212E5">
      <w:pPr>
        <w:spacing w:line="360" w:lineRule="auto"/>
        <w:ind w:firstLine="482" w:firstLineChars="200"/>
        <w:rPr>
          <w:rFonts w:ascii="宋体" w:hAnsi="宋体"/>
          <w:b/>
          <w:kern w:val="0"/>
          <w:sz w:val="24"/>
        </w:rPr>
      </w:pPr>
      <w:r>
        <w:rPr>
          <w:rFonts w:ascii="宋体" w:hAnsi="宋体"/>
          <w:b/>
          <w:kern w:val="0"/>
          <w:sz w:val="24"/>
        </w:rPr>
        <w:t>7.</w:t>
      </w:r>
      <w:r>
        <w:rPr>
          <w:rFonts w:hint="eastAsia" w:ascii="宋体" w:hAnsi="宋体"/>
          <w:b/>
          <w:kern w:val="0"/>
          <w:sz w:val="24"/>
        </w:rPr>
        <w:t>证明</w:t>
      </w:r>
      <w:r>
        <w:rPr>
          <w:rFonts w:ascii="宋体" w:hAnsi="宋体"/>
          <w:b/>
          <w:kern w:val="0"/>
          <w:sz w:val="24"/>
        </w:rPr>
        <w:t>供应商资格的证明文件</w:t>
      </w:r>
    </w:p>
    <w:p w14:paraId="22C7E8DB">
      <w:pPr>
        <w:spacing w:line="360" w:lineRule="auto"/>
        <w:ind w:firstLine="480" w:firstLineChars="200"/>
        <w:rPr>
          <w:rFonts w:ascii="宋体" w:hAnsi="宋体"/>
          <w:kern w:val="0"/>
          <w:sz w:val="24"/>
        </w:rPr>
      </w:pPr>
      <w:r>
        <w:rPr>
          <w:rFonts w:ascii="宋体" w:hAnsi="宋体"/>
          <w:kern w:val="0"/>
          <w:sz w:val="24"/>
        </w:rPr>
        <w:t xml:space="preserve">7.1 </w:t>
      </w:r>
      <w:r>
        <w:rPr>
          <w:rFonts w:hint="eastAsia" w:ascii="宋体" w:hAnsi="宋体"/>
          <w:kern w:val="0"/>
          <w:sz w:val="24"/>
        </w:rPr>
        <w:t>供应商</w:t>
      </w:r>
      <w:r>
        <w:rPr>
          <w:rFonts w:ascii="宋体" w:hAnsi="宋体"/>
          <w:color w:val="000000" w:themeColor="text1"/>
          <w:kern w:val="0"/>
          <w:sz w:val="24"/>
          <w14:textFill>
            <w14:solidFill>
              <w14:schemeClr w14:val="tx1"/>
            </w14:solidFill>
          </w14:textFill>
        </w:rPr>
        <w:t>必须</w:t>
      </w:r>
      <w:r>
        <w:rPr>
          <w:rFonts w:hint="eastAsia" w:ascii="宋体" w:hAnsi="宋体"/>
          <w:color w:val="000000" w:themeColor="text1"/>
          <w:kern w:val="0"/>
          <w:sz w:val="24"/>
          <w14:textFill>
            <w14:solidFill>
              <w14:schemeClr w14:val="tx1"/>
            </w14:solidFill>
          </w14:textFill>
        </w:rPr>
        <w:t>按</w:t>
      </w:r>
      <w:r>
        <w:rPr>
          <w:rFonts w:ascii="宋体" w:hAnsi="宋体"/>
          <w:color w:val="000000" w:themeColor="text1"/>
          <w:kern w:val="0"/>
          <w:sz w:val="24"/>
          <w14:textFill>
            <w14:solidFill>
              <w14:schemeClr w14:val="tx1"/>
            </w14:solidFill>
          </w14:textFill>
        </w:rPr>
        <w:t>附件</w:t>
      </w:r>
      <w:r>
        <w:rPr>
          <w:rFonts w:hint="eastAsia" w:ascii="宋体" w:hAnsi="宋体"/>
          <w:color w:val="000000" w:themeColor="text1"/>
          <w:kern w:val="0"/>
          <w:sz w:val="24"/>
          <w14:textFill>
            <w14:solidFill>
              <w14:schemeClr w14:val="tx1"/>
            </w14:solidFill>
          </w14:textFill>
        </w:rPr>
        <w:t>3的</w:t>
      </w:r>
      <w:r>
        <w:rPr>
          <w:rFonts w:ascii="宋体" w:hAnsi="宋体"/>
          <w:color w:val="000000" w:themeColor="text1"/>
          <w:kern w:val="0"/>
          <w:sz w:val="24"/>
          <w14:textFill>
            <w14:solidFill>
              <w14:schemeClr w14:val="tx1"/>
            </w14:solidFill>
          </w14:textFill>
        </w:rPr>
        <w:t>要求</w:t>
      </w:r>
      <w:r>
        <w:rPr>
          <w:rFonts w:ascii="宋体" w:hAnsi="宋体"/>
          <w:kern w:val="0"/>
          <w:sz w:val="24"/>
        </w:rPr>
        <w:t>提交证明文件，以证明其有资格参加</w:t>
      </w:r>
      <w:r>
        <w:rPr>
          <w:rFonts w:hint="eastAsia" w:ascii="宋体" w:hAnsi="宋体"/>
          <w:kern w:val="0"/>
          <w:sz w:val="24"/>
        </w:rPr>
        <w:t>谈判采购和成交</w:t>
      </w:r>
      <w:r>
        <w:rPr>
          <w:rFonts w:ascii="宋体" w:hAnsi="宋体"/>
          <w:kern w:val="0"/>
          <w:sz w:val="24"/>
        </w:rPr>
        <w:t>后有履行合同的能力，并作为其</w:t>
      </w:r>
      <w:r>
        <w:rPr>
          <w:rFonts w:hint="eastAsia" w:ascii="宋体" w:hAnsi="宋体"/>
          <w:kern w:val="0"/>
          <w:sz w:val="24"/>
        </w:rPr>
        <w:t>谈判文件</w:t>
      </w:r>
      <w:r>
        <w:rPr>
          <w:rFonts w:ascii="宋体" w:hAnsi="宋体"/>
          <w:kern w:val="0"/>
          <w:sz w:val="24"/>
        </w:rPr>
        <w:t>的一部分</w:t>
      </w:r>
      <w:r>
        <w:rPr>
          <w:rFonts w:hint="eastAsia" w:ascii="宋体" w:hAnsi="宋体"/>
          <w:kern w:val="0"/>
          <w:sz w:val="24"/>
        </w:rPr>
        <w:t>；</w:t>
      </w:r>
    </w:p>
    <w:p w14:paraId="4A8C7FF4">
      <w:pPr>
        <w:widowControl/>
        <w:spacing w:line="360" w:lineRule="auto"/>
        <w:ind w:firstLine="480" w:firstLineChars="200"/>
        <w:jc w:val="left"/>
        <w:rPr>
          <w:rFonts w:ascii="宋体" w:hAnsi="宋体"/>
          <w:kern w:val="0"/>
          <w:sz w:val="24"/>
        </w:rPr>
      </w:pPr>
      <w:r>
        <w:rPr>
          <w:rFonts w:ascii="宋体" w:hAnsi="宋体" w:cs="宋体"/>
          <w:kern w:val="0"/>
          <w:sz w:val="24"/>
        </w:rPr>
        <w:t xml:space="preserve">7.2 </w:t>
      </w:r>
      <w:r>
        <w:rPr>
          <w:rFonts w:hint="eastAsia" w:ascii="宋体" w:hAnsi="宋体"/>
          <w:kern w:val="0"/>
          <w:sz w:val="24"/>
        </w:rPr>
        <w:t>供应商</w:t>
      </w:r>
      <w:r>
        <w:rPr>
          <w:rFonts w:ascii="宋体" w:hAnsi="宋体"/>
          <w:kern w:val="0"/>
          <w:sz w:val="24"/>
        </w:rPr>
        <w:t>应具有</w:t>
      </w:r>
      <w:r>
        <w:rPr>
          <w:rFonts w:hint="eastAsia" w:ascii="宋体" w:hAnsi="宋体"/>
          <w:kern w:val="0"/>
          <w:sz w:val="24"/>
        </w:rPr>
        <w:t>独立</w:t>
      </w:r>
      <w:r>
        <w:rPr>
          <w:rFonts w:ascii="宋体" w:hAnsi="宋体"/>
          <w:kern w:val="0"/>
          <w:sz w:val="24"/>
        </w:rPr>
        <w:t>履行合同所需的财务、业务和管理能力。</w:t>
      </w:r>
    </w:p>
    <w:p w14:paraId="2410F311">
      <w:pPr>
        <w:spacing w:line="360" w:lineRule="auto"/>
        <w:ind w:firstLine="482" w:firstLineChars="200"/>
        <w:rPr>
          <w:rFonts w:ascii="宋体" w:hAnsi="宋体"/>
          <w:b/>
          <w:kern w:val="0"/>
          <w:sz w:val="24"/>
        </w:rPr>
      </w:pPr>
      <w:r>
        <w:rPr>
          <w:rFonts w:ascii="宋体" w:hAnsi="宋体"/>
          <w:b/>
          <w:kern w:val="0"/>
          <w:sz w:val="24"/>
        </w:rPr>
        <w:t>8.</w:t>
      </w:r>
      <w:r>
        <w:rPr>
          <w:rFonts w:hint="eastAsia" w:ascii="宋体" w:hAnsi="宋体"/>
          <w:b/>
          <w:kern w:val="0"/>
          <w:sz w:val="24"/>
        </w:rPr>
        <w:t xml:space="preserve"> 谈判文件</w:t>
      </w:r>
      <w:r>
        <w:rPr>
          <w:rFonts w:ascii="宋体" w:hAnsi="宋体"/>
          <w:b/>
          <w:kern w:val="0"/>
          <w:sz w:val="24"/>
        </w:rPr>
        <w:t>的签署及规定</w:t>
      </w:r>
    </w:p>
    <w:p w14:paraId="1FA56819">
      <w:pPr>
        <w:spacing w:line="360" w:lineRule="auto"/>
        <w:ind w:firstLine="480" w:firstLineChars="200"/>
        <w:rPr>
          <w:rFonts w:ascii="宋体" w:hAnsi="宋体"/>
          <w:kern w:val="0"/>
          <w:sz w:val="24"/>
        </w:rPr>
      </w:pPr>
      <w:r>
        <w:rPr>
          <w:rFonts w:ascii="宋体" w:hAnsi="宋体"/>
          <w:kern w:val="0"/>
          <w:sz w:val="24"/>
        </w:rPr>
        <w:t>8</w:t>
      </w:r>
      <w:r>
        <w:rPr>
          <w:rFonts w:hint="eastAsia" w:ascii="宋体" w:hAnsi="宋体"/>
          <w:kern w:val="0"/>
          <w:sz w:val="24"/>
        </w:rPr>
        <w:t>.1 谈判文件</w:t>
      </w:r>
      <w:r>
        <w:rPr>
          <w:rFonts w:ascii="宋体" w:hAnsi="宋体"/>
          <w:kern w:val="0"/>
          <w:sz w:val="24"/>
        </w:rPr>
        <w:t>签署人系指法定代表人或法定代表人针对本次项目正式授权的供应商代表</w:t>
      </w:r>
      <w:r>
        <w:rPr>
          <w:rFonts w:hint="eastAsia" w:ascii="宋体" w:hAnsi="宋体"/>
          <w:kern w:val="0"/>
          <w:sz w:val="24"/>
        </w:rPr>
        <w:t>；</w:t>
      </w:r>
    </w:p>
    <w:p w14:paraId="003A0E36">
      <w:pPr>
        <w:spacing w:line="360" w:lineRule="auto"/>
        <w:ind w:firstLine="480" w:firstLineChars="200"/>
        <w:rPr>
          <w:rFonts w:ascii="宋体" w:hAnsi="宋体"/>
          <w:kern w:val="0"/>
          <w:sz w:val="24"/>
        </w:rPr>
      </w:pPr>
      <w:r>
        <w:rPr>
          <w:rFonts w:ascii="宋体" w:hAnsi="宋体"/>
          <w:kern w:val="0"/>
          <w:sz w:val="24"/>
        </w:rPr>
        <w:t>8</w:t>
      </w:r>
      <w:r>
        <w:rPr>
          <w:rFonts w:hint="eastAsia" w:ascii="宋体" w:hAnsi="宋体"/>
          <w:kern w:val="0"/>
          <w:sz w:val="24"/>
        </w:rPr>
        <w:t>.2 谈判文件</w:t>
      </w:r>
      <w:r>
        <w:rPr>
          <w:rFonts w:ascii="宋体" w:hAnsi="宋体"/>
          <w:kern w:val="0"/>
          <w:sz w:val="24"/>
        </w:rPr>
        <w:t>须是打印文件。</w:t>
      </w:r>
      <w:r>
        <w:rPr>
          <w:rFonts w:hint="eastAsia" w:ascii="宋体" w:hAnsi="宋体"/>
          <w:kern w:val="0"/>
          <w:sz w:val="24"/>
        </w:rPr>
        <w:t>谈判文件</w:t>
      </w:r>
      <w:r>
        <w:rPr>
          <w:rFonts w:ascii="宋体" w:hAnsi="宋体"/>
          <w:kern w:val="0"/>
          <w:sz w:val="24"/>
        </w:rPr>
        <w:t>应由</w:t>
      </w:r>
      <w:r>
        <w:rPr>
          <w:rFonts w:hint="eastAsia" w:ascii="宋体" w:hAnsi="宋体"/>
          <w:kern w:val="0"/>
          <w:sz w:val="24"/>
        </w:rPr>
        <w:t>谈判文件</w:t>
      </w:r>
      <w:r>
        <w:rPr>
          <w:rFonts w:ascii="宋体" w:hAnsi="宋体"/>
          <w:kern w:val="0"/>
          <w:sz w:val="24"/>
        </w:rPr>
        <w:t>签署人在</w:t>
      </w:r>
      <w:r>
        <w:rPr>
          <w:rFonts w:hint="eastAsia" w:ascii="宋体" w:hAnsi="宋体"/>
          <w:kern w:val="0"/>
          <w:sz w:val="24"/>
        </w:rPr>
        <w:t>“谈判文件”要求</w:t>
      </w:r>
      <w:r>
        <w:rPr>
          <w:rFonts w:ascii="宋体" w:hAnsi="宋体"/>
          <w:kern w:val="0"/>
          <w:sz w:val="24"/>
        </w:rPr>
        <w:t>的地方签字并加盖</w:t>
      </w:r>
      <w:r>
        <w:rPr>
          <w:rFonts w:hint="eastAsia" w:ascii="宋体" w:hAnsi="宋体"/>
          <w:kern w:val="0"/>
          <w:sz w:val="24"/>
        </w:rPr>
        <w:t>供应商</w:t>
      </w:r>
      <w:r>
        <w:rPr>
          <w:rFonts w:ascii="宋体" w:hAnsi="宋体"/>
          <w:kern w:val="0"/>
          <w:sz w:val="24"/>
        </w:rPr>
        <w:t>单位公章。</w:t>
      </w:r>
    </w:p>
    <w:p w14:paraId="7563E974">
      <w:pPr>
        <w:spacing w:line="360" w:lineRule="auto"/>
        <w:ind w:firstLine="480" w:firstLineChars="200"/>
        <w:rPr>
          <w:rFonts w:ascii="宋体" w:hAnsi="宋体"/>
          <w:kern w:val="0"/>
          <w:sz w:val="24"/>
        </w:rPr>
      </w:pPr>
      <w:r>
        <w:rPr>
          <w:rFonts w:ascii="宋体" w:hAnsi="宋体"/>
          <w:kern w:val="0"/>
          <w:sz w:val="24"/>
        </w:rPr>
        <w:t>8</w:t>
      </w:r>
      <w:r>
        <w:rPr>
          <w:rFonts w:hint="eastAsia" w:ascii="宋体" w:hAnsi="宋体"/>
          <w:kern w:val="0"/>
          <w:sz w:val="24"/>
        </w:rPr>
        <w:t>.3 除</w:t>
      </w:r>
      <w:r>
        <w:rPr>
          <w:rFonts w:ascii="宋体" w:hAnsi="宋体"/>
          <w:kern w:val="0"/>
          <w:sz w:val="24"/>
        </w:rPr>
        <w:t>供应商对错误处做必要修改外，</w:t>
      </w:r>
      <w:r>
        <w:rPr>
          <w:rFonts w:hint="eastAsia" w:ascii="宋体" w:hAnsi="宋体"/>
          <w:kern w:val="0"/>
          <w:sz w:val="24"/>
        </w:rPr>
        <w:t>谈判文件</w:t>
      </w:r>
      <w:r>
        <w:rPr>
          <w:rFonts w:ascii="宋体" w:hAnsi="宋体"/>
          <w:kern w:val="0"/>
          <w:sz w:val="24"/>
        </w:rPr>
        <w:t>中不许有加行、涂抹</w:t>
      </w:r>
      <w:r>
        <w:rPr>
          <w:rFonts w:hint="eastAsia" w:ascii="宋体" w:hAnsi="宋体"/>
          <w:kern w:val="0"/>
          <w:sz w:val="24"/>
        </w:rPr>
        <w:t>或</w:t>
      </w:r>
      <w:r>
        <w:rPr>
          <w:rFonts w:ascii="宋体" w:hAnsi="宋体"/>
          <w:kern w:val="0"/>
          <w:sz w:val="24"/>
        </w:rPr>
        <w:t>改写。若有</w:t>
      </w:r>
      <w:r>
        <w:rPr>
          <w:rFonts w:hint="eastAsia" w:ascii="宋体" w:hAnsi="宋体"/>
          <w:kern w:val="0"/>
          <w:sz w:val="24"/>
        </w:rPr>
        <w:t>修改</w:t>
      </w:r>
      <w:r>
        <w:rPr>
          <w:rFonts w:ascii="宋体" w:hAnsi="宋体"/>
          <w:kern w:val="0"/>
          <w:sz w:val="24"/>
        </w:rPr>
        <w:t>内容，须由</w:t>
      </w:r>
      <w:r>
        <w:rPr>
          <w:rFonts w:hint="eastAsia" w:ascii="宋体" w:hAnsi="宋体"/>
          <w:kern w:val="0"/>
          <w:sz w:val="24"/>
        </w:rPr>
        <w:t>谈判文件</w:t>
      </w:r>
      <w:r>
        <w:rPr>
          <w:rFonts w:ascii="宋体" w:hAnsi="宋体"/>
          <w:kern w:val="0"/>
          <w:sz w:val="24"/>
        </w:rPr>
        <w:t>签署人在修改处签字为有效。</w:t>
      </w:r>
    </w:p>
    <w:p w14:paraId="3E0CDAE4">
      <w:pPr>
        <w:spacing w:line="360" w:lineRule="auto"/>
        <w:ind w:firstLine="480" w:firstLineChars="200"/>
        <w:rPr>
          <w:rFonts w:ascii="宋体" w:hAnsi="宋体"/>
          <w:kern w:val="0"/>
          <w:sz w:val="24"/>
        </w:rPr>
      </w:pPr>
      <w:r>
        <w:rPr>
          <w:rFonts w:ascii="宋体" w:hAnsi="宋体"/>
          <w:kern w:val="0"/>
          <w:sz w:val="24"/>
        </w:rPr>
        <w:t>8</w:t>
      </w:r>
      <w:r>
        <w:rPr>
          <w:rFonts w:hint="eastAsia" w:ascii="宋体" w:hAnsi="宋体"/>
          <w:kern w:val="0"/>
          <w:sz w:val="24"/>
        </w:rPr>
        <w:t>.4 谈判文件</w:t>
      </w:r>
      <w:r>
        <w:rPr>
          <w:rFonts w:ascii="宋体" w:hAnsi="宋体"/>
          <w:kern w:val="0"/>
          <w:sz w:val="24"/>
        </w:rPr>
        <w:t>因字迹潦草或表达不清所引起的后果由供应商</w:t>
      </w:r>
      <w:r>
        <w:rPr>
          <w:rFonts w:hint="eastAsia" w:ascii="宋体" w:hAnsi="宋体"/>
          <w:kern w:val="0"/>
          <w:sz w:val="24"/>
        </w:rPr>
        <w:t>自己</w:t>
      </w:r>
      <w:r>
        <w:rPr>
          <w:rFonts w:ascii="宋体" w:hAnsi="宋体"/>
          <w:kern w:val="0"/>
          <w:sz w:val="24"/>
        </w:rPr>
        <w:t>承担。</w:t>
      </w:r>
    </w:p>
    <w:p w14:paraId="1E123723">
      <w:pPr>
        <w:spacing w:line="360" w:lineRule="auto"/>
        <w:ind w:firstLine="480" w:firstLineChars="200"/>
        <w:rPr>
          <w:rFonts w:ascii="宋体" w:hAnsi="宋体"/>
          <w:kern w:val="0"/>
          <w:sz w:val="24"/>
        </w:rPr>
      </w:pPr>
      <w:r>
        <w:rPr>
          <w:rFonts w:ascii="宋体" w:hAnsi="宋体"/>
          <w:kern w:val="0"/>
          <w:sz w:val="24"/>
        </w:rPr>
        <w:t xml:space="preserve">8.5 </w:t>
      </w:r>
      <w:r>
        <w:rPr>
          <w:rFonts w:hint="eastAsia" w:ascii="宋体" w:hAnsi="宋体"/>
          <w:kern w:val="0"/>
          <w:sz w:val="24"/>
        </w:rPr>
        <w:t>采购人</w:t>
      </w:r>
      <w:r>
        <w:rPr>
          <w:rFonts w:ascii="宋体" w:hAnsi="宋体"/>
          <w:kern w:val="0"/>
          <w:sz w:val="24"/>
        </w:rPr>
        <w:t>拒绝接受以电话、传真或电子邮件形式的</w:t>
      </w:r>
      <w:r>
        <w:rPr>
          <w:rFonts w:hint="eastAsia" w:ascii="宋体" w:hAnsi="宋体"/>
          <w:kern w:val="0"/>
          <w:sz w:val="24"/>
        </w:rPr>
        <w:t>投递</w:t>
      </w:r>
      <w:r>
        <w:rPr>
          <w:rFonts w:ascii="宋体" w:hAnsi="宋体"/>
          <w:kern w:val="0"/>
          <w:sz w:val="24"/>
        </w:rPr>
        <w:t>。</w:t>
      </w:r>
    </w:p>
    <w:p w14:paraId="34FA5801">
      <w:pPr>
        <w:widowControl/>
        <w:spacing w:line="360" w:lineRule="auto"/>
        <w:ind w:firstLine="482" w:firstLineChars="200"/>
        <w:jc w:val="left"/>
        <w:rPr>
          <w:rFonts w:ascii="宋体" w:hAnsi="宋体" w:cs="宋体"/>
          <w:b/>
          <w:kern w:val="0"/>
          <w:sz w:val="24"/>
        </w:rPr>
      </w:pPr>
      <w:r>
        <w:rPr>
          <w:rFonts w:hint="eastAsia" w:ascii="宋体" w:hAnsi="宋体" w:cs="宋体"/>
          <w:b/>
          <w:kern w:val="0"/>
          <w:sz w:val="24"/>
        </w:rPr>
        <w:t>四</w:t>
      </w:r>
      <w:r>
        <w:rPr>
          <w:rFonts w:ascii="宋体" w:hAnsi="宋体" w:cs="宋体"/>
          <w:b/>
          <w:kern w:val="0"/>
          <w:sz w:val="24"/>
        </w:rPr>
        <w:t>、</w:t>
      </w:r>
      <w:r>
        <w:rPr>
          <w:rFonts w:hint="eastAsia" w:ascii="宋体" w:hAnsi="宋体" w:cs="宋体"/>
          <w:b/>
          <w:kern w:val="0"/>
          <w:sz w:val="24"/>
        </w:rPr>
        <w:t>谈判文件</w:t>
      </w:r>
      <w:r>
        <w:rPr>
          <w:rFonts w:ascii="宋体" w:hAnsi="宋体" w:cs="宋体"/>
          <w:b/>
          <w:kern w:val="0"/>
          <w:sz w:val="24"/>
        </w:rPr>
        <w:t>的递交</w:t>
      </w:r>
    </w:p>
    <w:p w14:paraId="7D90758E">
      <w:pPr>
        <w:widowControl/>
        <w:spacing w:line="360" w:lineRule="auto"/>
        <w:ind w:firstLine="482" w:firstLineChars="200"/>
        <w:jc w:val="left"/>
        <w:rPr>
          <w:rFonts w:ascii="宋体" w:hAnsi="宋体" w:cs="宋体"/>
          <w:b/>
          <w:kern w:val="0"/>
          <w:sz w:val="24"/>
        </w:rPr>
      </w:pPr>
      <w:r>
        <w:rPr>
          <w:rFonts w:ascii="宋体" w:hAnsi="宋体" w:cs="宋体"/>
          <w:b/>
          <w:kern w:val="0"/>
          <w:sz w:val="24"/>
        </w:rPr>
        <w:t>1</w:t>
      </w:r>
      <w:r>
        <w:rPr>
          <w:rFonts w:hint="eastAsia" w:ascii="宋体" w:hAnsi="宋体" w:cs="宋体"/>
          <w:b/>
          <w:kern w:val="0"/>
          <w:sz w:val="24"/>
        </w:rPr>
        <w:t>.谈判文件</w:t>
      </w:r>
      <w:r>
        <w:rPr>
          <w:rFonts w:ascii="宋体" w:hAnsi="宋体" w:cs="宋体"/>
          <w:b/>
          <w:kern w:val="0"/>
          <w:sz w:val="24"/>
        </w:rPr>
        <w:t>的数量、包装</w:t>
      </w:r>
      <w:r>
        <w:rPr>
          <w:rFonts w:hint="eastAsia" w:ascii="宋体" w:hAnsi="宋体" w:cs="宋体"/>
          <w:b/>
          <w:kern w:val="0"/>
          <w:sz w:val="24"/>
        </w:rPr>
        <w:t>和</w:t>
      </w:r>
      <w:r>
        <w:rPr>
          <w:rFonts w:ascii="宋体" w:hAnsi="宋体" w:cs="宋体"/>
          <w:b/>
          <w:kern w:val="0"/>
          <w:sz w:val="24"/>
        </w:rPr>
        <w:t>标记</w:t>
      </w:r>
    </w:p>
    <w:p w14:paraId="3127F857">
      <w:pPr>
        <w:widowControl/>
        <w:spacing w:line="360" w:lineRule="auto"/>
        <w:ind w:firstLine="480" w:firstLineChars="200"/>
        <w:jc w:val="left"/>
        <w:rPr>
          <w:rFonts w:ascii="宋体" w:hAnsi="宋体" w:cs="宋体"/>
          <w:kern w:val="0"/>
          <w:sz w:val="24"/>
        </w:rPr>
      </w:pPr>
      <w:r>
        <w:rPr>
          <w:rFonts w:ascii="宋体" w:hAnsi="宋体" w:cs="宋体"/>
          <w:kern w:val="0"/>
          <w:sz w:val="24"/>
        </w:rPr>
        <w:t xml:space="preserve">1.1 </w:t>
      </w:r>
      <w:r>
        <w:rPr>
          <w:rFonts w:hint="eastAsia" w:ascii="宋体" w:hAnsi="宋体" w:cs="宋体"/>
          <w:kern w:val="0"/>
          <w:sz w:val="24"/>
        </w:rPr>
        <w:t>供应商</w:t>
      </w:r>
      <w:r>
        <w:rPr>
          <w:rFonts w:ascii="宋体" w:hAnsi="宋体" w:cs="宋体"/>
          <w:kern w:val="0"/>
          <w:sz w:val="24"/>
        </w:rPr>
        <w:t>应提交“</w:t>
      </w:r>
      <w:r>
        <w:rPr>
          <w:rFonts w:hint="eastAsia" w:ascii="宋体" w:hAnsi="宋体" w:cs="宋体"/>
          <w:kern w:val="0"/>
          <w:sz w:val="24"/>
        </w:rPr>
        <w:t>谈判文件</w:t>
      </w:r>
      <w:r>
        <w:rPr>
          <w:rFonts w:ascii="宋体" w:hAnsi="宋体" w:cs="宋体"/>
          <w:kern w:val="0"/>
          <w:sz w:val="24"/>
        </w:rPr>
        <w:t>”</w:t>
      </w:r>
      <w:r>
        <w:rPr>
          <w:rFonts w:hint="eastAsia" w:ascii="宋体" w:hAnsi="宋体" w:cs="宋体"/>
          <w:kern w:val="0"/>
          <w:sz w:val="24"/>
        </w:rPr>
        <w:t>正本</w:t>
      </w:r>
      <w:r>
        <w:rPr>
          <w:rFonts w:ascii="宋体" w:hAnsi="宋体" w:cs="宋体"/>
          <w:kern w:val="0"/>
          <w:sz w:val="24"/>
        </w:rPr>
        <w:t>一套</w:t>
      </w:r>
      <w:r>
        <w:rPr>
          <w:rFonts w:hint="eastAsia" w:ascii="宋体" w:hAnsi="宋体" w:cs="宋体"/>
          <w:kern w:val="0"/>
          <w:sz w:val="24"/>
        </w:rPr>
        <w:t>。电子版文件（盖鲜章的PDF扫描件）一套（提供形式：U盘）</w:t>
      </w:r>
    </w:p>
    <w:p w14:paraId="13D18FCE">
      <w:pPr>
        <w:widowControl/>
        <w:spacing w:line="360" w:lineRule="auto"/>
        <w:ind w:firstLine="480" w:firstLineChars="200"/>
        <w:jc w:val="left"/>
        <w:rPr>
          <w:rFonts w:ascii="宋体" w:hAnsi="宋体" w:cs="宋体"/>
          <w:kern w:val="0"/>
          <w:sz w:val="24"/>
        </w:rPr>
      </w:pPr>
      <w:r>
        <w:rPr>
          <w:rFonts w:ascii="宋体" w:hAnsi="宋体" w:cs="宋体"/>
          <w:kern w:val="0"/>
          <w:sz w:val="24"/>
        </w:rPr>
        <w:t xml:space="preserve">1.2 </w:t>
      </w:r>
      <w:r>
        <w:rPr>
          <w:rFonts w:hint="eastAsia" w:ascii="宋体" w:hAnsi="宋体" w:cs="宋体"/>
          <w:kern w:val="0"/>
          <w:sz w:val="24"/>
        </w:rPr>
        <w:t>谈判文件</w:t>
      </w:r>
      <w:r>
        <w:rPr>
          <w:rFonts w:ascii="宋体" w:hAnsi="宋体" w:cs="宋体"/>
          <w:kern w:val="0"/>
          <w:sz w:val="24"/>
        </w:rPr>
        <w:t>的包装、标记要求</w:t>
      </w:r>
    </w:p>
    <w:p w14:paraId="3416300B">
      <w:pPr>
        <w:widowControl/>
        <w:spacing w:line="360" w:lineRule="auto"/>
        <w:ind w:firstLine="480" w:firstLineChars="200"/>
        <w:jc w:val="left"/>
        <w:rPr>
          <w:rFonts w:ascii="宋体" w:hAnsi="宋体" w:cs="宋体"/>
          <w:kern w:val="0"/>
          <w:sz w:val="24"/>
        </w:rPr>
      </w:pPr>
      <w:r>
        <w:rPr>
          <w:rFonts w:ascii="宋体" w:hAnsi="宋体" w:cs="宋体"/>
          <w:kern w:val="0"/>
          <w:sz w:val="24"/>
        </w:rPr>
        <w:t xml:space="preserve">1.2.1 </w:t>
      </w:r>
      <w:r>
        <w:rPr>
          <w:rFonts w:hint="eastAsia" w:ascii="宋体" w:hAnsi="宋体" w:cs="宋体"/>
          <w:kern w:val="0"/>
          <w:sz w:val="24"/>
        </w:rPr>
        <w:t>谈判文件</w:t>
      </w:r>
      <w:r>
        <w:rPr>
          <w:rFonts w:ascii="宋体" w:hAnsi="宋体" w:cs="宋体"/>
          <w:kern w:val="0"/>
          <w:sz w:val="24"/>
        </w:rPr>
        <w:t>、</w:t>
      </w:r>
      <w:r>
        <w:rPr>
          <w:rFonts w:hint="eastAsia" w:ascii="宋体" w:hAnsi="宋体" w:cs="宋体"/>
          <w:kern w:val="0"/>
          <w:sz w:val="24"/>
        </w:rPr>
        <w:t>保证金转账</w:t>
      </w:r>
      <w:r>
        <w:rPr>
          <w:rFonts w:ascii="宋体" w:hAnsi="宋体" w:cs="宋体"/>
          <w:kern w:val="0"/>
          <w:sz w:val="24"/>
        </w:rPr>
        <w:t>证明</w:t>
      </w:r>
      <w:r>
        <w:rPr>
          <w:rFonts w:hint="eastAsia" w:ascii="宋体" w:hAnsi="宋体" w:cs="宋体"/>
          <w:kern w:val="0"/>
          <w:sz w:val="24"/>
        </w:rPr>
        <w:t>（如有）</w:t>
      </w:r>
      <w:r>
        <w:rPr>
          <w:rFonts w:ascii="宋体" w:hAnsi="宋体" w:cs="宋体"/>
          <w:kern w:val="0"/>
          <w:sz w:val="24"/>
        </w:rPr>
        <w:t>文件应单独封装</w:t>
      </w:r>
      <w:r>
        <w:rPr>
          <w:rFonts w:hint="eastAsia" w:ascii="宋体" w:hAnsi="宋体" w:cs="宋体"/>
          <w:kern w:val="0"/>
          <w:sz w:val="24"/>
        </w:rPr>
        <w:t>，一并</w:t>
      </w:r>
      <w:r>
        <w:rPr>
          <w:rFonts w:ascii="宋体" w:hAnsi="宋体" w:cs="宋体"/>
          <w:kern w:val="0"/>
          <w:sz w:val="24"/>
        </w:rPr>
        <w:t>提交</w:t>
      </w:r>
      <w:r>
        <w:rPr>
          <w:rFonts w:hint="eastAsia" w:ascii="宋体" w:hAnsi="宋体" w:cs="宋体"/>
          <w:kern w:val="0"/>
          <w:sz w:val="24"/>
        </w:rPr>
        <w:t>。</w:t>
      </w:r>
    </w:p>
    <w:p w14:paraId="25E77747">
      <w:pPr>
        <w:widowControl/>
        <w:spacing w:line="360" w:lineRule="auto"/>
        <w:ind w:firstLine="480" w:firstLineChars="200"/>
        <w:jc w:val="left"/>
        <w:rPr>
          <w:rFonts w:ascii="宋体" w:hAnsi="宋体" w:cs="宋体"/>
          <w:kern w:val="0"/>
          <w:sz w:val="24"/>
        </w:rPr>
      </w:pPr>
      <w:r>
        <w:rPr>
          <w:rFonts w:ascii="宋体" w:hAnsi="宋体" w:cs="宋体"/>
          <w:kern w:val="0"/>
          <w:sz w:val="24"/>
        </w:rPr>
        <w:t>1</w:t>
      </w:r>
      <w:r>
        <w:rPr>
          <w:rFonts w:hint="eastAsia" w:ascii="宋体" w:hAnsi="宋体" w:cs="宋体"/>
          <w:kern w:val="0"/>
          <w:sz w:val="24"/>
        </w:rPr>
        <w:t>.2.2 供应商</w:t>
      </w:r>
      <w:r>
        <w:rPr>
          <w:rFonts w:ascii="宋体" w:hAnsi="宋体" w:cs="宋体"/>
          <w:kern w:val="0"/>
          <w:sz w:val="24"/>
        </w:rPr>
        <w:t>应将</w:t>
      </w:r>
      <w:r>
        <w:rPr>
          <w:rFonts w:hint="eastAsia" w:ascii="宋体" w:hAnsi="宋体" w:cs="宋体"/>
          <w:kern w:val="0"/>
          <w:sz w:val="24"/>
        </w:rPr>
        <w:t>谈判文件</w:t>
      </w:r>
      <w:r>
        <w:rPr>
          <w:rFonts w:ascii="宋体" w:hAnsi="宋体" w:cs="宋体"/>
          <w:kern w:val="0"/>
          <w:sz w:val="24"/>
        </w:rPr>
        <w:t>封装，并标明</w:t>
      </w:r>
      <w:r>
        <w:rPr>
          <w:rFonts w:hint="eastAsia" w:ascii="宋体" w:hAnsi="宋体" w:cs="宋体"/>
          <w:kern w:val="0"/>
          <w:sz w:val="24"/>
        </w:rPr>
        <w:t>采购</w:t>
      </w:r>
      <w:r>
        <w:rPr>
          <w:rFonts w:ascii="宋体" w:hAnsi="宋体" w:cs="宋体"/>
          <w:kern w:val="0"/>
          <w:sz w:val="24"/>
        </w:rPr>
        <w:t>项目名称、供应商名称、地址、邮政编码。文件统一封装在</w:t>
      </w:r>
      <w:r>
        <w:rPr>
          <w:rFonts w:hint="eastAsia" w:ascii="宋体" w:hAnsi="宋体" w:cs="宋体"/>
          <w:kern w:val="0"/>
          <w:sz w:val="24"/>
        </w:rPr>
        <w:t>一件</w:t>
      </w:r>
      <w:r>
        <w:rPr>
          <w:rFonts w:ascii="宋体" w:hAnsi="宋体" w:cs="宋体"/>
          <w:kern w:val="0"/>
          <w:sz w:val="24"/>
        </w:rPr>
        <w:t>包装内。</w:t>
      </w:r>
    </w:p>
    <w:p w14:paraId="714626E8">
      <w:pPr>
        <w:spacing w:line="360" w:lineRule="auto"/>
        <w:ind w:firstLine="480" w:firstLineChars="200"/>
        <w:rPr>
          <w:rFonts w:ascii="宋体" w:hAnsi="宋体" w:cs="宋体"/>
          <w:kern w:val="0"/>
          <w:sz w:val="24"/>
        </w:rPr>
      </w:pPr>
      <w:r>
        <w:rPr>
          <w:rFonts w:ascii="宋体" w:hAnsi="宋体" w:cs="宋体"/>
          <w:kern w:val="0"/>
          <w:sz w:val="24"/>
        </w:rPr>
        <w:t>1.2.3 每一密封</w:t>
      </w:r>
      <w:r>
        <w:rPr>
          <w:rFonts w:hint="eastAsia" w:ascii="宋体" w:hAnsi="宋体" w:cs="宋体"/>
          <w:kern w:val="0"/>
          <w:sz w:val="24"/>
        </w:rPr>
        <w:t>袋的封口处均应加盖密封章或供应商公章，</w:t>
      </w:r>
      <w:r>
        <w:rPr>
          <w:rFonts w:ascii="宋体" w:hAnsi="宋体" w:cs="宋体"/>
          <w:kern w:val="0"/>
          <w:sz w:val="24"/>
        </w:rPr>
        <w:t>并在封面上标明</w:t>
      </w:r>
      <w:r>
        <w:rPr>
          <w:rFonts w:hint="eastAsia" w:ascii="宋体" w:hAnsi="宋体" w:cs="宋体"/>
          <w:kern w:val="0"/>
          <w:sz w:val="24"/>
        </w:rPr>
        <w:t>采购项目名称、供应商名称及“在xxxx年xx月xx日</w:t>
      </w:r>
      <w:r>
        <w:rPr>
          <w:rFonts w:ascii="宋体" w:hAnsi="宋体" w:cs="宋体"/>
          <w:kern w:val="0"/>
          <w:sz w:val="24"/>
        </w:rPr>
        <w:t>（</w:t>
      </w:r>
      <w:r>
        <w:rPr>
          <w:rFonts w:hint="eastAsia" w:ascii="宋体" w:hAnsi="宋体" w:cs="宋体"/>
          <w:kern w:val="0"/>
          <w:sz w:val="24"/>
        </w:rPr>
        <w:t>评审时间</w:t>
      </w:r>
      <w:r>
        <w:rPr>
          <w:rFonts w:ascii="宋体" w:hAnsi="宋体" w:cs="宋体"/>
          <w:kern w:val="0"/>
          <w:sz w:val="24"/>
        </w:rPr>
        <w:t>）之前不准启封</w:t>
      </w:r>
      <w:r>
        <w:rPr>
          <w:rFonts w:hint="eastAsia" w:ascii="宋体" w:hAnsi="宋体" w:cs="宋体"/>
          <w:kern w:val="0"/>
          <w:sz w:val="24"/>
        </w:rPr>
        <w:t>”的</w:t>
      </w:r>
      <w:r>
        <w:rPr>
          <w:rFonts w:ascii="宋体" w:hAnsi="宋体" w:cs="宋体"/>
          <w:kern w:val="0"/>
          <w:sz w:val="24"/>
        </w:rPr>
        <w:t>字样。</w:t>
      </w:r>
    </w:p>
    <w:p w14:paraId="60E6DB22">
      <w:pPr>
        <w:widowControl/>
        <w:spacing w:line="360" w:lineRule="auto"/>
        <w:ind w:firstLine="480" w:firstLineChars="200"/>
        <w:jc w:val="left"/>
        <w:rPr>
          <w:rFonts w:ascii="宋体" w:hAnsi="宋体" w:cs="宋体"/>
          <w:kern w:val="0"/>
          <w:sz w:val="24"/>
        </w:rPr>
      </w:pPr>
      <w:r>
        <w:rPr>
          <w:rFonts w:ascii="宋体" w:hAnsi="宋体" w:cs="宋体"/>
          <w:kern w:val="0"/>
          <w:sz w:val="24"/>
        </w:rPr>
        <w:t xml:space="preserve">1.3 </w:t>
      </w:r>
      <w:r>
        <w:rPr>
          <w:rFonts w:hint="eastAsia" w:ascii="宋体" w:hAnsi="宋体" w:cs="宋体"/>
          <w:kern w:val="0"/>
          <w:sz w:val="24"/>
        </w:rPr>
        <w:t>谈判文件</w:t>
      </w:r>
      <w:r>
        <w:rPr>
          <w:rFonts w:ascii="宋体" w:hAnsi="宋体" w:cs="宋体"/>
          <w:kern w:val="0"/>
          <w:sz w:val="24"/>
        </w:rPr>
        <w:t>的提交：供应商应</w:t>
      </w:r>
      <w:r>
        <w:rPr>
          <w:rFonts w:hint="eastAsia" w:ascii="宋体" w:hAnsi="宋体" w:cs="宋体"/>
          <w:kern w:val="0"/>
          <w:sz w:val="24"/>
        </w:rPr>
        <w:t>于谈判文件递交</w:t>
      </w:r>
      <w:r>
        <w:rPr>
          <w:rFonts w:ascii="宋体" w:hAnsi="宋体" w:cs="宋体"/>
          <w:kern w:val="0"/>
          <w:sz w:val="24"/>
        </w:rPr>
        <w:t>截止时间前由专人将</w:t>
      </w:r>
      <w:r>
        <w:rPr>
          <w:rFonts w:hint="eastAsia" w:ascii="宋体" w:hAnsi="宋体" w:cs="宋体"/>
          <w:kern w:val="0"/>
          <w:sz w:val="24"/>
        </w:rPr>
        <w:t>谈判文件</w:t>
      </w:r>
      <w:r>
        <w:rPr>
          <w:rFonts w:ascii="宋体" w:hAnsi="宋体" w:cs="宋体"/>
          <w:kern w:val="0"/>
          <w:sz w:val="24"/>
        </w:rPr>
        <w:t>送至</w:t>
      </w:r>
      <w:r>
        <w:rPr>
          <w:rFonts w:hint="eastAsia" w:ascii="宋体" w:hAnsi="宋体" w:cs="宋体"/>
          <w:kern w:val="0"/>
          <w:sz w:val="24"/>
        </w:rPr>
        <w:t>指定地点</w:t>
      </w:r>
      <w:r>
        <w:rPr>
          <w:rFonts w:ascii="宋体" w:hAnsi="宋体" w:cs="宋体"/>
          <w:kern w:val="0"/>
          <w:sz w:val="24"/>
        </w:rPr>
        <w:t>。</w:t>
      </w:r>
    </w:p>
    <w:p w14:paraId="42B96926">
      <w:pPr>
        <w:spacing w:line="360" w:lineRule="auto"/>
        <w:ind w:firstLine="482" w:firstLineChars="200"/>
        <w:rPr>
          <w:rFonts w:ascii="宋体" w:hAnsi="宋体"/>
          <w:b/>
          <w:kern w:val="0"/>
          <w:sz w:val="24"/>
        </w:rPr>
      </w:pPr>
      <w:r>
        <w:rPr>
          <w:rFonts w:ascii="宋体" w:hAnsi="宋体"/>
          <w:b/>
          <w:kern w:val="0"/>
          <w:sz w:val="24"/>
        </w:rPr>
        <w:t>2</w:t>
      </w:r>
      <w:r>
        <w:rPr>
          <w:rFonts w:hint="eastAsia" w:ascii="宋体" w:hAnsi="宋体"/>
          <w:b/>
          <w:kern w:val="0"/>
          <w:sz w:val="24"/>
        </w:rPr>
        <w:t>.递交</w:t>
      </w:r>
      <w:r>
        <w:rPr>
          <w:rFonts w:ascii="宋体" w:hAnsi="宋体"/>
          <w:b/>
          <w:kern w:val="0"/>
          <w:sz w:val="24"/>
        </w:rPr>
        <w:t>截止时间</w:t>
      </w:r>
    </w:p>
    <w:p w14:paraId="4209DCD3">
      <w:pPr>
        <w:spacing w:line="360" w:lineRule="auto"/>
        <w:ind w:firstLine="480" w:firstLineChars="200"/>
        <w:rPr>
          <w:rFonts w:ascii="宋体" w:hAnsi="宋体"/>
          <w:kern w:val="0"/>
          <w:sz w:val="24"/>
        </w:rPr>
      </w:pPr>
      <w:r>
        <w:rPr>
          <w:rFonts w:ascii="宋体" w:hAnsi="宋体"/>
          <w:kern w:val="0"/>
          <w:sz w:val="24"/>
        </w:rPr>
        <w:t xml:space="preserve">2.1 </w:t>
      </w:r>
      <w:r>
        <w:rPr>
          <w:rFonts w:hint="eastAsia" w:ascii="宋体" w:hAnsi="宋体"/>
          <w:kern w:val="0"/>
          <w:sz w:val="24"/>
        </w:rPr>
        <w:t>谈判文件递交截止时间</w:t>
      </w:r>
      <w:r>
        <w:rPr>
          <w:rFonts w:ascii="宋体" w:hAnsi="宋体"/>
          <w:kern w:val="0"/>
          <w:sz w:val="24"/>
        </w:rPr>
        <w:t>见</w:t>
      </w:r>
      <w:r>
        <w:rPr>
          <w:rFonts w:hint="eastAsia" w:ascii="宋体" w:hAnsi="宋体"/>
          <w:kern w:val="0"/>
          <w:sz w:val="24"/>
        </w:rPr>
        <w:t>本次谈判采购公告的规定。</w:t>
      </w:r>
    </w:p>
    <w:p w14:paraId="7C7AEBE6">
      <w:pPr>
        <w:spacing w:line="360" w:lineRule="auto"/>
        <w:ind w:firstLine="482" w:firstLineChars="200"/>
        <w:rPr>
          <w:rFonts w:ascii="宋体" w:hAnsi="宋体"/>
          <w:b/>
          <w:kern w:val="0"/>
          <w:sz w:val="24"/>
        </w:rPr>
      </w:pPr>
      <w:r>
        <w:rPr>
          <w:rFonts w:ascii="宋体" w:hAnsi="宋体"/>
          <w:b/>
          <w:kern w:val="0"/>
          <w:sz w:val="24"/>
        </w:rPr>
        <w:t xml:space="preserve">3. </w:t>
      </w:r>
      <w:r>
        <w:rPr>
          <w:rFonts w:hint="eastAsia" w:ascii="宋体" w:hAnsi="宋体"/>
          <w:b/>
          <w:kern w:val="0"/>
          <w:sz w:val="24"/>
        </w:rPr>
        <w:t>迟交</w:t>
      </w:r>
      <w:r>
        <w:rPr>
          <w:rFonts w:ascii="宋体" w:hAnsi="宋体"/>
          <w:b/>
          <w:kern w:val="0"/>
          <w:sz w:val="24"/>
        </w:rPr>
        <w:t>的</w:t>
      </w:r>
      <w:r>
        <w:rPr>
          <w:rFonts w:hint="eastAsia" w:ascii="宋体" w:hAnsi="宋体"/>
          <w:b/>
          <w:kern w:val="0"/>
          <w:sz w:val="24"/>
        </w:rPr>
        <w:t>谈判文件</w:t>
      </w:r>
    </w:p>
    <w:p w14:paraId="02CDC5A6">
      <w:pPr>
        <w:spacing w:line="360" w:lineRule="auto"/>
        <w:ind w:firstLine="480" w:firstLineChars="200"/>
        <w:rPr>
          <w:rFonts w:ascii="宋体" w:hAnsi="宋体"/>
          <w:kern w:val="0"/>
          <w:sz w:val="24"/>
        </w:rPr>
      </w:pPr>
      <w:r>
        <w:rPr>
          <w:rFonts w:ascii="宋体" w:hAnsi="宋体"/>
          <w:kern w:val="0"/>
          <w:sz w:val="24"/>
        </w:rPr>
        <w:t>3</w:t>
      </w:r>
      <w:r>
        <w:rPr>
          <w:rFonts w:hint="eastAsia" w:ascii="宋体" w:hAnsi="宋体"/>
          <w:kern w:val="0"/>
          <w:sz w:val="24"/>
        </w:rPr>
        <w:t>.1 采购人</w:t>
      </w:r>
      <w:r>
        <w:rPr>
          <w:rFonts w:ascii="宋体" w:hAnsi="宋体"/>
          <w:kern w:val="0"/>
          <w:sz w:val="24"/>
        </w:rPr>
        <w:t>将拒绝</w:t>
      </w:r>
      <w:r>
        <w:rPr>
          <w:rFonts w:hint="eastAsia" w:ascii="宋体" w:hAnsi="宋体"/>
          <w:kern w:val="0"/>
          <w:sz w:val="24"/>
        </w:rPr>
        <w:t>接收</w:t>
      </w:r>
      <w:r>
        <w:rPr>
          <w:rFonts w:ascii="宋体" w:hAnsi="宋体"/>
          <w:kern w:val="0"/>
          <w:sz w:val="24"/>
        </w:rPr>
        <w:t>并原封退回在</w:t>
      </w:r>
      <w:r>
        <w:rPr>
          <w:rFonts w:hint="eastAsia" w:ascii="宋体" w:hAnsi="宋体"/>
          <w:kern w:val="0"/>
          <w:sz w:val="24"/>
        </w:rPr>
        <w:t>递交</w:t>
      </w:r>
      <w:r>
        <w:rPr>
          <w:rFonts w:ascii="宋体" w:hAnsi="宋体"/>
          <w:kern w:val="0"/>
          <w:sz w:val="24"/>
        </w:rPr>
        <w:t>截止时间</w:t>
      </w:r>
      <w:r>
        <w:rPr>
          <w:rFonts w:hint="eastAsia" w:ascii="宋体" w:hAnsi="宋体"/>
          <w:kern w:val="0"/>
          <w:sz w:val="24"/>
        </w:rPr>
        <w:t>后</w:t>
      </w:r>
      <w:r>
        <w:rPr>
          <w:rFonts w:ascii="宋体" w:hAnsi="宋体"/>
          <w:kern w:val="0"/>
          <w:sz w:val="24"/>
        </w:rPr>
        <w:t>收到的任何</w:t>
      </w:r>
      <w:r>
        <w:rPr>
          <w:rFonts w:hint="eastAsia" w:ascii="宋体" w:hAnsi="宋体"/>
          <w:kern w:val="0"/>
          <w:sz w:val="24"/>
        </w:rPr>
        <w:t>谈判文件</w:t>
      </w:r>
      <w:r>
        <w:rPr>
          <w:rFonts w:ascii="宋体" w:hAnsi="宋体"/>
          <w:kern w:val="0"/>
          <w:sz w:val="24"/>
        </w:rPr>
        <w:t>。</w:t>
      </w:r>
    </w:p>
    <w:p w14:paraId="2E471443">
      <w:pPr>
        <w:spacing w:line="360" w:lineRule="auto"/>
        <w:ind w:firstLine="482" w:firstLineChars="200"/>
        <w:rPr>
          <w:rFonts w:ascii="宋体" w:hAnsi="宋体"/>
          <w:b/>
          <w:kern w:val="0"/>
          <w:sz w:val="24"/>
        </w:rPr>
      </w:pPr>
      <w:r>
        <w:rPr>
          <w:rFonts w:ascii="宋体" w:hAnsi="宋体"/>
          <w:b/>
          <w:kern w:val="0"/>
          <w:sz w:val="24"/>
        </w:rPr>
        <w:t>4.</w:t>
      </w:r>
      <w:r>
        <w:rPr>
          <w:rFonts w:hint="eastAsia" w:ascii="宋体" w:hAnsi="宋体"/>
          <w:b/>
          <w:kern w:val="0"/>
          <w:sz w:val="24"/>
        </w:rPr>
        <w:t>谈判文件</w:t>
      </w:r>
      <w:r>
        <w:rPr>
          <w:rFonts w:ascii="宋体" w:hAnsi="宋体"/>
          <w:b/>
          <w:kern w:val="0"/>
          <w:sz w:val="24"/>
        </w:rPr>
        <w:t>的修改和撤回</w:t>
      </w:r>
    </w:p>
    <w:p w14:paraId="479FC166">
      <w:pPr>
        <w:spacing w:line="360" w:lineRule="auto"/>
        <w:ind w:firstLine="480" w:firstLineChars="200"/>
        <w:rPr>
          <w:rFonts w:ascii="宋体" w:hAnsi="宋体"/>
          <w:kern w:val="0"/>
          <w:sz w:val="24"/>
        </w:rPr>
      </w:pPr>
      <w:r>
        <w:rPr>
          <w:rFonts w:ascii="宋体" w:hAnsi="宋体"/>
          <w:kern w:val="0"/>
          <w:sz w:val="24"/>
        </w:rPr>
        <w:t>4</w:t>
      </w:r>
      <w:r>
        <w:rPr>
          <w:rFonts w:hint="eastAsia" w:ascii="宋体" w:hAnsi="宋体"/>
          <w:kern w:val="0"/>
          <w:sz w:val="24"/>
        </w:rPr>
        <w:t>.1 供应商</w:t>
      </w:r>
      <w:r>
        <w:rPr>
          <w:rFonts w:ascii="宋体" w:hAnsi="宋体"/>
          <w:kern w:val="0"/>
          <w:sz w:val="24"/>
        </w:rPr>
        <w:t>在提交</w:t>
      </w:r>
      <w:r>
        <w:rPr>
          <w:rFonts w:hint="eastAsia" w:ascii="宋体" w:hAnsi="宋体"/>
          <w:kern w:val="0"/>
          <w:sz w:val="24"/>
        </w:rPr>
        <w:t>谈判文件</w:t>
      </w:r>
      <w:r>
        <w:rPr>
          <w:rFonts w:ascii="宋体" w:hAnsi="宋体"/>
          <w:kern w:val="0"/>
          <w:sz w:val="24"/>
        </w:rPr>
        <w:t>后可对其</w:t>
      </w:r>
      <w:r>
        <w:rPr>
          <w:rFonts w:hint="eastAsia" w:ascii="宋体" w:hAnsi="宋体"/>
          <w:kern w:val="0"/>
          <w:sz w:val="24"/>
        </w:rPr>
        <w:t>谈判文件</w:t>
      </w:r>
      <w:r>
        <w:rPr>
          <w:rFonts w:ascii="宋体" w:hAnsi="宋体"/>
          <w:kern w:val="0"/>
          <w:sz w:val="24"/>
        </w:rPr>
        <w:t>进行修改或撤回</w:t>
      </w:r>
      <w:r>
        <w:rPr>
          <w:rFonts w:hint="eastAsia" w:ascii="宋体" w:hAnsi="宋体"/>
          <w:kern w:val="0"/>
          <w:sz w:val="24"/>
        </w:rPr>
        <w:t>，</w:t>
      </w:r>
      <w:r>
        <w:rPr>
          <w:rFonts w:ascii="宋体" w:hAnsi="宋体"/>
          <w:kern w:val="0"/>
          <w:sz w:val="24"/>
        </w:rPr>
        <w:t>但该修改或撤回的书面通知需经</w:t>
      </w:r>
      <w:r>
        <w:rPr>
          <w:rFonts w:hint="eastAsia" w:ascii="宋体" w:hAnsi="宋体"/>
          <w:kern w:val="0"/>
          <w:sz w:val="24"/>
        </w:rPr>
        <w:t>谈判文件</w:t>
      </w:r>
      <w:r>
        <w:rPr>
          <w:rFonts w:ascii="宋体" w:hAnsi="宋体"/>
          <w:kern w:val="0"/>
          <w:sz w:val="24"/>
        </w:rPr>
        <w:t>签署人签字，并在</w:t>
      </w:r>
      <w:r>
        <w:rPr>
          <w:rFonts w:hint="eastAsia" w:ascii="宋体" w:hAnsi="宋体"/>
          <w:kern w:val="0"/>
          <w:sz w:val="24"/>
        </w:rPr>
        <w:t>递交</w:t>
      </w:r>
      <w:r>
        <w:rPr>
          <w:rFonts w:ascii="宋体" w:hAnsi="宋体"/>
          <w:kern w:val="0"/>
          <w:sz w:val="24"/>
        </w:rPr>
        <w:t>截止</w:t>
      </w:r>
      <w:r>
        <w:rPr>
          <w:rFonts w:hint="eastAsia" w:ascii="宋体" w:hAnsi="宋体"/>
          <w:kern w:val="0"/>
          <w:sz w:val="24"/>
        </w:rPr>
        <w:t>时间</w:t>
      </w:r>
      <w:r>
        <w:rPr>
          <w:rFonts w:ascii="宋体" w:hAnsi="宋体"/>
          <w:kern w:val="0"/>
          <w:sz w:val="24"/>
        </w:rPr>
        <w:t>之前送达采购人。</w:t>
      </w:r>
    </w:p>
    <w:p w14:paraId="2D3968A3">
      <w:pPr>
        <w:spacing w:line="360" w:lineRule="auto"/>
        <w:ind w:firstLine="480" w:firstLineChars="200"/>
        <w:rPr>
          <w:rFonts w:ascii="宋体" w:hAnsi="宋体"/>
          <w:kern w:val="0"/>
          <w:sz w:val="24"/>
        </w:rPr>
      </w:pPr>
      <w:r>
        <w:rPr>
          <w:rFonts w:ascii="宋体" w:hAnsi="宋体"/>
          <w:kern w:val="0"/>
          <w:sz w:val="24"/>
        </w:rPr>
        <w:t xml:space="preserve">4.2 </w:t>
      </w:r>
      <w:r>
        <w:rPr>
          <w:rFonts w:hint="eastAsia" w:ascii="宋体" w:hAnsi="宋体"/>
          <w:kern w:val="0"/>
          <w:sz w:val="24"/>
        </w:rPr>
        <w:t>供应商</w:t>
      </w:r>
      <w:r>
        <w:rPr>
          <w:rFonts w:ascii="宋体" w:hAnsi="宋体"/>
          <w:kern w:val="0"/>
          <w:sz w:val="24"/>
        </w:rPr>
        <w:t>对</w:t>
      </w:r>
      <w:r>
        <w:rPr>
          <w:rFonts w:hint="eastAsia" w:ascii="宋体" w:hAnsi="宋体"/>
          <w:kern w:val="0"/>
          <w:sz w:val="24"/>
        </w:rPr>
        <w:t>谈判文件</w:t>
      </w:r>
      <w:r>
        <w:rPr>
          <w:rFonts w:ascii="宋体" w:hAnsi="宋体"/>
          <w:kern w:val="0"/>
          <w:sz w:val="24"/>
        </w:rPr>
        <w:t>修改的书面材料或撤回的</w:t>
      </w:r>
      <w:r>
        <w:rPr>
          <w:rFonts w:hint="eastAsia" w:ascii="宋体" w:hAnsi="宋体"/>
          <w:kern w:val="0"/>
          <w:sz w:val="24"/>
        </w:rPr>
        <w:t>通知</w:t>
      </w:r>
      <w:r>
        <w:rPr>
          <w:rFonts w:ascii="宋体" w:hAnsi="宋体"/>
          <w:kern w:val="0"/>
          <w:sz w:val="24"/>
        </w:rPr>
        <w:t>应按</w:t>
      </w:r>
      <w:r>
        <w:rPr>
          <w:rFonts w:hint="eastAsia" w:ascii="宋体" w:hAnsi="宋体"/>
          <w:kern w:val="0"/>
          <w:sz w:val="24"/>
        </w:rPr>
        <w:t>规定</w:t>
      </w:r>
      <w:r>
        <w:rPr>
          <w:rFonts w:ascii="宋体" w:hAnsi="宋体"/>
          <w:kern w:val="0"/>
          <w:sz w:val="24"/>
        </w:rPr>
        <w:t>进行编写、密封、标注和递送，并注明“</w:t>
      </w:r>
      <w:r>
        <w:rPr>
          <w:rFonts w:hint="eastAsia" w:ascii="宋体" w:hAnsi="宋体"/>
          <w:kern w:val="0"/>
          <w:sz w:val="24"/>
        </w:rPr>
        <w:t>修改谈判文件</w:t>
      </w:r>
      <w:r>
        <w:rPr>
          <w:rFonts w:ascii="宋体" w:hAnsi="宋体"/>
          <w:kern w:val="0"/>
          <w:sz w:val="24"/>
        </w:rPr>
        <w:t>”</w:t>
      </w:r>
      <w:r>
        <w:rPr>
          <w:rFonts w:hint="eastAsia" w:ascii="宋体" w:hAnsi="宋体"/>
          <w:kern w:val="0"/>
          <w:sz w:val="24"/>
        </w:rPr>
        <w:t>或</w:t>
      </w:r>
      <w:r>
        <w:rPr>
          <w:rFonts w:ascii="宋体" w:hAnsi="宋体"/>
          <w:kern w:val="0"/>
          <w:sz w:val="24"/>
        </w:rPr>
        <w:t>“</w:t>
      </w:r>
      <w:r>
        <w:rPr>
          <w:rFonts w:hint="eastAsia" w:ascii="宋体" w:hAnsi="宋体"/>
          <w:kern w:val="0"/>
          <w:sz w:val="24"/>
        </w:rPr>
        <w:t>撤回谈判采购</w:t>
      </w:r>
      <w:r>
        <w:rPr>
          <w:rFonts w:ascii="宋体" w:hAnsi="宋体"/>
          <w:kern w:val="0"/>
          <w:sz w:val="24"/>
        </w:rPr>
        <w:t>”</w:t>
      </w:r>
      <w:r>
        <w:rPr>
          <w:rFonts w:hint="eastAsia" w:ascii="宋体" w:hAnsi="宋体"/>
          <w:kern w:val="0"/>
          <w:sz w:val="24"/>
        </w:rPr>
        <w:t>字样</w:t>
      </w:r>
      <w:r>
        <w:rPr>
          <w:rFonts w:ascii="宋体" w:hAnsi="宋体"/>
          <w:kern w:val="0"/>
          <w:sz w:val="24"/>
        </w:rPr>
        <w:t>。</w:t>
      </w:r>
    </w:p>
    <w:p w14:paraId="07A3EEF0">
      <w:pPr>
        <w:spacing w:line="360" w:lineRule="auto"/>
        <w:ind w:firstLine="480" w:firstLineChars="200"/>
        <w:rPr>
          <w:rFonts w:ascii="宋体" w:hAnsi="宋体"/>
          <w:kern w:val="0"/>
          <w:sz w:val="24"/>
        </w:rPr>
      </w:pPr>
      <w:r>
        <w:rPr>
          <w:rFonts w:ascii="宋体" w:hAnsi="宋体"/>
          <w:kern w:val="0"/>
          <w:sz w:val="24"/>
        </w:rPr>
        <w:t>4.3</w:t>
      </w:r>
      <w:r>
        <w:rPr>
          <w:rFonts w:hint="eastAsia" w:ascii="宋体" w:hAnsi="宋体"/>
          <w:kern w:val="0"/>
          <w:sz w:val="24"/>
        </w:rPr>
        <w:t xml:space="preserve"> 在谈判文件递交截止时间</w:t>
      </w:r>
      <w:r>
        <w:rPr>
          <w:rFonts w:ascii="宋体" w:hAnsi="宋体"/>
          <w:kern w:val="0"/>
          <w:sz w:val="24"/>
        </w:rPr>
        <w:t>之后，供应商不得对其</w:t>
      </w:r>
      <w:r>
        <w:rPr>
          <w:rFonts w:hint="eastAsia" w:ascii="宋体" w:hAnsi="宋体"/>
          <w:kern w:val="0"/>
          <w:sz w:val="24"/>
        </w:rPr>
        <w:t>谈判文件</w:t>
      </w:r>
      <w:r>
        <w:rPr>
          <w:rFonts w:ascii="宋体" w:hAnsi="宋体"/>
          <w:kern w:val="0"/>
          <w:sz w:val="24"/>
        </w:rPr>
        <w:t>做任何修改</w:t>
      </w:r>
      <w:r>
        <w:rPr>
          <w:rFonts w:hint="eastAsia" w:ascii="宋体" w:hAnsi="宋体"/>
          <w:kern w:val="0"/>
          <w:sz w:val="24"/>
        </w:rPr>
        <w:t>或</w:t>
      </w:r>
      <w:r>
        <w:rPr>
          <w:rFonts w:ascii="宋体" w:hAnsi="宋体"/>
          <w:kern w:val="0"/>
          <w:sz w:val="24"/>
        </w:rPr>
        <w:t>撤回。</w:t>
      </w:r>
    </w:p>
    <w:p w14:paraId="6AF98BC7">
      <w:pPr>
        <w:spacing w:line="360" w:lineRule="auto"/>
        <w:ind w:firstLine="482" w:firstLineChars="200"/>
        <w:rPr>
          <w:rFonts w:ascii="宋体" w:hAnsi="宋体"/>
          <w:b/>
          <w:kern w:val="0"/>
          <w:sz w:val="24"/>
        </w:rPr>
      </w:pPr>
      <w:r>
        <w:rPr>
          <w:rFonts w:hint="eastAsia" w:ascii="宋体" w:hAnsi="宋体"/>
          <w:b/>
          <w:kern w:val="0"/>
          <w:sz w:val="24"/>
        </w:rPr>
        <w:t>五</w:t>
      </w:r>
      <w:r>
        <w:rPr>
          <w:rFonts w:ascii="宋体" w:hAnsi="宋体"/>
          <w:b/>
          <w:kern w:val="0"/>
          <w:sz w:val="24"/>
        </w:rPr>
        <w:t>、</w:t>
      </w:r>
      <w:r>
        <w:rPr>
          <w:rFonts w:hint="eastAsia" w:ascii="宋体" w:hAnsi="宋体"/>
          <w:b/>
          <w:kern w:val="0"/>
          <w:sz w:val="24"/>
        </w:rPr>
        <w:t>评审</w:t>
      </w:r>
    </w:p>
    <w:p w14:paraId="764BECFA">
      <w:pPr>
        <w:spacing w:line="360" w:lineRule="auto"/>
        <w:ind w:firstLine="482" w:firstLineChars="200"/>
        <w:rPr>
          <w:rFonts w:ascii="宋体" w:hAnsi="宋体"/>
          <w:b/>
          <w:kern w:val="0"/>
          <w:sz w:val="24"/>
        </w:rPr>
      </w:pPr>
      <w:r>
        <w:rPr>
          <w:rFonts w:ascii="宋体" w:hAnsi="宋体"/>
          <w:b/>
          <w:kern w:val="0"/>
          <w:sz w:val="24"/>
        </w:rPr>
        <w:t>1</w:t>
      </w:r>
      <w:r>
        <w:rPr>
          <w:rFonts w:hint="eastAsia" w:ascii="宋体" w:hAnsi="宋体"/>
          <w:b/>
          <w:kern w:val="0"/>
          <w:sz w:val="24"/>
        </w:rPr>
        <w:t>.否决</w:t>
      </w:r>
    </w:p>
    <w:p w14:paraId="0AADBF47">
      <w:pPr>
        <w:spacing w:line="360" w:lineRule="auto"/>
        <w:ind w:firstLine="480" w:firstLineChars="200"/>
        <w:rPr>
          <w:rFonts w:ascii="宋体" w:hAnsi="宋体"/>
          <w:kern w:val="0"/>
          <w:sz w:val="24"/>
        </w:rPr>
      </w:pPr>
      <w:r>
        <w:rPr>
          <w:rFonts w:ascii="宋体" w:hAnsi="宋体"/>
          <w:kern w:val="0"/>
          <w:sz w:val="24"/>
        </w:rPr>
        <w:t>1</w:t>
      </w:r>
      <w:r>
        <w:rPr>
          <w:rFonts w:hint="eastAsia" w:ascii="宋体" w:hAnsi="宋体"/>
          <w:kern w:val="0"/>
          <w:sz w:val="24"/>
        </w:rPr>
        <w:t xml:space="preserve">.1 </w:t>
      </w:r>
      <w:r>
        <w:rPr>
          <w:rFonts w:ascii="宋体" w:hAnsi="宋体"/>
          <w:kern w:val="0"/>
          <w:sz w:val="24"/>
        </w:rPr>
        <w:t>“</w:t>
      </w:r>
      <w:r>
        <w:rPr>
          <w:rFonts w:hint="eastAsia" w:ascii="宋体" w:hAnsi="宋体"/>
          <w:kern w:val="0"/>
          <w:sz w:val="24"/>
        </w:rPr>
        <w:t>谈判文件</w:t>
      </w:r>
      <w:r>
        <w:rPr>
          <w:rFonts w:ascii="宋体" w:hAnsi="宋体"/>
          <w:kern w:val="0"/>
          <w:sz w:val="24"/>
        </w:rPr>
        <w:t>”</w:t>
      </w:r>
      <w:r>
        <w:rPr>
          <w:rFonts w:hint="eastAsia" w:ascii="宋体" w:hAnsi="宋体"/>
          <w:kern w:val="0"/>
          <w:sz w:val="24"/>
        </w:rPr>
        <w:t>属下列</w:t>
      </w:r>
      <w:r>
        <w:rPr>
          <w:rFonts w:ascii="宋体" w:hAnsi="宋体"/>
          <w:kern w:val="0"/>
          <w:sz w:val="24"/>
        </w:rPr>
        <w:t>情况之一的，</w:t>
      </w:r>
      <w:r>
        <w:rPr>
          <w:rFonts w:hint="eastAsia" w:ascii="宋体" w:hAnsi="宋体"/>
          <w:kern w:val="0"/>
          <w:sz w:val="24"/>
        </w:rPr>
        <w:t>采购人</w:t>
      </w:r>
      <w:r>
        <w:rPr>
          <w:rFonts w:ascii="宋体" w:hAnsi="宋体"/>
          <w:kern w:val="0"/>
          <w:sz w:val="24"/>
        </w:rPr>
        <w:t>有权将其作</w:t>
      </w:r>
      <w:r>
        <w:rPr>
          <w:rFonts w:hint="eastAsia" w:ascii="宋体" w:hAnsi="宋体"/>
          <w:kern w:val="0"/>
          <w:sz w:val="24"/>
        </w:rPr>
        <w:t>否决</w:t>
      </w:r>
      <w:r>
        <w:rPr>
          <w:rFonts w:ascii="宋体" w:hAnsi="宋体"/>
          <w:kern w:val="0"/>
          <w:sz w:val="24"/>
        </w:rPr>
        <w:t>处理：</w:t>
      </w:r>
    </w:p>
    <w:p w14:paraId="60B6FF42">
      <w:pPr>
        <w:spacing w:line="360" w:lineRule="auto"/>
        <w:ind w:firstLine="480" w:firstLineChars="200"/>
        <w:rPr>
          <w:rFonts w:ascii="宋体" w:hAnsi="宋体"/>
          <w:kern w:val="0"/>
          <w:sz w:val="24"/>
        </w:rPr>
      </w:pPr>
      <w:r>
        <w:rPr>
          <w:rFonts w:hint="eastAsia" w:ascii="宋体" w:hAnsi="宋体"/>
          <w:kern w:val="0"/>
          <w:sz w:val="24"/>
        </w:rPr>
        <w:t>（1）逾期</w:t>
      </w:r>
      <w:r>
        <w:rPr>
          <w:rFonts w:ascii="宋体" w:hAnsi="宋体"/>
          <w:kern w:val="0"/>
          <w:sz w:val="24"/>
        </w:rPr>
        <w:t>送达的；</w:t>
      </w:r>
    </w:p>
    <w:p w14:paraId="7F42DD70">
      <w:pPr>
        <w:spacing w:line="360" w:lineRule="auto"/>
        <w:ind w:firstLine="480" w:firstLineChars="200"/>
        <w:rPr>
          <w:rFonts w:ascii="宋体" w:hAnsi="宋体"/>
          <w:kern w:val="0"/>
          <w:sz w:val="24"/>
        </w:rPr>
      </w:pPr>
      <w:r>
        <w:rPr>
          <w:rFonts w:hint="eastAsia" w:ascii="宋体" w:hAnsi="宋体"/>
          <w:kern w:val="0"/>
          <w:sz w:val="24"/>
        </w:rPr>
        <w:t>（2）供应商针对</w:t>
      </w:r>
      <w:r>
        <w:rPr>
          <w:rFonts w:ascii="宋体" w:hAnsi="宋体"/>
          <w:kern w:val="0"/>
          <w:sz w:val="24"/>
        </w:rPr>
        <w:t>同一服务</w:t>
      </w:r>
      <w:r>
        <w:rPr>
          <w:rFonts w:hint="eastAsia" w:ascii="宋体" w:hAnsi="宋体"/>
          <w:kern w:val="0"/>
          <w:sz w:val="24"/>
        </w:rPr>
        <w:t>递交</w:t>
      </w:r>
      <w:r>
        <w:rPr>
          <w:rFonts w:ascii="宋体" w:hAnsi="宋体"/>
          <w:kern w:val="0"/>
          <w:sz w:val="24"/>
        </w:rPr>
        <w:t>两份或</w:t>
      </w:r>
      <w:r>
        <w:rPr>
          <w:rFonts w:hint="eastAsia" w:ascii="宋体" w:hAnsi="宋体"/>
          <w:kern w:val="0"/>
          <w:sz w:val="24"/>
        </w:rPr>
        <w:t>多份</w:t>
      </w:r>
      <w:r>
        <w:rPr>
          <w:rFonts w:ascii="宋体" w:hAnsi="宋体"/>
          <w:kern w:val="0"/>
          <w:sz w:val="24"/>
        </w:rPr>
        <w:t>内容不同的</w:t>
      </w:r>
      <w:r>
        <w:rPr>
          <w:rFonts w:hint="eastAsia" w:ascii="宋体" w:hAnsi="宋体"/>
          <w:kern w:val="0"/>
          <w:sz w:val="24"/>
        </w:rPr>
        <w:t>响应</w:t>
      </w:r>
      <w:r>
        <w:rPr>
          <w:rFonts w:ascii="宋体" w:hAnsi="宋体"/>
          <w:kern w:val="0"/>
          <w:sz w:val="24"/>
        </w:rPr>
        <w:t>书，未书面声明哪一个有效的；</w:t>
      </w:r>
    </w:p>
    <w:p w14:paraId="1D75AD1E">
      <w:pPr>
        <w:spacing w:line="360" w:lineRule="auto"/>
        <w:ind w:firstLine="480" w:firstLineChars="200"/>
        <w:rPr>
          <w:rFonts w:ascii="宋体" w:hAnsi="宋体"/>
          <w:kern w:val="0"/>
          <w:sz w:val="24"/>
        </w:rPr>
      </w:pPr>
      <w:r>
        <w:rPr>
          <w:rFonts w:ascii="宋体" w:hAnsi="宋体"/>
          <w:kern w:val="0"/>
          <w:sz w:val="24"/>
        </w:rPr>
        <w:t xml:space="preserve">1.2 </w:t>
      </w:r>
      <w:r>
        <w:rPr>
          <w:rFonts w:hint="eastAsia" w:ascii="宋体" w:hAnsi="宋体"/>
          <w:kern w:val="0"/>
          <w:sz w:val="24"/>
        </w:rPr>
        <w:t>无论</w:t>
      </w:r>
      <w:r>
        <w:rPr>
          <w:rFonts w:ascii="宋体" w:hAnsi="宋体"/>
          <w:kern w:val="0"/>
          <w:sz w:val="24"/>
        </w:rPr>
        <w:t>何种原因在</w:t>
      </w:r>
      <w:r>
        <w:rPr>
          <w:rFonts w:hint="eastAsia" w:ascii="宋体" w:hAnsi="宋体"/>
          <w:kern w:val="0"/>
          <w:sz w:val="24"/>
        </w:rPr>
        <w:t>评审</w:t>
      </w:r>
      <w:r>
        <w:rPr>
          <w:rFonts w:ascii="宋体" w:hAnsi="宋体"/>
          <w:kern w:val="0"/>
          <w:sz w:val="24"/>
        </w:rPr>
        <w:t>时未被接</w:t>
      </w:r>
      <w:r>
        <w:rPr>
          <w:rFonts w:hint="eastAsia" w:ascii="宋体" w:hAnsi="宋体"/>
          <w:kern w:val="0"/>
          <w:sz w:val="24"/>
        </w:rPr>
        <w:t>收</w:t>
      </w:r>
      <w:r>
        <w:rPr>
          <w:rFonts w:ascii="宋体" w:hAnsi="宋体"/>
          <w:kern w:val="0"/>
          <w:sz w:val="24"/>
        </w:rPr>
        <w:t>的</w:t>
      </w:r>
      <w:r>
        <w:rPr>
          <w:rFonts w:hint="eastAsia" w:ascii="宋体" w:hAnsi="宋体"/>
          <w:kern w:val="0"/>
          <w:sz w:val="24"/>
        </w:rPr>
        <w:t>谈判</w:t>
      </w:r>
      <w:r>
        <w:rPr>
          <w:rFonts w:ascii="宋体" w:hAnsi="宋体"/>
          <w:kern w:val="0"/>
          <w:sz w:val="24"/>
        </w:rPr>
        <w:t>书在评</w:t>
      </w:r>
      <w:r>
        <w:rPr>
          <w:rFonts w:hint="eastAsia" w:ascii="宋体" w:hAnsi="宋体"/>
          <w:kern w:val="0"/>
          <w:sz w:val="24"/>
        </w:rPr>
        <w:t>审</w:t>
      </w:r>
      <w:r>
        <w:rPr>
          <w:rFonts w:ascii="宋体" w:hAnsi="宋体"/>
          <w:kern w:val="0"/>
          <w:sz w:val="24"/>
        </w:rPr>
        <w:t>时将不予考虑</w:t>
      </w:r>
      <w:r>
        <w:rPr>
          <w:rFonts w:hint="eastAsia" w:ascii="宋体" w:hAnsi="宋体"/>
          <w:kern w:val="0"/>
          <w:sz w:val="24"/>
        </w:rPr>
        <w:t>，</w:t>
      </w:r>
      <w:r>
        <w:rPr>
          <w:rFonts w:ascii="宋体" w:hAnsi="宋体"/>
          <w:kern w:val="0"/>
          <w:sz w:val="24"/>
        </w:rPr>
        <w:t>采购人</w:t>
      </w:r>
      <w:r>
        <w:rPr>
          <w:rFonts w:hint="eastAsia" w:ascii="宋体" w:hAnsi="宋体"/>
          <w:kern w:val="0"/>
          <w:sz w:val="24"/>
        </w:rPr>
        <w:t>对此</w:t>
      </w:r>
      <w:r>
        <w:rPr>
          <w:rFonts w:ascii="宋体" w:hAnsi="宋体"/>
          <w:kern w:val="0"/>
          <w:sz w:val="24"/>
        </w:rPr>
        <w:t>不承担任何责任。</w:t>
      </w:r>
    </w:p>
    <w:p w14:paraId="1DD70B6C">
      <w:pPr>
        <w:spacing w:line="360" w:lineRule="auto"/>
        <w:ind w:firstLine="480" w:firstLineChars="200"/>
        <w:rPr>
          <w:rFonts w:ascii="宋体" w:hAnsi="宋体"/>
          <w:kern w:val="0"/>
          <w:sz w:val="24"/>
        </w:rPr>
      </w:pPr>
      <w:r>
        <w:rPr>
          <w:rFonts w:ascii="宋体" w:hAnsi="宋体"/>
          <w:kern w:val="0"/>
          <w:sz w:val="24"/>
        </w:rPr>
        <w:t>1.3</w:t>
      </w:r>
      <w:r>
        <w:rPr>
          <w:rFonts w:hint="eastAsia" w:ascii="宋体" w:hAnsi="宋体"/>
          <w:kern w:val="0"/>
          <w:sz w:val="24"/>
        </w:rPr>
        <w:t>供应商数量不足三家的，采购人须重新进行谈判采购。</w:t>
      </w:r>
    </w:p>
    <w:p w14:paraId="6300A269">
      <w:pPr>
        <w:spacing w:line="360" w:lineRule="auto"/>
        <w:ind w:firstLine="482" w:firstLineChars="200"/>
        <w:rPr>
          <w:rFonts w:ascii="宋体" w:hAnsi="宋体"/>
          <w:b/>
          <w:kern w:val="0"/>
          <w:sz w:val="24"/>
        </w:rPr>
      </w:pPr>
      <w:r>
        <w:rPr>
          <w:rFonts w:ascii="宋体" w:hAnsi="宋体"/>
          <w:b/>
          <w:kern w:val="0"/>
          <w:sz w:val="24"/>
        </w:rPr>
        <w:t>2</w:t>
      </w:r>
      <w:r>
        <w:rPr>
          <w:rFonts w:hint="eastAsia" w:ascii="宋体" w:hAnsi="宋体"/>
          <w:b/>
          <w:kern w:val="0"/>
          <w:sz w:val="24"/>
        </w:rPr>
        <w:t>.评审组织</w:t>
      </w:r>
    </w:p>
    <w:p w14:paraId="38342FCE">
      <w:pPr>
        <w:spacing w:line="360" w:lineRule="auto"/>
        <w:ind w:firstLine="480" w:firstLineChars="200"/>
        <w:rPr>
          <w:rFonts w:ascii="宋体" w:hAnsi="宋体"/>
          <w:kern w:val="0"/>
          <w:sz w:val="24"/>
        </w:rPr>
      </w:pPr>
      <w:r>
        <w:rPr>
          <w:rFonts w:ascii="宋体" w:hAnsi="宋体"/>
          <w:kern w:val="0"/>
          <w:sz w:val="24"/>
        </w:rPr>
        <w:t>2</w:t>
      </w:r>
      <w:r>
        <w:rPr>
          <w:rFonts w:hint="eastAsia" w:ascii="宋体" w:hAnsi="宋体"/>
          <w:kern w:val="0"/>
          <w:sz w:val="24"/>
        </w:rPr>
        <w:t>.1</w:t>
      </w:r>
      <w:r>
        <w:rPr>
          <w:rFonts w:ascii="宋体" w:hAnsi="宋体"/>
          <w:kern w:val="0"/>
          <w:sz w:val="24"/>
        </w:rPr>
        <w:t xml:space="preserve"> </w:t>
      </w:r>
      <w:r>
        <w:rPr>
          <w:rFonts w:hint="eastAsia" w:ascii="宋体" w:hAnsi="宋体"/>
          <w:kern w:val="0"/>
          <w:sz w:val="24"/>
        </w:rPr>
        <w:t>采购人</w:t>
      </w:r>
      <w:r>
        <w:rPr>
          <w:rFonts w:ascii="宋体" w:hAnsi="宋体"/>
          <w:kern w:val="0"/>
          <w:sz w:val="24"/>
        </w:rPr>
        <w:t>将根据本次</w:t>
      </w:r>
      <w:r>
        <w:rPr>
          <w:rFonts w:hint="eastAsia" w:ascii="宋体" w:hAnsi="宋体"/>
          <w:kern w:val="0"/>
          <w:sz w:val="24"/>
        </w:rPr>
        <w:t>谈判采购采购项目</w:t>
      </w:r>
      <w:r>
        <w:rPr>
          <w:rFonts w:ascii="宋体" w:hAnsi="宋体"/>
          <w:kern w:val="0"/>
          <w:sz w:val="24"/>
        </w:rPr>
        <w:t>的特点，</w:t>
      </w:r>
      <w:r>
        <w:rPr>
          <w:rFonts w:hint="eastAsia" w:ascii="宋体" w:hAnsi="宋体"/>
          <w:kern w:val="0"/>
          <w:sz w:val="24"/>
        </w:rPr>
        <w:t>根据相关规章制度</w:t>
      </w:r>
      <w:r>
        <w:rPr>
          <w:rFonts w:ascii="宋体" w:hAnsi="宋体"/>
          <w:kern w:val="0"/>
          <w:sz w:val="24"/>
        </w:rPr>
        <w:t>制定</w:t>
      </w:r>
      <w:r>
        <w:rPr>
          <w:rFonts w:hint="eastAsia" w:ascii="宋体" w:hAnsi="宋体"/>
          <w:kern w:val="0"/>
          <w:sz w:val="24"/>
        </w:rPr>
        <w:t>评审</w:t>
      </w:r>
      <w:r>
        <w:rPr>
          <w:rFonts w:ascii="宋体" w:hAnsi="宋体"/>
          <w:kern w:val="0"/>
          <w:sz w:val="24"/>
        </w:rPr>
        <w:t>办法，成立</w:t>
      </w:r>
      <w:r>
        <w:rPr>
          <w:rFonts w:hint="eastAsia" w:ascii="宋体" w:hAnsi="宋体"/>
          <w:kern w:val="0"/>
          <w:sz w:val="24"/>
        </w:rPr>
        <w:t>评审</w:t>
      </w:r>
      <w:r>
        <w:rPr>
          <w:rFonts w:ascii="宋体" w:hAnsi="宋体"/>
          <w:kern w:val="0"/>
          <w:sz w:val="24"/>
        </w:rPr>
        <w:t>小组。</w:t>
      </w:r>
    </w:p>
    <w:p w14:paraId="376DD81F">
      <w:pPr>
        <w:spacing w:line="360" w:lineRule="auto"/>
        <w:ind w:firstLine="480" w:firstLineChars="200"/>
        <w:rPr>
          <w:rFonts w:ascii="宋体" w:hAnsi="宋体"/>
          <w:kern w:val="0"/>
          <w:sz w:val="24"/>
        </w:rPr>
      </w:pPr>
      <w:r>
        <w:rPr>
          <w:rFonts w:ascii="宋体" w:hAnsi="宋体"/>
          <w:kern w:val="0"/>
          <w:sz w:val="24"/>
        </w:rPr>
        <w:t xml:space="preserve">2.2 </w:t>
      </w:r>
      <w:r>
        <w:rPr>
          <w:rFonts w:hint="eastAsia" w:ascii="宋体" w:hAnsi="宋体"/>
          <w:kern w:val="0"/>
          <w:sz w:val="24"/>
        </w:rPr>
        <w:t>评审</w:t>
      </w:r>
      <w:r>
        <w:rPr>
          <w:rFonts w:ascii="宋体" w:hAnsi="宋体"/>
          <w:kern w:val="0"/>
          <w:sz w:val="24"/>
        </w:rPr>
        <w:t>小组成员由采购人</w:t>
      </w:r>
      <w:r>
        <w:rPr>
          <w:rFonts w:hint="eastAsia" w:ascii="宋体" w:hAnsi="宋体"/>
          <w:kern w:val="0"/>
          <w:sz w:val="24"/>
        </w:rPr>
        <w:t>代表</w:t>
      </w:r>
      <w:r>
        <w:rPr>
          <w:rFonts w:ascii="宋体" w:hAnsi="宋体"/>
          <w:kern w:val="0"/>
          <w:sz w:val="24"/>
        </w:rPr>
        <w:t>组成。</w:t>
      </w:r>
    </w:p>
    <w:p w14:paraId="16468A7B">
      <w:pPr>
        <w:spacing w:line="360" w:lineRule="auto"/>
        <w:ind w:firstLine="480" w:firstLineChars="200"/>
        <w:rPr>
          <w:rFonts w:ascii="宋体" w:hAnsi="宋体"/>
          <w:kern w:val="0"/>
          <w:sz w:val="24"/>
        </w:rPr>
      </w:pPr>
      <w:r>
        <w:rPr>
          <w:rFonts w:ascii="宋体" w:hAnsi="宋体"/>
          <w:kern w:val="0"/>
          <w:sz w:val="24"/>
        </w:rPr>
        <w:t xml:space="preserve">2.3 </w:t>
      </w:r>
      <w:r>
        <w:rPr>
          <w:rFonts w:hint="eastAsia" w:ascii="宋体" w:hAnsi="宋体"/>
          <w:kern w:val="0"/>
          <w:sz w:val="24"/>
        </w:rPr>
        <w:t>评审</w:t>
      </w:r>
      <w:r>
        <w:rPr>
          <w:rFonts w:ascii="宋体" w:hAnsi="宋体"/>
          <w:kern w:val="0"/>
          <w:sz w:val="24"/>
        </w:rPr>
        <w:t>小组</w:t>
      </w:r>
      <w:r>
        <w:rPr>
          <w:rFonts w:hint="eastAsia" w:ascii="宋体" w:hAnsi="宋体"/>
          <w:kern w:val="0"/>
          <w:sz w:val="24"/>
        </w:rPr>
        <w:t>对谈判文件</w:t>
      </w:r>
      <w:r>
        <w:rPr>
          <w:rFonts w:ascii="宋体" w:hAnsi="宋体"/>
          <w:kern w:val="0"/>
          <w:sz w:val="24"/>
        </w:rPr>
        <w:t>进行审查、质疑、评估和比较。</w:t>
      </w:r>
    </w:p>
    <w:p w14:paraId="161A9F63">
      <w:pPr>
        <w:spacing w:line="360" w:lineRule="auto"/>
        <w:ind w:firstLine="482" w:firstLineChars="200"/>
        <w:rPr>
          <w:rFonts w:ascii="宋体" w:hAnsi="宋体"/>
          <w:b/>
          <w:kern w:val="0"/>
          <w:sz w:val="24"/>
        </w:rPr>
      </w:pPr>
      <w:r>
        <w:rPr>
          <w:rFonts w:ascii="宋体" w:hAnsi="宋体"/>
          <w:b/>
          <w:kern w:val="0"/>
          <w:sz w:val="24"/>
        </w:rPr>
        <w:t>3.</w:t>
      </w:r>
      <w:r>
        <w:rPr>
          <w:rFonts w:hint="eastAsia" w:ascii="宋体" w:hAnsi="宋体"/>
          <w:b/>
          <w:kern w:val="0"/>
          <w:sz w:val="24"/>
        </w:rPr>
        <w:t>对谈判文件</w:t>
      </w:r>
      <w:r>
        <w:rPr>
          <w:rFonts w:ascii="宋体" w:hAnsi="宋体"/>
          <w:b/>
          <w:kern w:val="0"/>
          <w:sz w:val="24"/>
        </w:rPr>
        <w:t>的审查和响应性的确定</w:t>
      </w:r>
    </w:p>
    <w:p w14:paraId="76BAFBF5">
      <w:pPr>
        <w:spacing w:line="360" w:lineRule="auto"/>
        <w:ind w:firstLine="480" w:firstLineChars="200"/>
        <w:rPr>
          <w:rFonts w:ascii="宋体" w:hAnsi="宋体"/>
          <w:kern w:val="0"/>
          <w:sz w:val="24"/>
        </w:rPr>
      </w:pPr>
      <w:r>
        <w:rPr>
          <w:rFonts w:ascii="宋体" w:hAnsi="宋体"/>
          <w:kern w:val="0"/>
          <w:sz w:val="24"/>
        </w:rPr>
        <w:t xml:space="preserve">3.1 </w:t>
      </w:r>
      <w:r>
        <w:rPr>
          <w:rFonts w:hint="eastAsia" w:ascii="宋体" w:hAnsi="宋体"/>
          <w:kern w:val="0"/>
          <w:sz w:val="24"/>
        </w:rPr>
        <w:t>拆封后</w:t>
      </w:r>
      <w:r>
        <w:rPr>
          <w:rFonts w:ascii="宋体" w:hAnsi="宋体"/>
          <w:kern w:val="0"/>
          <w:sz w:val="24"/>
        </w:rPr>
        <w:t>，</w:t>
      </w:r>
      <w:r>
        <w:rPr>
          <w:rFonts w:hint="eastAsia" w:ascii="宋体" w:hAnsi="宋体"/>
          <w:kern w:val="0"/>
          <w:sz w:val="24"/>
        </w:rPr>
        <w:t>评审小组检查审查谈判文件</w:t>
      </w:r>
      <w:r>
        <w:rPr>
          <w:rFonts w:ascii="宋体" w:hAnsi="宋体"/>
          <w:kern w:val="0"/>
          <w:sz w:val="24"/>
        </w:rPr>
        <w:t>是否</w:t>
      </w:r>
      <w:r>
        <w:rPr>
          <w:rFonts w:hint="eastAsia" w:ascii="宋体" w:hAnsi="宋体"/>
          <w:kern w:val="0"/>
          <w:sz w:val="24"/>
        </w:rPr>
        <w:t>完整</w:t>
      </w:r>
      <w:r>
        <w:rPr>
          <w:rFonts w:ascii="宋体" w:hAnsi="宋体"/>
          <w:kern w:val="0"/>
          <w:sz w:val="24"/>
        </w:rPr>
        <w:t>。</w:t>
      </w:r>
    </w:p>
    <w:p w14:paraId="0A29F10B">
      <w:pPr>
        <w:spacing w:line="360" w:lineRule="auto"/>
        <w:ind w:firstLine="480" w:firstLineChars="200"/>
        <w:rPr>
          <w:rFonts w:ascii="宋体" w:hAnsi="宋体"/>
          <w:kern w:val="0"/>
          <w:sz w:val="24"/>
        </w:rPr>
      </w:pPr>
      <w:r>
        <w:rPr>
          <w:rFonts w:ascii="宋体" w:hAnsi="宋体"/>
          <w:kern w:val="0"/>
          <w:sz w:val="24"/>
        </w:rPr>
        <w:t xml:space="preserve">3.2 </w:t>
      </w:r>
      <w:r>
        <w:rPr>
          <w:rFonts w:hint="eastAsia" w:ascii="宋体" w:hAnsi="宋体"/>
          <w:kern w:val="0"/>
          <w:sz w:val="24"/>
        </w:rPr>
        <w:t>采购人</w:t>
      </w:r>
      <w:r>
        <w:rPr>
          <w:rFonts w:ascii="宋体" w:hAnsi="宋体"/>
          <w:kern w:val="0"/>
          <w:sz w:val="24"/>
        </w:rPr>
        <w:t>将确定</w:t>
      </w:r>
      <w:r>
        <w:rPr>
          <w:rFonts w:hint="eastAsia" w:ascii="宋体" w:hAnsi="宋体"/>
          <w:kern w:val="0"/>
          <w:sz w:val="24"/>
        </w:rPr>
        <w:t>每一</w:t>
      </w:r>
      <w:r>
        <w:rPr>
          <w:rFonts w:ascii="宋体" w:hAnsi="宋体"/>
          <w:kern w:val="0"/>
          <w:sz w:val="24"/>
        </w:rPr>
        <w:t>供应商是否对</w:t>
      </w:r>
      <w:r>
        <w:rPr>
          <w:rFonts w:hint="eastAsia" w:ascii="宋体" w:hAnsi="宋体"/>
          <w:kern w:val="0"/>
          <w:sz w:val="24"/>
        </w:rPr>
        <w:t>《谈判采购</w:t>
      </w:r>
      <w:r>
        <w:rPr>
          <w:rFonts w:ascii="宋体" w:hAnsi="宋体"/>
          <w:kern w:val="0"/>
          <w:sz w:val="24"/>
        </w:rPr>
        <w:t>文件</w:t>
      </w:r>
      <w:r>
        <w:rPr>
          <w:rFonts w:hint="eastAsia" w:ascii="宋体" w:hAnsi="宋体"/>
          <w:kern w:val="0"/>
          <w:sz w:val="24"/>
        </w:rPr>
        <w:t>》的</w:t>
      </w:r>
      <w:r>
        <w:rPr>
          <w:rFonts w:ascii="宋体" w:hAnsi="宋体"/>
          <w:kern w:val="0"/>
          <w:sz w:val="24"/>
        </w:rPr>
        <w:t>要求作出了实质性的响应，而没有重大偏离。实质性</w:t>
      </w:r>
      <w:r>
        <w:rPr>
          <w:rFonts w:hint="eastAsia" w:ascii="宋体" w:hAnsi="宋体"/>
          <w:kern w:val="0"/>
          <w:sz w:val="24"/>
        </w:rPr>
        <w:t>谈判</w:t>
      </w:r>
      <w:r>
        <w:rPr>
          <w:rFonts w:ascii="宋体" w:hAnsi="宋体"/>
          <w:kern w:val="0"/>
          <w:sz w:val="24"/>
        </w:rPr>
        <w:t>是指</w:t>
      </w:r>
      <w:r>
        <w:rPr>
          <w:rFonts w:hint="eastAsia" w:ascii="宋体" w:hAnsi="宋体"/>
          <w:kern w:val="0"/>
          <w:sz w:val="24"/>
        </w:rPr>
        <w:t>谈判文件</w:t>
      </w:r>
      <w:r>
        <w:rPr>
          <w:rFonts w:ascii="宋体" w:hAnsi="宋体"/>
          <w:kern w:val="0"/>
          <w:sz w:val="24"/>
        </w:rPr>
        <w:t>符合谈判文件的所有条款、条件和规定且没有重大偏离或保留。重大</w:t>
      </w:r>
      <w:r>
        <w:rPr>
          <w:rFonts w:hint="eastAsia" w:ascii="宋体" w:hAnsi="宋体"/>
          <w:kern w:val="0"/>
          <w:sz w:val="24"/>
        </w:rPr>
        <w:t>偏离</w:t>
      </w:r>
      <w:r>
        <w:rPr>
          <w:rFonts w:ascii="宋体" w:hAnsi="宋体"/>
          <w:kern w:val="0"/>
          <w:sz w:val="24"/>
        </w:rPr>
        <w:t>或保留系指影响到谈判文件规定的服务范围、质量和性能</w:t>
      </w:r>
      <w:r>
        <w:rPr>
          <w:rFonts w:hint="eastAsia" w:ascii="宋体" w:hAnsi="宋体"/>
          <w:kern w:val="0"/>
          <w:sz w:val="24"/>
        </w:rPr>
        <w:t>，</w:t>
      </w:r>
      <w:r>
        <w:rPr>
          <w:rFonts w:ascii="宋体" w:hAnsi="宋体"/>
          <w:kern w:val="0"/>
          <w:sz w:val="24"/>
        </w:rPr>
        <w:t>或限制了采购人的</w:t>
      </w:r>
      <w:r>
        <w:rPr>
          <w:rFonts w:hint="eastAsia" w:ascii="宋体" w:hAnsi="宋体"/>
          <w:kern w:val="0"/>
          <w:sz w:val="24"/>
        </w:rPr>
        <w:t>权利或减轻了</w:t>
      </w:r>
      <w:r>
        <w:rPr>
          <w:rFonts w:ascii="宋体" w:hAnsi="宋体"/>
          <w:kern w:val="0"/>
          <w:sz w:val="24"/>
        </w:rPr>
        <w:t>供应商的义务，</w:t>
      </w:r>
      <w:r>
        <w:rPr>
          <w:rFonts w:hint="eastAsia" w:ascii="宋体" w:hAnsi="宋体"/>
          <w:kern w:val="0"/>
          <w:sz w:val="24"/>
        </w:rPr>
        <w:t>而</w:t>
      </w:r>
      <w:r>
        <w:rPr>
          <w:rFonts w:ascii="宋体" w:hAnsi="宋体"/>
          <w:kern w:val="0"/>
          <w:sz w:val="24"/>
        </w:rPr>
        <w:t>纠正这些偏离将</w:t>
      </w:r>
      <w:r>
        <w:rPr>
          <w:rFonts w:hint="eastAsia" w:ascii="宋体" w:hAnsi="宋体"/>
          <w:kern w:val="0"/>
          <w:sz w:val="24"/>
        </w:rPr>
        <w:t>影响</w:t>
      </w:r>
      <w:r>
        <w:rPr>
          <w:rFonts w:ascii="宋体" w:hAnsi="宋体"/>
          <w:kern w:val="0"/>
          <w:sz w:val="24"/>
        </w:rPr>
        <w:t>到其他提交实质性响应供应商的公平竞争地位。</w:t>
      </w:r>
    </w:p>
    <w:p w14:paraId="16374303">
      <w:pPr>
        <w:spacing w:line="360" w:lineRule="auto"/>
        <w:ind w:firstLine="480" w:firstLineChars="200"/>
        <w:rPr>
          <w:rFonts w:ascii="宋体" w:hAnsi="宋体"/>
          <w:kern w:val="0"/>
          <w:sz w:val="24"/>
        </w:rPr>
      </w:pPr>
      <w:r>
        <w:rPr>
          <w:rFonts w:ascii="宋体" w:hAnsi="宋体"/>
          <w:kern w:val="0"/>
          <w:sz w:val="24"/>
        </w:rPr>
        <w:t xml:space="preserve">3.3 </w:t>
      </w:r>
      <w:r>
        <w:rPr>
          <w:rFonts w:hint="eastAsia" w:ascii="宋体" w:hAnsi="宋体"/>
          <w:kern w:val="0"/>
          <w:sz w:val="24"/>
        </w:rPr>
        <w:t>采购人</w:t>
      </w:r>
      <w:r>
        <w:rPr>
          <w:rFonts w:ascii="宋体" w:hAnsi="宋体"/>
          <w:kern w:val="0"/>
          <w:sz w:val="24"/>
        </w:rPr>
        <w:t>判断</w:t>
      </w:r>
      <w:r>
        <w:rPr>
          <w:rFonts w:hint="eastAsia" w:ascii="宋体" w:hAnsi="宋体"/>
          <w:kern w:val="0"/>
          <w:sz w:val="24"/>
        </w:rPr>
        <w:t>谈判文件</w:t>
      </w:r>
      <w:r>
        <w:rPr>
          <w:rFonts w:ascii="宋体" w:hAnsi="宋体"/>
          <w:kern w:val="0"/>
          <w:sz w:val="24"/>
        </w:rPr>
        <w:t>的响应性仅基于</w:t>
      </w:r>
      <w:r>
        <w:rPr>
          <w:rFonts w:hint="eastAsia" w:ascii="宋体" w:hAnsi="宋体"/>
          <w:kern w:val="0"/>
          <w:sz w:val="24"/>
        </w:rPr>
        <w:t>谈判文件</w:t>
      </w:r>
      <w:r>
        <w:rPr>
          <w:rFonts w:ascii="宋体" w:hAnsi="宋体"/>
          <w:kern w:val="0"/>
          <w:sz w:val="24"/>
        </w:rPr>
        <w:t>本身而不靠外部证据。</w:t>
      </w:r>
    </w:p>
    <w:p w14:paraId="09C1BFA2">
      <w:pPr>
        <w:spacing w:line="360" w:lineRule="auto"/>
        <w:ind w:firstLine="480" w:firstLineChars="200"/>
        <w:rPr>
          <w:rFonts w:ascii="宋体" w:hAnsi="宋体"/>
          <w:kern w:val="0"/>
          <w:sz w:val="24"/>
        </w:rPr>
      </w:pPr>
      <w:r>
        <w:rPr>
          <w:rFonts w:ascii="宋体" w:hAnsi="宋体"/>
          <w:kern w:val="0"/>
          <w:sz w:val="24"/>
        </w:rPr>
        <w:t xml:space="preserve">3.4 </w:t>
      </w:r>
      <w:r>
        <w:rPr>
          <w:rFonts w:hint="eastAsia" w:ascii="宋体" w:hAnsi="宋体"/>
          <w:kern w:val="0"/>
          <w:sz w:val="24"/>
        </w:rPr>
        <w:t>采购人有权</w:t>
      </w:r>
      <w:r>
        <w:rPr>
          <w:rFonts w:ascii="宋体" w:hAnsi="宋体"/>
          <w:kern w:val="0"/>
          <w:sz w:val="24"/>
        </w:rPr>
        <w:t>拒绝被确定为非实质性</w:t>
      </w:r>
      <w:r>
        <w:rPr>
          <w:rFonts w:hint="eastAsia" w:ascii="宋体" w:hAnsi="宋体"/>
          <w:kern w:val="0"/>
          <w:sz w:val="24"/>
        </w:rPr>
        <w:t>的</w:t>
      </w:r>
      <w:r>
        <w:rPr>
          <w:rFonts w:ascii="宋体" w:hAnsi="宋体"/>
          <w:kern w:val="0"/>
          <w:sz w:val="24"/>
        </w:rPr>
        <w:t>响应，供应商不能通过</w:t>
      </w:r>
      <w:r>
        <w:rPr>
          <w:rFonts w:hint="eastAsia" w:ascii="宋体" w:hAnsi="宋体"/>
          <w:kern w:val="0"/>
          <w:sz w:val="24"/>
        </w:rPr>
        <w:t>修正</w:t>
      </w:r>
      <w:r>
        <w:rPr>
          <w:rFonts w:ascii="宋体" w:hAnsi="宋体"/>
          <w:kern w:val="0"/>
          <w:sz w:val="24"/>
        </w:rPr>
        <w:t>或撤销不符之处而使其成为实质性响应。</w:t>
      </w:r>
    </w:p>
    <w:p w14:paraId="6C660D43">
      <w:pPr>
        <w:spacing w:line="360" w:lineRule="auto"/>
        <w:ind w:firstLine="482" w:firstLineChars="200"/>
        <w:rPr>
          <w:rFonts w:ascii="宋体" w:hAnsi="宋体"/>
          <w:b/>
          <w:kern w:val="0"/>
          <w:sz w:val="24"/>
        </w:rPr>
      </w:pPr>
      <w:r>
        <w:rPr>
          <w:rFonts w:ascii="宋体" w:hAnsi="宋体"/>
          <w:b/>
          <w:kern w:val="0"/>
          <w:sz w:val="24"/>
        </w:rPr>
        <w:t>4.</w:t>
      </w:r>
      <w:r>
        <w:rPr>
          <w:rFonts w:hint="eastAsia" w:ascii="宋体" w:hAnsi="宋体"/>
          <w:b/>
          <w:kern w:val="0"/>
          <w:sz w:val="24"/>
        </w:rPr>
        <w:t>谈判文件</w:t>
      </w:r>
      <w:r>
        <w:rPr>
          <w:rFonts w:ascii="宋体" w:hAnsi="宋体"/>
          <w:b/>
          <w:kern w:val="0"/>
          <w:sz w:val="24"/>
        </w:rPr>
        <w:t>的澄清</w:t>
      </w:r>
    </w:p>
    <w:p w14:paraId="6BDC74D0">
      <w:pPr>
        <w:spacing w:line="360" w:lineRule="auto"/>
        <w:ind w:firstLine="480" w:firstLineChars="200"/>
        <w:rPr>
          <w:rFonts w:ascii="宋体" w:hAnsi="宋体"/>
          <w:kern w:val="0"/>
          <w:sz w:val="24"/>
        </w:rPr>
      </w:pPr>
      <w:r>
        <w:rPr>
          <w:rFonts w:ascii="宋体" w:hAnsi="宋体"/>
          <w:kern w:val="0"/>
          <w:sz w:val="24"/>
        </w:rPr>
        <w:t>4</w:t>
      </w:r>
      <w:r>
        <w:rPr>
          <w:rFonts w:hint="eastAsia" w:ascii="宋体" w:hAnsi="宋体"/>
          <w:kern w:val="0"/>
          <w:sz w:val="24"/>
        </w:rPr>
        <w:t>.1 为了</w:t>
      </w:r>
      <w:r>
        <w:rPr>
          <w:rFonts w:ascii="宋体" w:hAnsi="宋体"/>
          <w:kern w:val="0"/>
          <w:sz w:val="24"/>
        </w:rPr>
        <w:t>有助于对</w:t>
      </w:r>
      <w:r>
        <w:rPr>
          <w:rFonts w:hint="eastAsia" w:ascii="宋体" w:hAnsi="宋体"/>
          <w:kern w:val="0"/>
          <w:sz w:val="24"/>
        </w:rPr>
        <w:t>谈判文件</w:t>
      </w:r>
      <w:r>
        <w:rPr>
          <w:rFonts w:ascii="宋体" w:hAnsi="宋体"/>
          <w:kern w:val="0"/>
          <w:sz w:val="24"/>
        </w:rPr>
        <w:t>进行审查、评估和比较，</w:t>
      </w:r>
      <w:r>
        <w:rPr>
          <w:rFonts w:hint="eastAsia" w:ascii="宋体" w:hAnsi="宋体"/>
          <w:kern w:val="0"/>
          <w:sz w:val="24"/>
        </w:rPr>
        <w:t>采购人</w:t>
      </w:r>
      <w:r>
        <w:rPr>
          <w:rFonts w:ascii="宋体" w:hAnsi="宋体"/>
          <w:kern w:val="0"/>
          <w:sz w:val="24"/>
        </w:rPr>
        <w:t>有权向供应商质疑，请供应商以书面形式</w:t>
      </w:r>
      <w:r>
        <w:rPr>
          <w:rFonts w:hint="eastAsia" w:ascii="宋体" w:hAnsi="宋体"/>
          <w:kern w:val="0"/>
          <w:sz w:val="24"/>
        </w:rPr>
        <w:t>澄清其谈判文件</w:t>
      </w:r>
      <w:r>
        <w:rPr>
          <w:rFonts w:ascii="宋体" w:hAnsi="宋体"/>
          <w:kern w:val="0"/>
          <w:sz w:val="24"/>
        </w:rPr>
        <w:t>内容</w:t>
      </w:r>
      <w:r>
        <w:rPr>
          <w:rFonts w:hint="eastAsia" w:ascii="宋体" w:hAnsi="宋体"/>
          <w:kern w:val="0"/>
          <w:sz w:val="24"/>
        </w:rPr>
        <w:t>。</w:t>
      </w:r>
      <w:r>
        <w:rPr>
          <w:rFonts w:ascii="宋体" w:hAnsi="宋体"/>
          <w:kern w:val="0"/>
          <w:sz w:val="24"/>
        </w:rPr>
        <w:t>供应商</w:t>
      </w:r>
      <w:r>
        <w:rPr>
          <w:rFonts w:hint="eastAsia" w:ascii="宋体" w:hAnsi="宋体"/>
          <w:kern w:val="0"/>
          <w:sz w:val="24"/>
        </w:rPr>
        <w:t>须</w:t>
      </w:r>
      <w:r>
        <w:rPr>
          <w:rFonts w:ascii="宋体" w:hAnsi="宋体"/>
          <w:kern w:val="0"/>
          <w:sz w:val="24"/>
        </w:rPr>
        <w:t>按照</w:t>
      </w:r>
      <w:r>
        <w:rPr>
          <w:rFonts w:hint="eastAsia" w:ascii="宋体" w:hAnsi="宋体"/>
          <w:kern w:val="0"/>
          <w:sz w:val="24"/>
        </w:rPr>
        <w:t>采购人</w:t>
      </w:r>
      <w:r>
        <w:rPr>
          <w:rFonts w:ascii="宋体" w:hAnsi="宋体"/>
          <w:kern w:val="0"/>
          <w:sz w:val="24"/>
        </w:rPr>
        <w:t>通知的时间、地点指派专人进行答疑和澄清。</w:t>
      </w:r>
    </w:p>
    <w:p w14:paraId="7A5677FF">
      <w:pPr>
        <w:spacing w:line="360" w:lineRule="auto"/>
        <w:ind w:firstLine="482" w:firstLineChars="200"/>
        <w:rPr>
          <w:rFonts w:ascii="宋体" w:hAnsi="宋体"/>
          <w:b/>
          <w:kern w:val="0"/>
          <w:sz w:val="24"/>
        </w:rPr>
      </w:pPr>
      <w:r>
        <w:rPr>
          <w:rFonts w:ascii="宋体" w:hAnsi="宋体"/>
          <w:b/>
          <w:kern w:val="0"/>
          <w:sz w:val="24"/>
        </w:rPr>
        <w:t>5.</w:t>
      </w:r>
      <w:r>
        <w:rPr>
          <w:rFonts w:hint="eastAsia" w:ascii="宋体" w:hAnsi="宋体"/>
          <w:b/>
          <w:kern w:val="0"/>
          <w:sz w:val="24"/>
        </w:rPr>
        <w:t>谈判文件</w:t>
      </w:r>
      <w:r>
        <w:rPr>
          <w:rFonts w:ascii="宋体" w:hAnsi="宋体"/>
          <w:b/>
          <w:kern w:val="0"/>
          <w:sz w:val="24"/>
        </w:rPr>
        <w:t>的评估和比较</w:t>
      </w:r>
    </w:p>
    <w:p w14:paraId="0A4CDC67">
      <w:pPr>
        <w:spacing w:line="360" w:lineRule="auto"/>
        <w:ind w:firstLine="480" w:firstLineChars="200"/>
        <w:rPr>
          <w:rFonts w:ascii="宋体" w:hAnsi="宋体"/>
          <w:kern w:val="0"/>
          <w:sz w:val="24"/>
        </w:rPr>
      </w:pPr>
      <w:r>
        <w:rPr>
          <w:rFonts w:ascii="宋体" w:hAnsi="宋体"/>
          <w:kern w:val="0"/>
          <w:sz w:val="24"/>
        </w:rPr>
        <w:t>5</w:t>
      </w:r>
      <w:r>
        <w:rPr>
          <w:rFonts w:hint="eastAsia" w:ascii="宋体" w:hAnsi="宋体"/>
          <w:kern w:val="0"/>
          <w:sz w:val="24"/>
        </w:rPr>
        <w:t>.1 采购人</w:t>
      </w:r>
      <w:r>
        <w:rPr>
          <w:rFonts w:ascii="宋体" w:hAnsi="宋体"/>
          <w:kern w:val="0"/>
          <w:sz w:val="24"/>
        </w:rPr>
        <w:t>及</w:t>
      </w:r>
      <w:r>
        <w:rPr>
          <w:rFonts w:hint="eastAsia" w:ascii="宋体" w:hAnsi="宋体"/>
          <w:kern w:val="0"/>
          <w:sz w:val="24"/>
        </w:rPr>
        <w:t>评审</w:t>
      </w:r>
      <w:r>
        <w:rPr>
          <w:rFonts w:ascii="宋体" w:hAnsi="宋体"/>
          <w:kern w:val="0"/>
          <w:sz w:val="24"/>
        </w:rPr>
        <w:t>小组</w:t>
      </w:r>
      <w:r>
        <w:rPr>
          <w:rFonts w:hint="eastAsia" w:ascii="宋体" w:hAnsi="宋体"/>
          <w:kern w:val="0"/>
          <w:sz w:val="24"/>
        </w:rPr>
        <w:t>将</w:t>
      </w:r>
      <w:r>
        <w:rPr>
          <w:rFonts w:ascii="宋体" w:hAnsi="宋体"/>
          <w:kern w:val="0"/>
          <w:sz w:val="24"/>
        </w:rPr>
        <w:t>对有效的</w:t>
      </w:r>
      <w:r>
        <w:rPr>
          <w:rFonts w:hint="eastAsia" w:ascii="宋体" w:hAnsi="宋体"/>
          <w:kern w:val="0"/>
          <w:sz w:val="24"/>
        </w:rPr>
        <w:t>谈判文件</w:t>
      </w:r>
      <w:r>
        <w:rPr>
          <w:rFonts w:ascii="宋体" w:hAnsi="宋体"/>
          <w:kern w:val="0"/>
          <w:sz w:val="24"/>
        </w:rPr>
        <w:t>进行评估和比较。</w:t>
      </w:r>
    </w:p>
    <w:p w14:paraId="532190EE">
      <w:pPr>
        <w:spacing w:line="360" w:lineRule="auto"/>
        <w:ind w:firstLine="482" w:firstLineChars="200"/>
        <w:rPr>
          <w:rFonts w:ascii="宋体" w:hAnsi="宋体"/>
          <w:b/>
          <w:kern w:val="0"/>
          <w:sz w:val="24"/>
        </w:rPr>
      </w:pPr>
      <w:r>
        <w:rPr>
          <w:rFonts w:ascii="宋体" w:hAnsi="宋体"/>
          <w:b/>
          <w:kern w:val="0"/>
          <w:sz w:val="24"/>
        </w:rPr>
        <w:t>6.</w:t>
      </w:r>
      <w:r>
        <w:rPr>
          <w:rFonts w:hint="eastAsia" w:ascii="宋体" w:hAnsi="宋体"/>
          <w:b/>
          <w:kern w:val="0"/>
          <w:sz w:val="24"/>
        </w:rPr>
        <w:t>评审</w:t>
      </w:r>
      <w:r>
        <w:rPr>
          <w:rFonts w:ascii="宋体" w:hAnsi="宋体"/>
          <w:b/>
          <w:kern w:val="0"/>
          <w:sz w:val="24"/>
        </w:rPr>
        <w:t>原则</w:t>
      </w:r>
      <w:r>
        <w:rPr>
          <w:rFonts w:hint="eastAsia" w:ascii="宋体" w:hAnsi="宋体"/>
          <w:b/>
          <w:kern w:val="0"/>
          <w:sz w:val="24"/>
        </w:rPr>
        <w:t>及</w:t>
      </w:r>
      <w:r>
        <w:rPr>
          <w:rFonts w:ascii="宋体" w:hAnsi="宋体"/>
          <w:b/>
          <w:kern w:val="0"/>
          <w:sz w:val="24"/>
        </w:rPr>
        <w:t>主要方法</w:t>
      </w:r>
    </w:p>
    <w:p w14:paraId="5C84A7A3">
      <w:pPr>
        <w:spacing w:line="360" w:lineRule="auto"/>
        <w:ind w:firstLine="480" w:firstLineChars="200"/>
        <w:rPr>
          <w:rFonts w:ascii="宋体" w:hAnsi="宋体"/>
          <w:kern w:val="0"/>
          <w:sz w:val="24"/>
        </w:rPr>
      </w:pPr>
      <w:r>
        <w:rPr>
          <w:rFonts w:ascii="宋体" w:hAnsi="宋体"/>
          <w:kern w:val="0"/>
          <w:sz w:val="24"/>
        </w:rPr>
        <w:t>6</w:t>
      </w:r>
      <w:r>
        <w:rPr>
          <w:rFonts w:hint="eastAsia" w:ascii="宋体" w:hAnsi="宋体"/>
          <w:kern w:val="0"/>
          <w:sz w:val="24"/>
        </w:rPr>
        <w:t>.1 评审</w:t>
      </w:r>
      <w:r>
        <w:rPr>
          <w:rFonts w:ascii="宋体" w:hAnsi="宋体"/>
          <w:kern w:val="0"/>
          <w:sz w:val="24"/>
        </w:rPr>
        <w:t>小组将遵循“</w:t>
      </w:r>
      <w:r>
        <w:rPr>
          <w:rFonts w:hint="eastAsia" w:ascii="宋体" w:hAnsi="宋体"/>
          <w:kern w:val="0"/>
          <w:sz w:val="24"/>
        </w:rPr>
        <w:t>公开</w:t>
      </w:r>
      <w:r>
        <w:rPr>
          <w:rFonts w:ascii="宋体" w:hAnsi="宋体"/>
          <w:kern w:val="0"/>
          <w:sz w:val="24"/>
        </w:rPr>
        <w:t>、公平、科学、择优”</w:t>
      </w:r>
      <w:r>
        <w:rPr>
          <w:rFonts w:hint="eastAsia" w:ascii="宋体" w:hAnsi="宋体"/>
          <w:kern w:val="0"/>
          <w:sz w:val="24"/>
        </w:rPr>
        <w:t>的</w:t>
      </w:r>
      <w:r>
        <w:rPr>
          <w:rFonts w:ascii="宋体" w:hAnsi="宋体"/>
          <w:kern w:val="0"/>
          <w:sz w:val="24"/>
        </w:rPr>
        <w:t>原则</w:t>
      </w:r>
      <w:r>
        <w:rPr>
          <w:rFonts w:hint="eastAsia" w:ascii="宋体" w:hAnsi="宋体"/>
          <w:kern w:val="0"/>
          <w:sz w:val="24"/>
        </w:rPr>
        <w:t>。</w:t>
      </w:r>
      <w:r>
        <w:rPr>
          <w:rFonts w:ascii="宋体" w:hAnsi="宋体"/>
          <w:kern w:val="0"/>
          <w:sz w:val="24"/>
        </w:rPr>
        <w:t>对</w:t>
      </w:r>
      <w:r>
        <w:rPr>
          <w:rFonts w:hint="eastAsia" w:ascii="宋体" w:hAnsi="宋体"/>
          <w:kern w:val="0"/>
          <w:sz w:val="24"/>
        </w:rPr>
        <w:t>所有</w:t>
      </w:r>
      <w:r>
        <w:rPr>
          <w:rFonts w:ascii="宋体" w:hAnsi="宋体"/>
          <w:kern w:val="0"/>
          <w:sz w:val="24"/>
        </w:rPr>
        <w:t>供应商的</w:t>
      </w:r>
      <w:r>
        <w:rPr>
          <w:rFonts w:hint="eastAsia" w:ascii="宋体" w:hAnsi="宋体"/>
          <w:kern w:val="0"/>
          <w:sz w:val="24"/>
        </w:rPr>
        <w:t>谈判文件</w:t>
      </w:r>
      <w:r>
        <w:rPr>
          <w:rFonts w:ascii="宋体" w:hAnsi="宋体"/>
          <w:kern w:val="0"/>
          <w:sz w:val="24"/>
        </w:rPr>
        <w:t>评估，都采用</w:t>
      </w:r>
      <w:r>
        <w:rPr>
          <w:rFonts w:hint="eastAsia" w:ascii="宋体" w:hAnsi="宋体"/>
          <w:kern w:val="0"/>
          <w:sz w:val="24"/>
        </w:rPr>
        <w:t>相同</w:t>
      </w:r>
      <w:r>
        <w:rPr>
          <w:rFonts w:ascii="宋体" w:hAnsi="宋体"/>
          <w:kern w:val="0"/>
          <w:sz w:val="24"/>
        </w:rPr>
        <w:t>的程序和标准。</w:t>
      </w:r>
    </w:p>
    <w:p w14:paraId="7422AA55">
      <w:pPr>
        <w:spacing w:line="360" w:lineRule="auto"/>
        <w:ind w:firstLine="480" w:firstLineChars="200"/>
        <w:rPr>
          <w:rFonts w:ascii="宋体" w:hAnsi="宋体"/>
          <w:kern w:val="0"/>
          <w:sz w:val="24"/>
        </w:rPr>
      </w:pPr>
      <w:r>
        <w:rPr>
          <w:rFonts w:ascii="宋体" w:hAnsi="宋体"/>
          <w:kern w:val="0"/>
          <w:sz w:val="24"/>
        </w:rPr>
        <w:t>6</w:t>
      </w:r>
      <w:r>
        <w:rPr>
          <w:rFonts w:hint="eastAsia" w:ascii="宋体" w:hAnsi="宋体"/>
          <w:kern w:val="0"/>
          <w:sz w:val="24"/>
        </w:rPr>
        <w:t>.</w:t>
      </w:r>
      <w:r>
        <w:rPr>
          <w:rFonts w:ascii="宋体" w:hAnsi="宋体"/>
          <w:kern w:val="0"/>
          <w:sz w:val="24"/>
        </w:rPr>
        <w:t xml:space="preserve">2 </w:t>
      </w:r>
      <w:r>
        <w:rPr>
          <w:rFonts w:hint="eastAsia" w:ascii="宋体" w:hAnsi="宋体"/>
          <w:kern w:val="0"/>
          <w:sz w:val="24"/>
        </w:rPr>
        <w:t>评审主要内容</w:t>
      </w:r>
    </w:p>
    <w:p w14:paraId="2698B11D">
      <w:pPr>
        <w:spacing w:line="360" w:lineRule="auto"/>
        <w:ind w:firstLine="480" w:firstLineChars="200"/>
        <w:rPr>
          <w:rFonts w:ascii="宋体" w:hAnsi="宋体"/>
          <w:kern w:val="0"/>
          <w:sz w:val="24"/>
        </w:rPr>
      </w:pPr>
      <w:r>
        <w:rPr>
          <w:rFonts w:ascii="宋体" w:hAnsi="宋体"/>
          <w:kern w:val="0"/>
          <w:sz w:val="24"/>
        </w:rPr>
        <w:t>6</w:t>
      </w:r>
      <w:r>
        <w:rPr>
          <w:rFonts w:hint="eastAsia" w:ascii="宋体" w:hAnsi="宋体"/>
          <w:kern w:val="0"/>
          <w:sz w:val="24"/>
        </w:rPr>
        <w:t>.</w:t>
      </w:r>
      <w:r>
        <w:rPr>
          <w:rFonts w:ascii="宋体" w:hAnsi="宋体"/>
          <w:kern w:val="0"/>
          <w:sz w:val="24"/>
        </w:rPr>
        <w:t>2</w:t>
      </w:r>
      <w:r>
        <w:rPr>
          <w:rFonts w:hint="eastAsia" w:ascii="宋体" w:hAnsi="宋体"/>
          <w:kern w:val="0"/>
          <w:sz w:val="24"/>
        </w:rPr>
        <w:t>.1 初步</w:t>
      </w:r>
      <w:r>
        <w:rPr>
          <w:rFonts w:ascii="宋体" w:hAnsi="宋体"/>
          <w:kern w:val="0"/>
          <w:sz w:val="24"/>
        </w:rPr>
        <w:t>审查。</w:t>
      </w:r>
      <w:r>
        <w:rPr>
          <w:rFonts w:hint="eastAsia" w:ascii="宋体" w:hAnsi="宋体"/>
          <w:kern w:val="0"/>
          <w:sz w:val="24"/>
        </w:rPr>
        <w:t>初步</w:t>
      </w:r>
      <w:r>
        <w:rPr>
          <w:rFonts w:ascii="宋体" w:hAnsi="宋体"/>
          <w:kern w:val="0"/>
          <w:sz w:val="24"/>
        </w:rPr>
        <w:t>审查</w:t>
      </w:r>
      <w:r>
        <w:rPr>
          <w:rFonts w:hint="eastAsia" w:ascii="宋体" w:hAnsi="宋体"/>
          <w:kern w:val="0"/>
          <w:sz w:val="24"/>
        </w:rPr>
        <w:t>是</w:t>
      </w:r>
      <w:r>
        <w:rPr>
          <w:rFonts w:ascii="宋体" w:hAnsi="宋体"/>
          <w:kern w:val="0"/>
          <w:sz w:val="24"/>
        </w:rPr>
        <w:t>对</w:t>
      </w:r>
      <w:r>
        <w:rPr>
          <w:rFonts w:hint="eastAsia" w:ascii="宋体" w:hAnsi="宋体"/>
          <w:kern w:val="0"/>
          <w:sz w:val="24"/>
        </w:rPr>
        <w:t>谈判文件合格</w:t>
      </w:r>
      <w:r>
        <w:rPr>
          <w:rFonts w:ascii="宋体" w:hAnsi="宋体"/>
          <w:kern w:val="0"/>
          <w:sz w:val="24"/>
        </w:rPr>
        <w:t>性的审查，它所涉及到的主要文件和内容有：“</w:t>
      </w:r>
      <w:r>
        <w:rPr>
          <w:rFonts w:hint="eastAsia" w:ascii="宋体" w:hAnsi="宋体"/>
          <w:kern w:val="0"/>
          <w:sz w:val="24"/>
        </w:rPr>
        <w:t>响应书</w:t>
      </w:r>
      <w:r>
        <w:rPr>
          <w:rFonts w:ascii="宋体" w:hAnsi="宋体"/>
          <w:kern w:val="0"/>
          <w:sz w:val="24"/>
        </w:rPr>
        <w:t>”</w:t>
      </w:r>
      <w:r>
        <w:rPr>
          <w:rFonts w:hint="eastAsia" w:ascii="宋体" w:hAnsi="宋体"/>
          <w:kern w:val="0"/>
          <w:sz w:val="24"/>
        </w:rPr>
        <w:t>的</w:t>
      </w:r>
      <w:r>
        <w:rPr>
          <w:rFonts w:ascii="宋体" w:hAnsi="宋体"/>
          <w:kern w:val="0"/>
          <w:sz w:val="24"/>
        </w:rPr>
        <w:t>内容和签章的</w:t>
      </w:r>
      <w:r>
        <w:rPr>
          <w:rFonts w:hint="eastAsia" w:ascii="宋体" w:hAnsi="宋体"/>
          <w:kern w:val="0"/>
          <w:sz w:val="24"/>
        </w:rPr>
        <w:t>合格性</w:t>
      </w:r>
      <w:r>
        <w:rPr>
          <w:rFonts w:ascii="宋体" w:hAnsi="宋体"/>
          <w:kern w:val="0"/>
          <w:sz w:val="24"/>
        </w:rPr>
        <w:t>；“</w:t>
      </w:r>
      <w:r>
        <w:rPr>
          <w:rFonts w:hint="eastAsia" w:ascii="宋体" w:hAnsi="宋体"/>
          <w:kern w:val="0"/>
          <w:sz w:val="24"/>
        </w:rPr>
        <w:t>营业执照</w:t>
      </w:r>
      <w:r>
        <w:rPr>
          <w:rFonts w:ascii="宋体" w:hAnsi="宋体"/>
          <w:kern w:val="0"/>
          <w:sz w:val="24"/>
        </w:rPr>
        <w:t>”</w:t>
      </w:r>
      <w:r>
        <w:rPr>
          <w:rFonts w:hint="eastAsia" w:ascii="宋体" w:hAnsi="宋体"/>
          <w:kern w:val="0"/>
          <w:sz w:val="24"/>
        </w:rPr>
        <w:t>副本是否真实并加盖公章；</w:t>
      </w:r>
      <w:r>
        <w:rPr>
          <w:rFonts w:ascii="宋体" w:hAnsi="宋体"/>
          <w:kern w:val="0"/>
          <w:sz w:val="24"/>
        </w:rPr>
        <w:t>法人代表或供应商代表的</w:t>
      </w:r>
      <w:r>
        <w:rPr>
          <w:rFonts w:hint="eastAsia" w:ascii="宋体" w:hAnsi="宋体"/>
          <w:kern w:val="0"/>
          <w:sz w:val="24"/>
        </w:rPr>
        <w:t>合法性；响应</w:t>
      </w:r>
      <w:r>
        <w:rPr>
          <w:rFonts w:ascii="宋体" w:hAnsi="宋体"/>
          <w:kern w:val="0"/>
          <w:sz w:val="24"/>
        </w:rPr>
        <w:t>报价的</w:t>
      </w:r>
      <w:r>
        <w:rPr>
          <w:rFonts w:hint="eastAsia" w:ascii="宋体" w:hAnsi="宋体"/>
          <w:kern w:val="0"/>
          <w:sz w:val="24"/>
        </w:rPr>
        <w:t>完整性</w:t>
      </w:r>
      <w:r>
        <w:rPr>
          <w:rFonts w:ascii="宋体" w:hAnsi="宋体"/>
          <w:kern w:val="0"/>
          <w:sz w:val="24"/>
        </w:rPr>
        <w:t>。</w:t>
      </w:r>
    </w:p>
    <w:p w14:paraId="7A76B31F">
      <w:pPr>
        <w:spacing w:line="360" w:lineRule="auto"/>
        <w:ind w:firstLine="480" w:firstLineChars="200"/>
        <w:rPr>
          <w:rFonts w:ascii="宋体" w:hAnsi="宋体"/>
          <w:kern w:val="0"/>
          <w:sz w:val="24"/>
        </w:rPr>
      </w:pPr>
      <w:r>
        <w:rPr>
          <w:rFonts w:ascii="宋体" w:hAnsi="宋体"/>
          <w:kern w:val="0"/>
          <w:sz w:val="24"/>
        </w:rPr>
        <w:t>6</w:t>
      </w:r>
      <w:r>
        <w:rPr>
          <w:rFonts w:hint="eastAsia" w:ascii="宋体" w:hAnsi="宋体"/>
          <w:kern w:val="0"/>
          <w:sz w:val="24"/>
        </w:rPr>
        <w:t>.</w:t>
      </w:r>
      <w:r>
        <w:rPr>
          <w:rFonts w:ascii="宋体" w:hAnsi="宋体"/>
          <w:kern w:val="0"/>
          <w:sz w:val="24"/>
        </w:rPr>
        <w:t>2</w:t>
      </w:r>
      <w:r>
        <w:rPr>
          <w:rFonts w:hint="eastAsia" w:ascii="宋体" w:hAnsi="宋体"/>
          <w:kern w:val="0"/>
          <w:sz w:val="24"/>
        </w:rPr>
        <w:t>.2 资质</w:t>
      </w:r>
      <w:r>
        <w:rPr>
          <w:rFonts w:ascii="宋体" w:hAnsi="宋体"/>
          <w:kern w:val="0"/>
          <w:sz w:val="24"/>
        </w:rPr>
        <w:t>审查。资质审查</w:t>
      </w:r>
      <w:r>
        <w:rPr>
          <w:rFonts w:hint="eastAsia" w:ascii="宋体" w:hAnsi="宋体"/>
          <w:kern w:val="0"/>
          <w:sz w:val="24"/>
        </w:rPr>
        <w:t>是</w:t>
      </w:r>
      <w:r>
        <w:rPr>
          <w:rFonts w:ascii="宋体" w:hAnsi="宋体"/>
          <w:kern w:val="0"/>
          <w:sz w:val="24"/>
        </w:rPr>
        <w:t>对供应商资格和业绩合格性的审查，</w:t>
      </w:r>
      <w:r>
        <w:rPr>
          <w:rFonts w:hint="eastAsia" w:ascii="宋体" w:hAnsi="宋体"/>
          <w:kern w:val="0"/>
          <w:sz w:val="24"/>
        </w:rPr>
        <w:t>要求满足</w:t>
      </w:r>
      <w:r>
        <w:rPr>
          <w:rFonts w:ascii="宋体" w:hAnsi="宋体"/>
          <w:kern w:val="0"/>
          <w:sz w:val="24"/>
        </w:rPr>
        <w:t>“</w:t>
      </w:r>
      <w:r>
        <w:rPr>
          <w:rFonts w:hint="eastAsia" w:ascii="宋体" w:hAnsi="宋体"/>
          <w:kern w:val="0"/>
          <w:sz w:val="24"/>
        </w:rPr>
        <w:t>谈判采购公告</w:t>
      </w:r>
      <w:r>
        <w:rPr>
          <w:rFonts w:ascii="宋体" w:hAnsi="宋体"/>
          <w:kern w:val="0"/>
          <w:sz w:val="24"/>
        </w:rPr>
        <w:t>”</w:t>
      </w:r>
      <w:r>
        <w:rPr>
          <w:rFonts w:hint="eastAsia" w:ascii="宋体" w:hAnsi="宋体"/>
          <w:kern w:val="0"/>
          <w:sz w:val="24"/>
        </w:rPr>
        <w:t>中</w:t>
      </w:r>
      <w:r>
        <w:rPr>
          <w:rFonts w:ascii="宋体" w:hAnsi="宋体"/>
          <w:kern w:val="0"/>
          <w:sz w:val="24"/>
        </w:rPr>
        <w:t>供应商须具备的资格条件。</w:t>
      </w:r>
    </w:p>
    <w:p w14:paraId="7339F58C">
      <w:pPr>
        <w:spacing w:line="360" w:lineRule="auto"/>
        <w:ind w:firstLine="482" w:firstLineChars="200"/>
        <w:rPr>
          <w:rFonts w:ascii="宋体" w:hAnsi="宋体"/>
          <w:b/>
          <w:kern w:val="0"/>
          <w:sz w:val="24"/>
        </w:rPr>
      </w:pPr>
      <w:r>
        <w:rPr>
          <w:rFonts w:ascii="宋体" w:hAnsi="宋体"/>
          <w:b/>
          <w:kern w:val="0"/>
          <w:sz w:val="24"/>
        </w:rPr>
        <w:t>7.</w:t>
      </w:r>
      <w:r>
        <w:rPr>
          <w:rFonts w:hint="eastAsia" w:ascii="宋体" w:hAnsi="宋体"/>
          <w:b/>
          <w:kern w:val="0"/>
          <w:sz w:val="24"/>
        </w:rPr>
        <w:t>保密</w:t>
      </w:r>
    </w:p>
    <w:p w14:paraId="112ABF28">
      <w:pPr>
        <w:spacing w:line="360" w:lineRule="auto"/>
        <w:ind w:firstLine="480" w:firstLineChars="200"/>
        <w:rPr>
          <w:rFonts w:ascii="宋体" w:hAnsi="宋体"/>
          <w:kern w:val="0"/>
          <w:sz w:val="24"/>
        </w:rPr>
      </w:pPr>
      <w:r>
        <w:rPr>
          <w:rFonts w:ascii="宋体" w:hAnsi="宋体"/>
          <w:kern w:val="0"/>
          <w:sz w:val="24"/>
        </w:rPr>
        <w:t>7</w:t>
      </w:r>
      <w:r>
        <w:rPr>
          <w:rFonts w:hint="eastAsia" w:ascii="宋体" w:hAnsi="宋体"/>
          <w:kern w:val="0"/>
          <w:sz w:val="24"/>
        </w:rPr>
        <w:t>.1 供应商</w:t>
      </w:r>
      <w:r>
        <w:rPr>
          <w:rFonts w:ascii="宋体" w:hAnsi="宋体"/>
          <w:kern w:val="0"/>
          <w:sz w:val="24"/>
        </w:rPr>
        <w:t>不得以任何方式干扰采购人的</w:t>
      </w:r>
      <w:r>
        <w:rPr>
          <w:rFonts w:hint="eastAsia" w:ascii="宋体" w:hAnsi="宋体"/>
          <w:kern w:val="0"/>
          <w:sz w:val="24"/>
        </w:rPr>
        <w:t>谈判采购</w:t>
      </w:r>
      <w:r>
        <w:rPr>
          <w:rFonts w:ascii="宋体" w:hAnsi="宋体"/>
          <w:kern w:val="0"/>
          <w:sz w:val="24"/>
        </w:rPr>
        <w:t>活动，否则其</w:t>
      </w:r>
      <w:r>
        <w:rPr>
          <w:rFonts w:hint="eastAsia" w:ascii="宋体" w:hAnsi="宋体"/>
          <w:kern w:val="0"/>
          <w:sz w:val="24"/>
        </w:rPr>
        <w:t>谈判文件</w:t>
      </w:r>
      <w:r>
        <w:rPr>
          <w:rFonts w:ascii="宋体" w:hAnsi="宋体"/>
          <w:kern w:val="0"/>
          <w:sz w:val="24"/>
        </w:rPr>
        <w:t>无效并追究其法律责任。</w:t>
      </w:r>
    </w:p>
    <w:p w14:paraId="7589EF91">
      <w:pPr>
        <w:spacing w:line="360" w:lineRule="auto"/>
        <w:ind w:firstLine="482" w:firstLineChars="200"/>
        <w:rPr>
          <w:rFonts w:ascii="宋体" w:hAnsi="宋体"/>
          <w:b/>
          <w:kern w:val="0"/>
          <w:sz w:val="24"/>
        </w:rPr>
      </w:pPr>
      <w:r>
        <w:rPr>
          <w:rFonts w:hint="eastAsia" w:ascii="宋体" w:hAnsi="宋体"/>
          <w:b/>
          <w:kern w:val="0"/>
          <w:sz w:val="24"/>
        </w:rPr>
        <w:t>六</w:t>
      </w:r>
      <w:r>
        <w:rPr>
          <w:rFonts w:ascii="宋体" w:hAnsi="宋体"/>
          <w:b/>
          <w:kern w:val="0"/>
          <w:sz w:val="24"/>
        </w:rPr>
        <w:t>、授予合同</w:t>
      </w:r>
    </w:p>
    <w:p w14:paraId="0FD060A1">
      <w:pPr>
        <w:spacing w:line="360" w:lineRule="auto"/>
        <w:ind w:firstLine="482" w:firstLineChars="200"/>
        <w:rPr>
          <w:rFonts w:ascii="宋体" w:hAnsi="宋体"/>
          <w:b/>
          <w:kern w:val="0"/>
          <w:sz w:val="24"/>
        </w:rPr>
      </w:pPr>
      <w:r>
        <w:rPr>
          <w:rFonts w:ascii="宋体" w:hAnsi="宋体"/>
          <w:b/>
          <w:kern w:val="0"/>
          <w:sz w:val="24"/>
        </w:rPr>
        <w:t>1</w:t>
      </w:r>
      <w:r>
        <w:rPr>
          <w:rFonts w:hint="eastAsia" w:ascii="宋体" w:hAnsi="宋体"/>
          <w:b/>
          <w:kern w:val="0"/>
          <w:sz w:val="24"/>
        </w:rPr>
        <w:t>.成交</w:t>
      </w:r>
      <w:r>
        <w:rPr>
          <w:rFonts w:ascii="宋体" w:hAnsi="宋体"/>
          <w:b/>
          <w:kern w:val="0"/>
          <w:sz w:val="24"/>
        </w:rPr>
        <w:t>准则</w:t>
      </w:r>
    </w:p>
    <w:p w14:paraId="662F9EC0">
      <w:pPr>
        <w:spacing w:line="360" w:lineRule="auto"/>
        <w:ind w:firstLine="480" w:firstLineChars="200"/>
        <w:rPr>
          <w:rFonts w:ascii="宋体" w:hAnsi="宋体"/>
          <w:kern w:val="0"/>
          <w:sz w:val="24"/>
        </w:rPr>
      </w:pPr>
      <w:r>
        <w:rPr>
          <w:rFonts w:ascii="宋体" w:hAnsi="宋体"/>
          <w:kern w:val="0"/>
          <w:sz w:val="24"/>
        </w:rPr>
        <w:t>1</w:t>
      </w:r>
      <w:r>
        <w:rPr>
          <w:rFonts w:hint="eastAsia" w:ascii="宋体" w:hAnsi="宋体"/>
          <w:kern w:val="0"/>
          <w:sz w:val="24"/>
        </w:rPr>
        <w:t>.1 合同</w:t>
      </w:r>
      <w:r>
        <w:rPr>
          <w:rFonts w:ascii="宋体" w:hAnsi="宋体"/>
          <w:kern w:val="0"/>
          <w:sz w:val="24"/>
        </w:rPr>
        <w:t>将授予其</w:t>
      </w:r>
      <w:r>
        <w:rPr>
          <w:rFonts w:hint="eastAsia" w:ascii="宋体" w:hAnsi="宋体"/>
          <w:kern w:val="0"/>
          <w:sz w:val="24"/>
        </w:rPr>
        <w:t>响应</w:t>
      </w:r>
      <w:r>
        <w:rPr>
          <w:rFonts w:ascii="宋体" w:hAnsi="宋体"/>
          <w:kern w:val="0"/>
          <w:sz w:val="24"/>
        </w:rPr>
        <w:t>符合谈判文件要求、并能圆满地履行合同的、对采购人最为有利的</w:t>
      </w:r>
      <w:r>
        <w:rPr>
          <w:rFonts w:hint="eastAsia" w:ascii="宋体" w:hAnsi="宋体"/>
          <w:kern w:val="0"/>
          <w:sz w:val="24"/>
        </w:rPr>
        <w:t>综合</w:t>
      </w:r>
      <w:r>
        <w:rPr>
          <w:rFonts w:ascii="宋体" w:hAnsi="宋体"/>
          <w:kern w:val="0"/>
          <w:sz w:val="24"/>
        </w:rPr>
        <w:t>评分最高</w:t>
      </w:r>
      <w:r>
        <w:rPr>
          <w:rFonts w:hint="eastAsia" w:ascii="宋体" w:hAnsi="宋体"/>
          <w:kern w:val="0"/>
          <w:sz w:val="24"/>
        </w:rPr>
        <w:t>的</w:t>
      </w:r>
      <w:r>
        <w:rPr>
          <w:rFonts w:ascii="宋体" w:hAnsi="宋体"/>
          <w:kern w:val="0"/>
          <w:sz w:val="24"/>
        </w:rPr>
        <w:t>供应商。</w:t>
      </w:r>
    </w:p>
    <w:p w14:paraId="3A6307C6">
      <w:pPr>
        <w:spacing w:line="360" w:lineRule="auto"/>
        <w:ind w:firstLine="480" w:firstLineChars="200"/>
        <w:rPr>
          <w:rFonts w:ascii="宋体" w:hAnsi="宋体"/>
          <w:kern w:val="0"/>
          <w:sz w:val="24"/>
        </w:rPr>
      </w:pPr>
      <w:r>
        <w:rPr>
          <w:rFonts w:ascii="宋体" w:hAnsi="宋体"/>
          <w:kern w:val="0"/>
          <w:sz w:val="24"/>
        </w:rPr>
        <w:t xml:space="preserve">1.2 </w:t>
      </w:r>
      <w:r>
        <w:rPr>
          <w:rFonts w:hint="eastAsia" w:ascii="宋体" w:hAnsi="宋体"/>
          <w:kern w:val="0"/>
          <w:sz w:val="24"/>
        </w:rPr>
        <w:t>最低响应</w:t>
      </w:r>
      <w:r>
        <w:rPr>
          <w:rFonts w:ascii="宋体" w:hAnsi="宋体"/>
          <w:kern w:val="0"/>
          <w:sz w:val="24"/>
        </w:rPr>
        <w:t>报价不是被授予合同的</w:t>
      </w:r>
      <w:r>
        <w:rPr>
          <w:rFonts w:hint="eastAsia" w:ascii="宋体" w:hAnsi="宋体"/>
          <w:kern w:val="0"/>
          <w:sz w:val="24"/>
        </w:rPr>
        <w:t>唯一</w:t>
      </w:r>
      <w:r>
        <w:rPr>
          <w:rFonts w:ascii="宋体" w:hAnsi="宋体"/>
          <w:kern w:val="0"/>
          <w:sz w:val="24"/>
        </w:rPr>
        <w:t>条件。</w:t>
      </w:r>
    </w:p>
    <w:p w14:paraId="792AEB29">
      <w:pPr>
        <w:spacing w:line="360" w:lineRule="auto"/>
        <w:ind w:firstLine="480" w:firstLineChars="200"/>
        <w:rPr>
          <w:rFonts w:ascii="宋体" w:hAnsi="宋体"/>
          <w:kern w:val="0"/>
          <w:sz w:val="24"/>
        </w:rPr>
      </w:pPr>
      <w:r>
        <w:rPr>
          <w:rFonts w:ascii="宋体" w:hAnsi="宋体"/>
          <w:kern w:val="0"/>
          <w:sz w:val="24"/>
        </w:rPr>
        <w:t xml:space="preserve">1.3 </w:t>
      </w:r>
      <w:r>
        <w:rPr>
          <w:rFonts w:hint="eastAsia" w:ascii="宋体" w:hAnsi="宋体"/>
          <w:kern w:val="0"/>
          <w:sz w:val="24"/>
        </w:rPr>
        <w:t>《成交</w:t>
      </w:r>
      <w:r>
        <w:rPr>
          <w:rFonts w:ascii="宋体" w:hAnsi="宋体"/>
          <w:kern w:val="0"/>
          <w:sz w:val="24"/>
        </w:rPr>
        <w:t>通知书</w:t>
      </w:r>
      <w:r>
        <w:rPr>
          <w:rFonts w:hint="eastAsia" w:ascii="宋体" w:hAnsi="宋体"/>
          <w:kern w:val="0"/>
          <w:sz w:val="24"/>
        </w:rPr>
        <w:t>》生效</w:t>
      </w:r>
      <w:r>
        <w:rPr>
          <w:rFonts w:ascii="宋体" w:hAnsi="宋体"/>
          <w:kern w:val="0"/>
          <w:sz w:val="24"/>
        </w:rPr>
        <w:t>后，如果已中</w:t>
      </w:r>
      <w:r>
        <w:rPr>
          <w:rFonts w:hint="eastAsia" w:ascii="宋体" w:hAnsi="宋体"/>
          <w:kern w:val="0"/>
          <w:sz w:val="24"/>
        </w:rPr>
        <w:t>选</w:t>
      </w:r>
      <w:r>
        <w:rPr>
          <w:rFonts w:ascii="宋体" w:hAnsi="宋体"/>
          <w:kern w:val="0"/>
          <w:sz w:val="24"/>
        </w:rPr>
        <w:t>的供应商不能按</w:t>
      </w:r>
      <w:r>
        <w:rPr>
          <w:rFonts w:hint="eastAsia" w:ascii="宋体" w:hAnsi="宋体"/>
          <w:kern w:val="0"/>
          <w:sz w:val="24"/>
        </w:rPr>
        <w:t>谈判文件</w:t>
      </w:r>
      <w:r>
        <w:rPr>
          <w:rFonts w:ascii="宋体" w:hAnsi="宋体"/>
          <w:kern w:val="0"/>
          <w:sz w:val="24"/>
        </w:rPr>
        <w:t>中</w:t>
      </w:r>
      <w:r>
        <w:rPr>
          <w:rFonts w:hint="eastAsia" w:ascii="宋体" w:hAnsi="宋体"/>
          <w:kern w:val="0"/>
          <w:sz w:val="24"/>
        </w:rPr>
        <w:t>承诺</w:t>
      </w:r>
      <w:r>
        <w:rPr>
          <w:rFonts w:ascii="宋体" w:hAnsi="宋体"/>
          <w:kern w:val="0"/>
          <w:sz w:val="24"/>
        </w:rPr>
        <w:t>的条件履行签约行为，采购人有权在</w:t>
      </w:r>
      <w:r>
        <w:rPr>
          <w:rFonts w:hint="eastAsia" w:ascii="宋体" w:hAnsi="宋体"/>
          <w:kern w:val="0"/>
          <w:sz w:val="24"/>
        </w:rPr>
        <w:t>评审</w:t>
      </w:r>
      <w:r>
        <w:rPr>
          <w:rFonts w:ascii="宋体" w:hAnsi="宋体"/>
          <w:kern w:val="0"/>
          <w:sz w:val="24"/>
        </w:rPr>
        <w:t>小组推荐的合格的供应商</w:t>
      </w:r>
      <w:r>
        <w:rPr>
          <w:rFonts w:hint="eastAsia" w:ascii="宋体" w:hAnsi="宋体"/>
          <w:kern w:val="0"/>
          <w:sz w:val="24"/>
        </w:rPr>
        <w:t>名单</w:t>
      </w:r>
      <w:r>
        <w:rPr>
          <w:rFonts w:ascii="宋体" w:hAnsi="宋体"/>
          <w:kern w:val="0"/>
          <w:sz w:val="24"/>
        </w:rPr>
        <w:t>中选择新的合同</w:t>
      </w:r>
      <w:r>
        <w:rPr>
          <w:rFonts w:hint="eastAsia" w:ascii="宋体" w:hAnsi="宋体"/>
          <w:kern w:val="0"/>
          <w:sz w:val="24"/>
        </w:rPr>
        <w:t>授予</w:t>
      </w:r>
      <w:r>
        <w:rPr>
          <w:rFonts w:ascii="宋体" w:hAnsi="宋体"/>
          <w:kern w:val="0"/>
          <w:sz w:val="24"/>
        </w:rPr>
        <w:t>人。</w:t>
      </w:r>
    </w:p>
    <w:p w14:paraId="430DE1DC">
      <w:pPr>
        <w:spacing w:line="360" w:lineRule="auto"/>
        <w:ind w:firstLine="482" w:firstLineChars="200"/>
        <w:rPr>
          <w:rFonts w:ascii="宋体" w:hAnsi="宋体"/>
          <w:b/>
          <w:kern w:val="0"/>
          <w:sz w:val="24"/>
        </w:rPr>
      </w:pPr>
      <w:r>
        <w:rPr>
          <w:rFonts w:ascii="宋体" w:hAnsi="宋体"/>
          <w:b/>
          <w:kern w:val="0"/>
          <w:sz w:val="24"/>
        </w:rPr>
        <w:t>2.</w:t>
      </w:r>
      <w:r>
        <w:rPr>
          <w:rFonts w:hint="eastAsia" w:ascii="宋体" w:hAnsi="宋体"/>
          <w:b/>
          <w:kern w:val="0"/>
          <w:sz w:val="24"/>
        </w:rPr>
        <w:t>成交</w:t>
      </w:r>
      <w:r>
        <w:rPr>
          <w:rFonts w:ascii="宋体" w:hAnsi="宋体"/>
          <w:b/>
          <w:kern w:val="0"/>
          <w:sz w:val="24"/>
        </w:rPr>
        <w:t>通知</w:t>
      </w:r>
    </w:p>
    <w:p w14:paraId="4E7D4C99">
      <w:pPr>
        <w:spacing w:line="360" w:lineRule="auto"/>
        <w:ind w:firstLine="480" w:firstLineChars="200"/>
        <w:rPr>
          <w:rFonts w:ascii="宋体" w:hAnsi="宋体"/>
          <w:kern w:val="0"/>
          <w:sz w:val="24"/>
        </w:rPr>
      </w:pPr>
      <w:r>
        <w:rPr>
          <w:rFonts w:ascii="宋体" w:hAnsi="宋体"/>
          <w:kern w:val="0"/>
          <w:sz w:val="24"/>
        </w:rPr>
        <w:t>2</w:t>
      </w:r>
      <w:r>
        <w:rPr>
          <w:rFonts w:hint="eastAsia" w:ascii="宋体" w:hAnsi="宋体"/>
          <w:kern w:val="0"/>
          <w:sz w:val="24"/>
        </w:rPr>
        <w:t>.1 通过评审</w:t>
      </w:r>
      <w:r>
        <w:rPr>
          <w:rFonts w:ascii="宋体" w:hAnsi="宋体"/>
          <w:kern w:val="0"/>
          <w:sz w:val="24"/>
        </w:rPr>
        <w:t>，确定</w:t>
      </w:r>
      <w:r>
        <w:rPr>
          <w:rFonts w:hint="eastAsia" w:ascii="宋体" w:hAnsi="宋体"/>
          <w:kern w:val="0"/>
          <w:sz w:val="24"/>
        </w:rPr>
        <w:t>成交人</w:t>
      </w:r>
      <w:r>
        <w:rPr>
          <w:rFonts w:ascii="宋体" w:hAnsi="宋体"/>
          <w:kern w:val="0"/>
          <w:sz w:val="24"/>
        </w:rPr>
        <w:t>后，采购人将以书面形式发出《</w:t>
      </w:r>
      <w:r>
        <w:rPr>
          <w:rFonts w:hint="eastAsia" w:ascii="宋体" w:hAnsi="宋体"/>
          <w:kern w:val="0"/>
          <w:sz w:val="24"/>
        </w:rPr>
        <w:t>成交通知书</w:t>
      </w:r>
      <w:r>
        <w:rPr>
          <w:rFonts w:ascii="宋体" w:hAnsi="宋体"/>
          <w:kern w:val="0"/>
          <w:sz w:val="24"/>
        </w:rPr>
        <w:t>》</w:t>
      </w:r>
      <w:r>
        <w:rPr>
          <w:rFonts w:hint="eastAsia" w:ascii="宋体" w:hAnsi="宋体"/>
          <w:kern w:val="0"/>
          <w:sz w:val="24"/>
        </w:rPr>
        <w:t>。</w:t>
      </w:r>
    </w:p>
    <w:p w14:paraId="0B0F6FA5">
      <w:pPr>
        <w:spacing w:line="360" w:lineRule="auto"/>
        <w:ind w:firstLine="480" w:firstLineChars="200"/>
        <w:rPr>
          <w:rFonts w:ascii="宋体" w:hAnsi="宋体"/>
          <w:kern w:val="0"/>
          <w:sz w:val="24"/>
        </w:rPr>
      </w:pPr>
      <w:r>
        <w:rPr>
          <w:rFonts w:ascii="宋体" w:hAnsi="宋体"/>
          <w:kern w:val="0"/>
          <w:sz w:val="24"/>
        </w:rPr>
        <w:t xml:space="preserve">2.2 </w:t>
      </w:r>
      <w:r>
        <w:rPr>
          <w:rFonts w:hint="eastAsia" w:ascii="宋体" w:hAnsi="宋体"/>
          <w:kern w:val="0"/>
          <w:sz w:val="24"/>
        </w:rPr>
        <w:t>《成交通知书》将</w:t>
      </w:r>
      <w:r>
        <w:rPr>
          <w:rFonts w:ascii="宋体" w:hAnsi="宋体"/>
          <w:kern w:val="0"/>
          <w:sz w:val="24"/>
        </w:rPr>
        <w:t>作为签订合同的依据。</w:t>
      </w:r>
    </w:p>
    <w:p w14:paraId="5723C0BE">
      <w:pPr>
        <w:spacing w:line="360" w:lineRule="auto"/>
        <w:ind w:firstLine="480" w:firstLineChars="200"/>
        <w:rPr>
          <w:rFonts w:ascii="宋体" w:hAnsi="宋体"/>
          <w:kern w:val="0"/>
          <w:sz w:val="24"/>
        </w:rPr>
      </w:pPr>
      <w:r>
        <w:rPr>
          <w:rFonts w:ascii="宋体" w:hAnsi="宋体"/>
          <w:kern w:val="0"/>
          <w:sz w:val="24"/>
        </w:rPr>
        <w:t xml:space="preserve">2.3 </w:t>
      </w:r>
      <w:r>
        <w:rPr>
          <w:rFonts w:hint="eastAsia" w:ascii="宋体" w:hAnsi="宋体"/>
          <w:kern w:val="0"/>
          <w:sz w:val="24"/>
        </w:rPr>
        <w:t>对</w:t>
      </w:r>
      <w:r>
        <w:rPr>
          <w:rFonts w:ascii="宋体" w:hAnsi="宋体"/>
          <w:kern w:val="0"/>
          <w:sz w:val="24"/>
        </w:rPr>
        <w:t>未中</w:t>
      </w:r>
      <w:r>
        <w:rPr>
          <w:rFonts w:hint="eastAsia" w:ascii="宋体" w:hAnsi="宋体"/>
          <w:kern w:val="0"/>
          <w:sz w:val="24"/>
        </w:rPr>
        <w:t>选</w:t>
      </w:r>
      <w:r>
        <w:rPr>
          <w:rFonts w:ascii="宋体" w:hAnsi="宋体"/>
          <w:kern w:val="0"/>
          <w:sz w:val="24"/>
        </w:rPr>
        <w:t>者，采购人不对未中</w:t>
      </w:r>
      <w:r>
        <w:rPr>
          <w:rFonts w:hint="eastAsia" w:ascii="宋体" w:hAnsi="宋体"/>
          <w:kern w:val="0"/>
          <w:sz w:val="24"/>
        </w:rPr>
        <w:t>选</w:t>
      </w:r>
      <w:r>
        <w:rPr>
          <w:rFonts w:ascii="宋体" w:hAnsi="宋体"/>
          <w:kern w:val="0"/>
          <w:sz w:val="24"/>
        </w:rPr>
        <w:t>原因</w:t>
      </w:r>
      <w:r>
        <w:rPr>
          <w:rFonts w:hint="eastAsia" w:ascii="宋体" w:hAnsi="宋体"/>
          <w:kern w:val="0"/>
          <w:sz w:val="24"/>
        </w:rPr>
        <w:t>做出</w:t>
      </w:r>
      <w:r>
        <w:rPr>
          <w:rFonts w:ascii="宋体" w:hAnsi="宋体"/>
          <w:kern w:val="0"/>
          <w:sz w:val="24"/>
        </w:rPr>
        <w:t>解释</w:t>
      </w:r>
      <w:r>
        <w:rPr>
          <w:rFonts w:hint="eastAsia" w:ascii="宋体" w:hAnsi="宋体"/>
          <w:kern w:val="0"/>
          <w:sz w:val="24"/>
        </w:rPr>
        <w:t>，</w:t>
      </w:r>
      <w:r>
        <w:rPr>
          <w:rFonts w:ascii="宋体" w:hAnsi="宋体"/>
          <w:kern w:val="0"/>
          <w:sz w:val="24"/>
        </w:rPr>
        <w:t>同时亦不退还</w:t>
      </w:r>
      <w:r>
        <w:rPr>
          <w:rFonts w:hint="eastAsia" w:ascii="宋体" w:hAnsi="宋体"/>
          <w:kern w:val="0"/>
          <w:sz w:val="24"/>
        </w:rPr>
        <w:t>谈判文件</w:t>
      </w:r>
      <w:r>
        <w:rPr>
          <w:rFonts w:ascii="宋体" w:hAnsi="宋体"/>
          <w:kern w:val="0"/>
          <w:sz w:val="24"/>
        </w:rPr>
        <w:t>。</w:t>
      </w:r>
    </w:p>
    <w:p w14:paraId="35BC710C">
      <w:pPr>
        <w:spacing w:line="360" w:lineRule="auto"/>
        <w:ind w:firstLine="482" w:firstLineChars="200"/>
        <w:rPr>
          <w:rFonts w:ascii="宋体" w:hAnsi="宋体"/>
          <w:b/>
          <w:kern w:val="0"/>
          <w:sz w:val="24"/>
        </w:rPr>
      </w:pPr>
      <w:r>
        <w:rPr>
          <w:rFonts w:ascii="宋体" w:hAnsi="宋体"/>
          <w:b/>
          <w:kern w:val="0"/>
          <w:sz w:val="24"/>
        </w:rPr>
        <w:t>3.</w:t>
      </w:r>
      <w:r>
        <w:rPr>
          <w:rFonts w:hint="eastAsia" w:ascii="宋体" w:hAnsi="宋体"/>
          <w:b/>
          <w:kern w:val="0"/>
          <w:sz w:val="24"/>
        </w:rPr>
        <w:t>授予</w:t>
      </w:r>
      <w:r>
        <w:rPr>
          <w:rFonts w:ascii="宋体" w:hAnsi="宋体"/>
          <w:b/>
          <w:kern w:val="0"/>
          <w:sz w:val="24"/>
        </w:rPr>
        <w:t>合同时变更数量的权力</w:t>
      </w:r>
    </w:p>
    <w:p w14:paraId="722DBB08">
      <w:pPr>
        <w:spacing w:line="360" w:lineRule="auto"/>
        <w:ind w:firstLine="480" w:firstLineChars="200"/>
        <w:rPr>
          <w:rFonts w:ascii="宋体" w:hAnsi="宋体"/>
          <w:kern w:val="0"/>
          <w:sz w:val="24"/>
        </w:rPr>
      </w:pPr>
      <w:r>
        <w:rPr>
          <w:rFonts w:ascii="宋体" w:hAnsi="宋体"/>
          <w:kern w:val="0"/>
          <w:sz w:val="24"/>
        </w:rPr>
        <w:t xml:space="preserve">3.1 </w:t>
      </w:r>
      <w:r>
        <w:rPr>
          <w:rFonts w:hint="eastAsia" w:ascii="宋体" w:hAnsi="宋体"/>
          <w:kern w:val="0"/>
          <w:sz w:val="24"/>
        </w:rPr>
        <w:t>采购人</w:t>
      </w:r>
      <w:r>
        <w:rPr>
          <w:rFonts w:ascii="宋体" w:hAnsi="宋体"/>
          <w:kern w:val="0"/>
          <w:sz w:val="24"/>
        </w:rPr>
        <w:t>在授予合同时有权对谈判文件中规定的服务数量、</w:t>
      </w:r>
      <w:r>
        <w:rPr>
          <w:rFonts w:hint="eastAsia" w:ascii="宋体" w:hAnsi="宋体"/>
          <w:kern w:val="0"/>
          <w:sz w:val="24"/>
        </w:rPr>
        <w:t>内容</w:t>
      </w:r>
      <w:r>
        <w:rPr>
          <w:rFonts w:ascii="宋体" w:hAnsi="宋体"/>
          <w:kern w:val="0"/>
          <w:sz w:val="24"/>
        </w:rPr>
        <w:t>予以增加或减少，或根据</w:t>
      </w:r>
      <w:r>
        <w:rPr>
          <w:rFonts w:hint="eastAsia" w:ascii="宋体" w:hAnsi="宋体"/>
          <w:kern w:val="0"/>
          <w:sz w:val="24"/>
        </w:rPr>
        <w:t>谈判文件</w:t>
      </w:r>
      <w:r>
        <w:rPr>
          <w:rFonts w:ascii="宋体" w:hAnsi="宋体"/>
          <w:kern w:val="0"/>
          <w:sz w:val="24"/>
        </w:rPr>
        <w:t>做具体补充。</w:t>
      </w:r>
    </w:p>
    <w:p w14:paraId="71833B27">
      <w:pPr>
        <w:spacing w:line="360" w:lineRule="auto"/>
        <w:ind w:firstLine="482" w:firstLineChars="200"/>
        <w:rPr>
          <w:rFonts w:ascii="宋体" w:hAnsi="宋体"/>
          <w:b/>
          <w:kern w:val="0"/>
          <w:sz w:val="24"/>
        </w:rPr>
      </w:pPr>
      <w:r>
        <w:rPr>
          <w:rFonts w:ascii="宋体" w:hAnsi="宋体"/>
          <w:b/>
          <w:kern w:val="0"/>
          <w:sz w:val="24"/>
        </w:rPr>
        <w:t>4.</w:t>
      </w:r>
      <w:r>
        <w:rPr>
          <w:rFonts w:hint="eastAsia" w:ascii="宋体" w:hAnsi="宋体"/>
          <w:b/>
          <w:kern w:val="0"/>
          <w:sz w:val="24"/>
        </w:rPr>
        <w:t>签订</w:t>
      </w:r>
      <w:r>
        <w:rPr>
          <w:rFonts w:ascii="宋体" w:hAnsi="宋体"/>
          <w:b/>
          <w:kern w:val="0"/>
          <w:sz w:val="24"/>
        </w:rPr>
        <w:t>合同</w:t>
      </w:r>
    </w:p>
    <w:p w14:paraId="58C28EB1">
      <w:pPr>
        <w:spacing w:line="360" w:lineRule="auto"/>
        <w:ind w:firstLine="480" w:firstLineChars="200"/>
        <w:rPr>
          <w:rFonts w:ascii="宋体" w:hAnsi="宋体"/>
          <w:kern w:val="0"/>
          <w:sz w:val="24"/>
        </w:rPr>
      </w:pPr>
      <w:r>
        <w:rPr>
          <w:rFonts w:ascii="宋体" w:hAnsi="宋体"/>
          <w:kern w:val="0"/>
          <w:sz w:val="24"/>
        </w:rPr>
        <w:t>4</w:t>
      </w:r>
      <w:r>
        <w:rPr>
          <w:rFonts w:hint="eastAsia" w:ascii="宋体" w:hAnsi="宋体"/>
          <w:kern w:val="0"/>
          <w:sz w:val="24"/>
        </w:rPr>
        <w:t>.1</w:t>
      </w:r>
      <w:bookmarkStart w:id="86" w:name="OLE_LINK6"/>
      <w:bookmarkStart w:id="87" w:name="OLE_LINK5"/>
      <w:r>
        <w:rPr>
          <w:rFonts w:hint="eastAsia" w:ascii="宋体" w:hAnsi="宋体"/>
          <w:kern w:val="0"/>
          <w:sz w:val="24"/>
        </w:rPr>
        <w:t>成交人</w:t>
      </w:r>
      <w:r>
        <w:rPr>
          <w:rFonts w:ascii="宋体" w:hAnsi="宋体"/>
          <w:sz w:val="24"/>
        </w:rPr>
        <w:t>与采购人应在</w:t>
      </w:r>
      <w:r>
        <w:rPr>
          <w:rFonts w:hint="eastAsia" w:ascii="宋体" w:hAnsi="宋体"/>
          <w:sz w:val="24"/>
        </w:rPr>
        <w:t>成交</w:t>
      </w:r>
      <w:r>
        <w:rPr>
          <w:rFonts w:ascii="宋体" w:hAnsi="宋体"/>
          <w:sz w:val="24"/>
        </w:rPr>
        <w:t>通知书发出后</w:t>
      </w:r>
      <w:r>
        <w:rPr>
          <w:rFonts w:hint="eastAsia" w:ascii="宋体" w:hAnsi="宋体"/>
          <w:color w:val="0070C0"/>
          <w:sz w:val="24"/>
        </w:rPr>
        <w:t>15</w:t>
      </w:r>
      <w:r>
        <w:rPr>
          <w:rFonts w:ascii="宋体" w:hAnsi="宋体"/>
          <w:color w:val="0070C0"/>
          <w:sz w:val="24"/>
        </w:rPr>
        <w:t>日</w:t>
      </w:r>
      <w:r>
        <w:rPr>
          <w:rFonts w:ascii="宋体" w:hAnsi="宋体"/>
          <w:sz w:val="24"/>
        </w:rPr>
        <w:t>内签订</w:t>
      </w:r>
      <w:r>
        <w:rPr>
          <w:rFonts w:hint="eastAsia" w:ascii="宋体" w:hAnsi="宋体"/>
          <w:sz w:val="24"/>
        </w:rPr>
        <w:t>书面</w:t>
      </w:r>
      <w:r>
        <w:rPr>
          <w:rFonts w:ascii="宋体" w:hAnsi="宋体"/>
          <w:sz w:val="24"/>
        </w:rPr>
        <w:t>合同</w:t>
      </w:r>
      <w:bookmarkEnd w:id="86"/>
      <w:bookmarkEnd w:id="87"/>
      <w:r>
        <w:rPr>
          <w:rFonts w:ascii="宋体" w:hAnsi="宋体"/>
          <w:kern w:val="0"/>
          <w:sz w:val="24"/>
        </w:rPr>
        <w:t>。</w:t>
      </w:r>
    </w:p>
    <w:p w14:paraId="7EF367BC">
      <w:pPr>
        <w:spacing w:line="360" w:lineRule="auto"/>
        <w:ind w:firstLine="480" w:firstLineChars="200"/>
        <w:rPr>
          <w:rFonts w:ascii="宋体" w:hAnsi="宋体"/>
          <w:kern w:val="0"/>
          <w:sz w:val="24"/>
        </w:rPr>
      </w:pPr>
      <w:r>
        <w:rPr>
          <w:rFonts w:ascii="宋体" w:hAnsi="宋体"/>
          <w:kern w:val="0"/>
          <w:sz w:val="24"/>
        </w:rPr>
        <w:t>4</w:t>
      </w:r>
      <w:r>
        <w:rPr>
          <w:rFonts w:hint="eastAsia" w:ascii="宋体" w:hAnsi="宋体"/>
          <w:kern w:val="0"/>
          <w:sz w:val="24"/>
        </w:rPr>
        <w:t>.2</w:t>
      </w:r>
      <w:r>
        <w:rPr>
          <w:rFonts w:ascii="宋体" w:hAnsi="宋体"/>
          <w:kern w:val="0"/>
          <w:sz w:val="24"/>
        </w:rPr>
        <w:t xml:space="preserve"> </w:t>
      </w:r>
      <w:r>
        <w:rPr>
          <w:rFonts w:hint="eastAsia" w:ascii="宋体" w:hAnsi="宋体"/>
          <w:sz w:val="24"/>
        </w:rPr>
        <w:t>签订合同的具体事项不仅限于谈判文件的相关内容和事项。</w:t>
      </w:r>
    </w:p>
    <w:p w14:paraId="30BABB74">
      <w:pPr>
        <w:widowControl/>
        <w:jc w:val="left"/>
        <w:rPr>
          <w:rFonts w:ascii="宋体" w:hAnsi="宋体"/>
          <w:kern w:val="0"/>
          <w:sz w:val="28"/>
          <w:szCs w:val="28"/>
        </w:rPr>
      </w:pPr>
      <w:r>
        <w:rPr>
          <w:rFonts w:ascii="宋体" w:hAnsi="宋体"/>
          <w:kern w:val="0"/>
          <w:sz w:val="24"/>
        </w:rPr>
        <w:t xml:space="preserve">    4.3</w:t>
      </w:r>
      <w:r>
        <w:rPr>
          <w:rFonts w:hint="eastAsia" w:ascii="宋体" w:hAnsi="宋体"/>
          <w:kern w:val="0"/>
          <w:sz w:val="24"/>
        </w:rPr>
        <w:t>《谈判文件》、成交人</w:t>
      </w:r>
      <w:r>
        <w:rPr>
          <w:rFonts w:ascii="宋体" w:hAnsi="宋体"/>
          <w:kern w:val="0"/>
          <w:sz w:val="24"/>
        </w:rPr>
        <w:t>的</w:t>
      </w:r>
      <w:r>
        <w:rPr>
          <w:rFonts w:hint="eastAsia" w:ascii="宋体" w:hAnsi="宋体"/>
          <w:kern w:val="0"/>
          <w:sz w:val="24"/>
        </w:rPr>
        <w:t>谈判文件</w:t>
      </w:r>
      <w:r>
        <w:rPr>
          <w:rFonts w:ascii="宋体" w:hAnsi="宋体"/>
          <w:kern w:val="0"/>
          <w:sz w:val="24"/>
        </w:rPr>
        <w:t>及双方确认的澄清文件等，均为有法律约束力的合同组成的一部分</w:t>
      </w:r>
      <w:r>
        <w:rPr>
          <w:rFonts w:ascii="宋体" w:hAnsi="宋体"/>
          <w:kern w:val="0"/>
          <w:sz w:val="28"/>
          <w:szCs w:val="28"/>
        </w:rPr>
        <w:t>。</w:t>
      </w:r>
    </w:p>
    <w:p w14:paraId="3A7D0CE0">
      <w:pPr>
        <w:widowControl/>
        <w:jc w:val="center"/>
        <w:rPr>
          <w:rFonts w:ascii="宋体" w:hAnsi="宋体"/>
          <w:kern w:val="0"/>
          <w:sz w:val="28"/>
          <w:szCs w:val="28"/>
        </w:rPr>
      </w:pPr>
    </w:p>
    <w:p w14:paraId="1FCA9528">
      <w:pPr>
        <w:widowControl/>
        <w:jc w:val="center"/>
        <w:rPr>
          <w:rFonts w:ascii="宋体" w:hAnsi="宋体"/>
          <w:kern w:val="0"/>
          <w:sz w:val="28"/>
          <w:szCs w:val="28"/>
        </w:rPr>
      </w:pPr>
    </w:p>
    <w:p w14:paraId="77455AC6">
      <w:pPr>
        <w:widowControl/>
        <w:jc w:val="center"/>
        <w:rPr>
          <w:rFonts w:ascii="宋体" w:hAnsi="宋体"/>
          <w:kern w:val="0"/>
          <w:sz w:val="28"/>
          <w:szCs w:val="28"/>
        </w:rPr>
      </w:pPr>
    </w:p>
    <w:p w14:paraId="3C5827FC">
      <w:pPr>
        <w:widowControl/>
        <w:jc w:val="center"/>
        <w:rPr>
          <w:rFonts w:ascii="宋体" w:hAnsi="宋体"/>
          <w:kern w:val="0"/>
          <w:sz w:val="28"/>
          <w:szCs w:val="28"/>
        </w:rPr>
      </w:pPr>
    </w:p>
    <w:p w14:paraId="6756E7FF">
      <w:pPr>
        <w:widowControl/>
        <w:jc w:val="center"/>
        <w:rPr>
          <w:rFonts w:ascii="宋体" w:hAnsi="宋体"/>
          <w:kern w:val="0"/>
          <w:sz w:val="28"/>
          <w:szCs w:val="28"/>
        </w:rPr>
      </w:pPr>
    </w:p>
    <w:p w14:paraId="1223834B">
      <w:pPr>
        <w:widowControl/>
        <w:jc w:val="center"/>
        <w:rPr>
          <w:rFonts w:ascii="宋体" w:hAnsi="宋体"/>
          <w:kern w:val="0"/>
          <w:sz w:val="28"/>
          <w:szCs w:val="28"/>
        </w:rPr>
      </w:pPr>
    </w:p>
    <w:p w14:paraId="618654BB">
      <w:pPr>
        <w:widowControl/>
        <w:jc w:val="center"/>
        <w:rPr>
          <w:rFonts w:ascii="宋体" w:hAnsi="宋体"/>
          <w:kern w:val="0"/>
          <w:sz w:val="28"/>
          <w:szCs w:val="28"/>
        </w:rPr>
      </w:pPr>
    </w:p>
    <w:p w14:paraId="5AE41E2D">
      <w:pPr>
        <w:widowControl/>
        <w:jc w:val="center"/>
        <w:rPr>
          <w:rFonts w:ascii="宋体" w:hAnsi="宋体"/>
          <w:kern w:val="0"/>
          <w:sz w:val="28"/>
          <w:szCs w:val="28"/>
        </w:rPr>
      </w:pPr>
    </w:p>
    <w:p w14:paraId="3688EDFF">
      <w:pPr>
        <w:widowControl/>
        <w:jc w:val="center"/>
        <w:rPr>
          <w:rFonts w:ascii="宋体" w:hAnsi="宋体"/>
          <w:kern w:val="0"/>
          <w:sz w:val="28"/>
          <w:szCs w:val="28"/>
        </w:rPr>
      </w:pPr>
    </w:p>
    <w:p w14:paraId="646A1E3F">
      <w:pPr>
        <w:widowControl/>
        <w:jc w:val="center"/>
        <w:rPr>
          <w:rFonts w:ascii="宋体" w:hAnsi="宋体"/>
          <w:kern w:val="0"/>
          <w:sz w:val="28"/>
          <w:szCs w:val="28"/>
        </w:rPr>
      </w:pPr>
    </w:p>
    <w:p w14:paraId="51D333A7">
      <w:pPr>
        <w:widowControl/>
        <w:jc w:val="center"/>
        <w:rPr>
          <w:rFonts w:ascii="宋体" w:hAnsi="宋体"/>
          <w:kern w:val="0"/>
          <w:sz w:val="28"/>
          <w:szCs w:val="28"/>
        </w:rPr>
      </w:pPr>
    </w:p>
    <w:p w14:paraId="503BCD6E">
      <w:pPr>
        <w:widowControl/>
        <w:jc w:val="center"/>
        <w:rPr>
          <w:rFonts w:ascii="宋体" w:hAnsi="宋体"/>
          <w:kern w:val="0"/>
          <w:sz w:val="28"/>
          <w:szCs w:val="28"/>
        </w:rPr>
      </w:pPr>
    </w:p>
    <w:p w14:paraId="15A90379">
      <w:pPr>
        <w:widowControl/>
        <w:jc w:val="center"/>
        <w:rPr>
          <w:rFonts w:ascii="宋体" w:hAnsi="宋体"/>
          <w:kern w:val="0"/>
          <w:sz w:val="28"/>
          <w:szCs w:val="28"/>
        </w:rPr>
      </w:pPr>
    </w:p>
    <w:p w14:paraId="0F671C92">
      <w:pPr>
        <w:widowControl/>
        <w:jc w:val="center"/>
        <w:rPr>
          <w:rFonts w:ascii="宋体" w:hAnsi="宋体"/>
          <w:kern w:val="0"/>
          <w:sz w:val="28"/>
          <w:szCs w:val="28"/>
        </w:rPr>
      </w:pPr>
    </w:p>
    <w:p w14:paraId="7FD9FF4E">
      <w:pPr>
        <w:widowControl/>
        <w:jc w:val="center"/>
        <w:rPr>
          <w:rFonts w:ascii="宋体" w:hAnsi="宋体"/>
          <w:kern w:val="0"/>
          <w:sz w:val="28"/>
          <w:szCs w:val="28"/>
        </w:rPr>
      </w:pPr>
    </w:p>
    <w:p w14:paraId="4D5E99A1">
      <w:pPr>
        <w:widowControl/>
        <w:jc w:val="center"/>
        <w:rPr>
          <w:rFonts w:ascii="宋体" w:hAnsi="宋体"/>
          <w:kern w:val="0"/>
          <w:sz w:val="28"/>
          <w:szCs w:val="28"/>
        </w:rPr>
      </w:pPr>
    </w:p>
    <w:p w14:paraId="7ADBA1DA">
      <w:pPr>
        <w:widowControl/>
        <w:jc w:val="center"/>
        <w:rPr>
          <w:rFonts w:ascii="宋体" w:hAnsi="宋体"/>
          <w:kern w:val="0"/>
          <w:sz w:val="28"/>
          <w:szCs w:val="28"/>
        </w:rPr>
      </w:pPr>
    </w:p>
    <w:p w14:paraId="1CAA115B">
      <w:pPr>
        <w:widowControl/>
        <w:jc w:val="center"/>
        <w:rPr>
          <w:rFonts w:ascii="宋体" w:hAnsi="宋体"/>
          <w:kern w:val="0"/>
          <w:sz w:val="28"/>
          <w:szCs w:val="28"/>
        </w:rPr>
      </w:pPr>
    </w:p>
    <w:p w14:paraId="695C893D">
      <w:pPr>
        <w:widowControl/>
        <w:jc w:val="center"/>
        <w:rPr>
          <w:rFonts w:ascii="宋体" w:hAnsi="宋体"/>
          <w:kern w:val="0"/>
          <w:sz w:val="28"/>
          <w:szCs w:val="28"/>
        </w:rPr>
      </w:pPr>
    </w:p>
    <w:p w14:paraId="5BC6495D">
      <w:pPr>
        <w:widowControl/>
        <w:rPr>
          <w:rFonts w:ascii="宋体" w:hAnsi="宋体"/>
          <w:kern w:val="0"/>
          <w:sz w:val="28"/>
          <w:szCs w:val="28"/>
        </w:rPr>
      </w:pPr>
    </w:p>
    <w:p w14:paraId="5F5FB521">
      <w:pPr>
        <w:pStyle w:val="2"/>
        <w:spacing w:before="240" w:beforeLines="100" w:after="360" w:afterLines="150" w:line="276" w:lineRule="auto"/>
        <w:jc w:val="center"/>
        <w:rPr>
          <w:rFonts w:ascii="宋体" w:hAnsi="宋体"/>
          <w:b w:val="0"/>
        </w:rPr>
      </w:pPr>
      <w:r>
        <w:rPr>
          <w:rFonts w:hint="eastAsia" w:ascii="宋体" w:hAnsi="宋体"/>
        </w:rPr>
        <w:t>第四章</w:t>
      </w:r>
      <w:r>
        <w:rPr>
          <w:rFonts w:ascii="宋体" w:hAnsi="宋体"/>
        </w:rPr>
        <w:t xml:space="preserve">  </w:t>
      </w:r>
      <w:r>
        <w:rPr>
          <w:rFonts w:hint="eastAsia" w:ascii="宋体" w:hAnsi="宋体"/>
        </w:rPr>
        <w:t>附件</w:t>
      </w:r>
      <w:r>
        <w:rPr>
          <w:rFonts w:ascii="宋体" w:hAnsi="宋体"/>
        </w:rPr>
        <w:t>—</w:t>
      </w:r>
      <w:r>
        <w:rPr>
          <w:rFonts w:hint="eastAsia" w:ascii="宋体" w:hAnsi="宋体"/>
        </w:rPr>
        <w:t>谈判文件</w:t>
      </w:r>
      <w:r>
        <w:rPr>
          <w:rFonts w:ascii="宋体" w:hAnsi="宋体"/>
        </w:rPr>
        <w:t>格式</w:t>
      </w:r>
    </w:p>
    <w:p w14:paraId="7B08C97D">
      <w:pPr>
        <w:rPr>
          <w:rFonts w:ascii="宋体" w:hAnsi="宋体"/>
          <w:b/>
          <w:kern w:val="0"/>
          <w:sz w:val="24"/>
        </w:rPr>
      </w:pPr>
    </w:p>
    <w:p w14:paraId="0F6A3386">
      <w:pPr>
        <w:ind w:firstLine="643" w:firstLineChars="200"/>
        <w:jc w:val="center"/>
        <w:rPr>
          <w:rFonts w:ascii="宋体" w:hAnsi="宋体"/>
          <w:b/>
          <w:kern w:val="0"/>
          <w:sz w:val="32"/>
        </w:rPr>
      </w:pPr>
      <w:r>
        <w:rPr>
          <w:rFonts w:hint="eastAsia" w:ascii="宋体" w:hAnsi="宋体"/>
          <w:b/>
          <w:kern w:val="0"/>
          <w:sz w:val="32"/>
        </w:rPr>
        <w:t>附件1 谈判响应书</w:t>
      </w:r>
    </w:p>
    <w:p w14:paraId="7075DC26">
      <w:pPr>
        <w:rPr>
          <w:rFonts w:ascii="宋体" w:hAnsi="宋体"/>
          <w:sz w:val="24"/>
        </w:rPr>
      </w:pPr>
    </w:p>
    <w:p w14:paraId="5029B8F2">
      <w:pPr>
        <w:rPr>
          <w:rFonts w:ascii="宋体" w:hAnsi="宋体"/>
          <w:sz w:val="24"/>
        </w:rPr>
      </w:pPr>
      <w:r>
        <w:rPr>
          <w:rFonts w:ascii="宋体" w:hAnsi="宋体"/>
          <w:sz w:val="24"/>
        </w:rPr>
        <w:t>致：</w:t>
      </w:r>
      <w:r>
        <w:rPr>
          <w:rFonts w:hint="eastAsia" w:ascii="宋体" w:hAnsi="宋体"/>
          <w:sz w:val="24"/>
          <w:u w:val="single"/>
        </w:rPr>
        <w:t>重庆天泽新材料有限公司</w:t>
      </w:r>
    </w:p>
    <w:p w14:paraId="5009DC29">
      <w:pPr>
        <w:rPr>
          <w:rFonts w:ascii="宋体" w:hAnsi="宋体"/>
          <w:sz w:val="24"/>
        </w:rPr>
      </w:pPr>
    </w:p>
    <w:p w14:paraId="152E672F">
      <w:pPr>
        <w:pStyle w:val="39"/>
        <w:rPr>
          <w:rFonts w:ascii="宋体" w:hAnsi="宋体"/>
          <w:color w:val="auto"/>
        </w:rPr>
      </w:pPr>
      <w:r>
        <w:rPr>
          <w:rFonts w:ascii="宋体" w:hAnsi="宋体"/>
          <w:color w:val="auto"/>
        </w:rPr>
        <w:t>根据贵方</w:t>
      </w:r>
      <w:r>
        <w:rPr>
          <w:rFonts w:hint="eastAsia" w:ascii="宋体" w:hAnsi="宋体"/>
          <w:color w:val="auto"/>
          <w:u w:val="single"/>
        </w:rPr>
        <w:t xml:space="preserve"> </w:t>
      </w:r>
      <w:r>
        <w:rPr>
          <w:rFonts w:ascii="宋体" w:hAnsi="宋体"/>
          <w:color w:val="auto"/>
          <w:kern w:val="0"/>
          <w:u w:val="single"/>
        </w:rPr>
        <w:t xml:space="preserve">        项目</w:t>
      </w:r>
      <w:r>
        <w:rPr>
          <w:rFonts w:hint="eastAsia" w:ascii="宋体" w:hAnsi="宋体"/>
          <w:color w:val="auto"/>
        </w:rPr>
        <w:t>谈判采购</w:t>
      </w:r>
      <w:r>
        <w:rPr>
          <w:rFonts w:ascii="宋体" w:hAnsi="宋体"/>
          <w:color w:val="auto"/>
        </w:rPr>
        <w:t>，</w:t>
      </w:r>
      <w:r>
        <w:rPr>
          <w:rFonts w:hint="eastAsia" w:ascii="宋体" w:hAnsi="宋体"/>
          <w:color w:val="auto"/>
        </w:rPr>
        <w:t>谈判文件</w:t>
      </w:r>
      <w:r>
        <w:rPr>
          <w:rFonts w:ascii="宋体" w:hAnsi="宋体"/>
          <w:color w:val="auto"/>
        </w:rPr>
        <w:t>签字人</w:t>
      </w:r>
      <w:r>
        <w:rPr>
          <w:rFonts w:ascii="宋体" w:hAnsi="宋体"/>
          <w:color w:val="auto"/>
          <w:u w:val="single"/>
        </w:rPr>
        <w:t xml:space="preserve"> （</w:t>
      </w:r>
      <w:r>
        <w:rPr>
          <w:rFonts w:ascii="宋体" w:hAnsi="宋体"/>
          <w:i/>
          <w:color w:val="auto"/>
          <w:u w:val="single"/>
        </w:rPr>
        <w:t>姓名、职务</w:t>
      </w:r>
      <w:r>
        <w:rPr>
          <w:rFonts w:ascii="宋体" w:hAnsi="宋体"/>
          <w:color w:val="auto"/>
          <w:u w:val="single"/>
        </w:rPr>
        <w:t xml:space="preserve">） </w:t>
      </w:r>
      <w:r>
        <w:rPr>
          <w:rFonts w:ascii="宋体" w:hAnsi="宋体"/>
          <w:color w:val="auto"/>
        </w:rPr>
        <w:t>经正式授权并代表</w:t>
      </w:r>
      <w:r>
        <w:rPr>
          <w:rFonts w:ascii="宋体" w:hAnsi="宋体"/>
          <w:color w:val="auto"/>
          <w:u w:val="single"/>
        </w:rPr>
        <w:t>（</w:t>
      </w:r>
      <w:r>
        <w:rPr>
          <w:rFonts w:ascii="宋体" w:hAnsi="宋体"/>
          <w:i/>
          <w:color w:val="auto"/>
          <w:u w:val="single"/>
        </w:rPr>
        <w:t>供应商名称、地址</w:t>
      </w:r>
      <w:r>
        <w:rPr>
          <w:rFonts w:ascii="宋体" w:hAnsi="宋体"/>
          <w:color w:val="auto"/>
          <w:u w:val="single"/>
        </w:rPr>
        <w:t xml:space="preserve">） </w:t>
      </w:r>
      <w:r>
        <w:rPr>
          <w:rFonts w:ascii="宋体" w:hAnsi="宋体"/>
          <w:color w:val="auto"/>
        </w:rPr>
        <w:t>提交下述</w:t>
      </w:r>
      <w:r>
        <w:rPr>
          <w:rFonts w:hint="eastAsia" w:ascii="宋体" w:hAnsi="宋体"/>
          <w:color w:val="auto"/>
        </w:rPr>
        <w:t>谈判文件</w:t>
      </w:r>
      <w:r>
        <w:rPr>
          <w:rFonts w:ascii="宋体" w:hAnsi="宋体"/>
          <w:color w:val="auto"/>
        </w:rPr>
        <w:t>正本一份、副本</w:t>
      </w:r>
      <w:r>
        <w:rPr>
          <w:rFonts w:hint="eastAsia" w:ascii="宋体" w:hAnsi="宋体"/>
          <w:color w:val="auto"/>
        </w:rPr>
        <w:t>一</w:t>
      </w:r>
      <w:r>
        <w:rPr>
          <w:rFonts w:ascii="宋体" w:hAnsi="宋体"/>
          <w:color w:val="auto"/>
        </w:rPr>
        <w:t>份</w:t>
      </w:r>
      <w:r>
        <w:rPr>
          <w:rFonts w:hint="eastAsia" w:ascii="宋体" w:hAnsi="宋体"/>
          <w:color w:val="auto"/>
        </w:rPr>
        <w:t>及</w:t>
      </w:r>
      <w:r>
        <w:rPr>
          <w:rFonts w:ascii="宋体" w:hAnsi="宋体"/>
          <w:color w:val="auto"/>
        </w:rPr>
        <w:t>电子文件一份</w:t>
      </w:r>
      <w:r>
        <w:rPr>
          <w:rFonts w:hint="eastAsia" w:ascii="宋体" w:hAnsi="宋体"/>
          <w:color w:val="auto"/>
        </w:rPr>
        <w:t>。</w:t>
      </w:r>
    </w:p>
    <w:p w14:paraId="66ADBFEC">
      <w:pPr>
        <w:pStyle w:val="39"/>
        <w:numPr>
          <w:ilvl w:val="0"/>
          <w:numId w:val="6"/>
        </w:numPr>
        <w:ind w:firstLineChars="0"/>
        <w:rPr>
          <w:rFonts w:ascii="宋体" w:hAnsi="宋体"/>
          <w:color w:val="auto"/>
        </w:rPr>
      </w:pPr>
      <w:r>
        <w:rPr>
          <w:rFonts w:hint="eastAsia" w:ascii="宋体" w:hAnsi="宋体"/>
          <w:color w:val="auto"/>
        </w:rPr>
        <w:t>供应商</w:t>
      </w:r>
      <w:r>
        <w:rPr>
          <w:rFonts w:ascii="宋体" w:hAnsi="宋体"/>
          <w:color w:val="auto"/>
        </w:rPr>
        <w:t>基本情况表</w:t>
      </w:r>
    </w:p>
    <w:p w14:paraId="50F4AADB">
      <w:pPr>
        <w:pStyle w:val="39"/>
        <w:numPr>
          <w:ilvl w:val="0"/>
          <w:numId w:val="6"/>
        </w:numPr>
        <w:ind w:firstLineChars="0"/>
        <w:rPr>
          <w:rFonts w:ascii="宋体" w:hAnsi="宋体"/>
          <w:color w:val="auto"/>
        </w:rPr>
      </w:pPr>
      <w:r>
        <w:rPr>
          <w:rFonts w:hint="eastAsia" w:ascii="宋体" w:hAnsi="宋体"/>
          <w:color w:val="auto"/>
        </w:rPr>
        <w:t>供应商</w:t>
      </w:r>
      <w:r>
        <w:rPr>
          <w:rFonts w:ascii="宋体" w:hAnsi="宋体"/>
          <w:color w:val="auto"/>
        </w:rPr>
        <w:t>资格证明文件</w:t>
      </w:r>
    </w:p>
    <w:p w14:paraId="5F439A1B">
      <w:pPr>
        <w:pStyle w:val="39"/>
        <w:numPr>
          <w:ilvl w:val="0"/>
          <w:numId w:val="6"/>
        </w:numPr>
        <w:ind w:firstLineChars="0"/>
        <w:rPr>
          <w:rFonts w:ascii="宋体" w:hAnsi="宋体"/>
          <w:color w:val="auto"/>
        </w:rPr>
      </w:pPr>
      <w:r>
        <w:rPr>
          <w:rFonts w:hint="eastAsia" w:ascii="宋体" w:hAnsi="宋体"/>
          <w:color w:val="auto"/>
        </w:rPr>
        <w:t>对</w:t>
      </w:r>
      <w:r>
        <w:rPr>
          <w:rFonts w:ascii="宋体" w:hAnsi="宋体"/>
          <w:color w:val="auto"/>
        </w:rPr>
        <w:t>谈判文件第三</w:t>
      </w:r>
      <w:r>
        <w:rPr>
          <w:rFonts w:hint="eastAsia" w:ascii="宋体" w:hAnsi="宋体"/>
          <w:color w:val="auto"/>
        </w:rPr>
        <w:t>章</w:t>
      </w:r>
      <w:r>
        <w:rPr>
          <w:rFonts w:ascii="宋体" w:hAnsi="宋体"/>
          <w:color w:val="auto"/>
        </w:rPr>
        <w:t>“</w:t>
      </w:r>
      <w:r>
        <w:rPr>
          <w:rFonts w:hint="eastAsia" w:ascii="宋体" w:hAnsi="宋体"/>
          <w:color w:val="auto"/>
        </w:rPr>
        <w:t>供应商须知</w:t>
      </w:r>
      <w:r>
        <w:rPr>
          <w:rFonts w:ascii="宋体" w:hAnsi="宋体"/>
          <w:color w:val="auto"/>
        </w:rPr>
        <w:t>”</w:t>
      </w:r>
      <w:r>
        <w:rPr>
          <w:rFonts w:hint="eastAsia" w:ascii="宋体" w:hAnsi="宋体"/>
          <w:color w:val="auto"/>
        </w:rPr>
        <w:t>的</w:t>
      </w:r>
      <w:r>
        <w:rPr>
          <w:rFonts w:ascii="宋体" w:hAnsi="宋体"/>
          <w:color w:val="auto"/>
        </w:rPr>
        <w:t>响应文件</w:t>
      </w:r>
    </w:p>
    <w:p w14:paraId="0D04E43E">
      <w:pPr>
        <w:pStyle w:val="39"/>
        <w:tabs>
          <w:tab w:val="left" w:pos="780"/>
        </w:tabs>
        <w:ind w:firstLine="0" w:firstLineChars="0"/>
        <w:rPr>
          <w:rFonts w:ascii="宋体" w:hAnsi="宋体"/>
          <w:color w:val="auto"/>
        </w:rPr>
      </w:pPr>
      <w:r>
        <w:rPr>
          <w:rFonts w:hint="eastAsia" w:ascii="宋体" w:hAnsi="宋体"/>
          <w:color w:val="auto"/>
        </w:rPr>
        <w:t>　　据此函</w:t>
      </w:r>
      <w:r>
        <w:rPr>
          <w:rFonts w:ascii="宋体" w:hAnsi="宋体"/>
          <w:color w:val="auto"/>
        </w:rPr>
        <w:t>，</w:t>
      </w:r>
      <w:r>
        <w:rPr>
          <w:rFonts w:hint="eastAsia" w:ascii="宋体" w:hAnsi="宋体"/>
          <w:color w:val="auto"/>
        </w:rPr>
        <w:t>签字</w:t>
      </w:r>
      <w:r>
        <w:rPr>
          <w:rFonts w:ascii="宋体" w:hAnsi="宋体"/>
          <w:color w:val="auto"/>
        </w:rPr>
        <w:t>代表宣布同意如下：</w:t>
      </w:r>
    </w:p>
    <w:p w14:paraId="798B5F53">
      <w:pPr>
        <w:pStyle w:val="39"/>
        <w:tabs>
          <w:tab w:val="left" w:pos="780"/>
        </w:tabs>
        <w:ind w:firstLineChars="0"/>
        <w:rPr>
          <w:rFonts w:ascii="宋体" w:hAnsi="宋体"/>
          <w:color w:val="auto"/>
        </w:rPr>
      </w:pPr>
      <w:r>
        <w:rPr>
          <w:rFonts w:hint="eastAsia" w:ascii="宋体" w:hAnsi="宋体"/>
          <w:color w:val="auto"/>
        </w:rPr>
        <w:t>1、</w:t>
      </w:r>
      <w:r>
        <w:rPr>
          <w:rFonts w:ascii="宋体" w:hAnsi="宋体"/>
          <w:color w:val="auto"/>
        </w:rPr>
        <w:t>按谈判文件要求提交服务方案。</w:t>
      </w:r>
    </w:p>
    <w:p w14:paraId="73DAFF5C">
      <w:pPr>
        <w:pStyle w:val="39"/>
        <w:tabs>
          <w:tab w:val="left" w:pos="780"/>
        </w:tabs>
        <w:ind w:firstLineChars="0"/>
        <w:rPr>
          <w:rFonts w:ascii="宋体" w:hAnsi="宋体"/>
          <w:color w:val="auto"/>
        </w:rPr>
      </w:pPr>
      <w:r>
        <w:rPr>
          <w:rFonts w:hint="eastAsia" w:ascii="宋体" w:hAnsi="宋体"/>
          <w:color w:val="auto"/>
        </w:rPr>
        <w:t>2、供应商</w:t>
      </w:r>
      <w:r>
        <w:rPr>
          <w:rFonts w:ascii="宋体" w:hAnsi="宋体"/>
          <w:color w:val="auto"/>
        </w:rPr>
        <w:t>已详细审查全部谈判文件，包括修改文件（</w:t>
      </w:r>
      <w:r>
        <w:rPr>
          <w:rFonts w:hint="eastAsia" w:ascii="宋体" w:hAnsi="宋体"/>
          <w:color w:val="auto"/>
        </w:rPr>
        <w:t>如有</w:t>
      </w:r>
      <w:r>
        <w:rPr>
          <w:rFonts w:ascii="宋体" w:hAnsi="宋体"/>
          <w:color w:val="auto"/>
        </w:rPr>
        <w:t>的话）</w:t>
      </w:r>
      <w:r>
        <w:rPr>
          <w:rFonts w:hint="eastAsia" w:ascii="宋体" w:hAnsi="宋体"/>
          <w:color w:val="auto"/>
        </w:rPr>
        <w:t>以及</w:t>
      </w:r>
      <w:r>
        <w:rPr>
          <w:rFonts w:ascii="宋体" w:hAnsi="宋体"/>
          <w:color w:val="auto"/>
        </w:rPr>
        <w:t>全部参考资料和有关附件。</w:t>
      </w:r>
      <w:r>
        <w:rPr>
          <w:rFonts w:hint="eastAsia" w:ascii="宋体" w:hAnsi="宋体"/>
          <w:color w:val="auto"/>
        </w:rPr>
        <w:t>我们完全</w:t>
      </w:r>
      <w:r>
        <w:rPr>
          <w:rFonts w:ascii="宋体" w:hAnsi="宋体"/>
          <w:color w:val="auto"/>
        </w:rPr>
        <w:t>理解并同意放弃对</w:t>
      </w:r>
      <w:r>
        <w:rPr>
          <w:rFonts w:hint="eastAsia" w:ascii="宋体" w:hAnsi="宋体"/>
          <w:color w:val="auto"/>
        </w:rPr>
        <w:t>这</w:t>
      </w:r>
      <w:r>
        <w:rPr>
          <w:rFonts w:ascii="宋体" w:hAnsi="宋体"/>
          <w:color w:val="auto"/>
        </w:rPr>
        <w:t>方面有不明</w:t>
      </w:r>
      <w:r>
        <w:rPr>
          <w:rFonts w:hint="eastAsia" w:ascii="宋体" w:hAnsi="宋体"/>
          <w:color w:val="auto"/>
        </w:rPr>
        <w:t>及</w:t>
      </w:r>
      <w:r>
        <w:rPr>
          <w:rFonts w:ascii="宋体" w:hAnsi="宋体"/>
          <w:color w:val="auto"/>
        </w:rPr>
        <w:t>误解的</w:t>
      </w:r>
      <w:r>
        <w:rPr>
          <w:rFonts w:hint="eastAsia" w:ascii="宋体" w:hAnsi="宋体"/>
          <w:color w:val="auto"/>
        </w:rPr>
        <w:t>权利</w:t>
      </w:r>
      <w:r>
        <w:rPr>
          <w:rFonts w:ascii="宋体" w:hAnsi="宋体"/>
          <w:color w:val="auto"/>
        </w:rPr>
        <w:t>。</w:t>
      </w:r>
    </w:p>
    <w:p w14:paraId="1587A60B">
      <w:pPr>
        <w:pStyle w:val="39"/>
        <w:numPr>
          <w:ilvl w:val="0"/>
          <w:numId w:val="7"/>
        </w:numPr>
        <w:tabs>
          <w:tab w:val="left" w:pos="780"/>
        </w:tabs>
        <w:ind w:firstLineChars="0"/>
        <w:rPr>
          <w:rFonts w:ascii="宋体" w:hAnsi="宋体"/>
          <w:color w:val="auto"/>
        </w:rPr>
      </w:pPr>
      <w:r>
        <w:rPr>
          <w:rFonts w:hint="eastAsia" w:ascii="宋体" w:hAnsi="宋体"/>
          <w:color w:val="auto"/>
        </w:rPr>
        <w:t>本谈判文件</w:t>
      </w:r>
      <w:r>
        <w:rPr>
          <w:rFonts w:ascii="宋体" w:hAnsi="宋体"/>
          <w:color w:val="auto"/>
        </w:rPr>
        <w:t>自</w:t>
      </w:r>
      <w:r>
        <w:rPr>
          <w:rFonts w:hint="eastAsia" w:ascii="宋体" w:hAnsi="宋体"/>
          <w:color w:val="auto"/>
        </w:rPr>
        <w:t>投递截止</w:t>
      </w:r>
      <w:r>
        <w:rPr>
          <w:rFonts w:ascii="宋体" w:hAnsi="宋体"/>
          <w:color w:val="auto"/>
        </w:rPr>
        <w:t>之日起</w:t>
      </w:r>
      <w:r>
        <w:rPr>
          <w:rFonts w:hint="eastAsia" w:ascii="宋体" w:hAnsi="宋体"/>
          <w:color w:val="auto"/>
        </w:rPr>
        <w:t>有效期</w:t>
      </w:r>
      <w:r>
        <w:rPr>
          <w:rFonts w:ascii="宋体" w:hAnsi="宋体"/>
          <w:color w:val="auto"/>
        </w:rPr>
        <w:t>为</w:t>
      </w:r>
      <w:r>
        <w:rPr>
          <w:rFonts w:hint="eastAsia" w:ascii="宋体" w:hAnsi="宋体"/>
          <w:color w:val="auto"/>
        </w:rPr>
        <w:t>90天</w:t>
      </w:r>
      <w:r>
        <w:rPr>
          <w:rFonts w:ascii="宋体" w:hAnsi="宋体"/>
          <w:color w:val="auto"/>
        </w:rPr>
        <w:t>。</w:t>
      </w:r>
    </w:p>
    <w:p w14:paraId="17560786">
      <w:pPr>
        <w:pStyle w:val="39"/>
        <w:tabs>
          <w:tab w:val="left" w:pos="780"/>
        </w:tabs>
        <w:ind w:firstLineChars="0"/>
        <w:rPr>
          <w:rFonts w:ascii="宋体" w:hAnsi="宋体"/>
          <w:color w:val="auto"/>
        </w:rPr>
      </w:pPr>
      <w:r>
        <w:rPr>
          <w:rFonts w:ascii="宋体" w:hAnsi="宋体"/>
          <w:color w:val="auto"/>
        </w:rPr>
        <w:t>4</w:t>
      </w:r>
      <w:r>
        <w:rPr>
          <w:rFonts w:hint="eastAsia" w:ascii="宋体" w:hAnsi="宋体"/>
          <w:color w:val="auto"/>
        </w:rPr>
        <w:t>、供应商已</w:t>
      </w:r>
      <w:r>
        <w:rPr>
          <w:rFonts w:ascii="宋体" w:hAnsi="宋体"/>
          <w:color w:val="auto"/>
        </w:rPr>
        <w:t>提供按照贵方可能要求的与其</w:t>
      </w:r>
      <w:r>
        <w:rPr>
          <w:rFonts w:hint="eastAsia" w:ascii="宋体" w:hAnsi="宋体"/>
          <w:color w:val="auto"/>
        </w:rPr>
        <w:t>谈判采购</w:t>
      </w:r>
      <w:r>
        <w:rPr>
          <w:rFonts w:ascii="宋体" w:hAnsi="宋体"/>
          <w:color w:val="auto"/>
        </w:rPr>
        <w:t>有关的一切数据或资料，完全理解贵方不一定接</w:t>
      </w:r>
      <w:r>
        <w:rPr>
          <w:rFonts w:hint="eastAsia" w:ascii="宋体" w:hAnsi="宋体"/>
          <w:color w:val="auto"/>
        </w:rPr>
        <w:t>受</w:t>
      </w:r>
      <w:r>
        <w:rPr>
          <w:rFonts w:ascii="宋体" w:hAnsi="宋体"/>
          <w:color w:val="auto"/>
        </w:rPr>
        <w:t>最低报价或收到的任何</w:t>
      </w:r>
      <w:r>
        <w:rPr>
          <w:rFonts w:hint="eastAsia" w:ascii="宋体" w:hAnsi="宋体"/>
          <w:color w:val="auto"/>
        </w:rPr>
        <w:t>谈判文件</w:t>
      </w:r>
      <w:r>
        <w:rPr>
          <w:rFonts w:ascii="宋体" w:hAnsi="宋体"/>
          <w:color w:val="auto"/>
        </w:rPr>
        <w:t>。</w:t>
      </w:r>
    </w:p>
    <w:p w14:paraId="370643A9">
      <w:pPr>
        <w:pStyle w:val="39"/>
        <w:tabs>
          <w:tab w:val="left" w:pos="780"/>
        </w:tabs>
        <w:ind w:firstLineChars="0"/>
        <w:rPr>
          <w:rFonts w:ascii="宋体" w:hAnsi="宋体"/>
          <w:color w:val="auto"/>
        </w:rPr>
      </w:pPr>
      <w:r>
        <w:rPr>
          <w:rFonts w:ascii="宋体" w:hAnsi="宋体"/>
          <w:color w:val="auto"/>
        </w:rPr>
        <w:t>5</w:t>
      </w:r>
      <w:r>
        <w:rPr>
          <w:rFonts w:hint="eastAsia" w:ascii="宋体" w:hAnsi="宋体"/>
          <w:color w:val="auto"/>
        </w:rPr>
        <w:t>、与</w:t>
      </w:r>
      <w:r>
        <w:rPr>
          <w:rFonts w:ascii="宋体" w:hAnsi="宋体"/>
          <w:color w:val="auto"/>
        </w:rPr>
        <w:t>本</w:t>
      </w:r>
      <w:r>
        <w:rPr>
          <w:rFonts w:hint="eastAsia" w:ascii="宋体" w:hAnsi="宋体"/>
          <w:color w:val="auto"/>
        </w:rPr>
        <w:t>谈判采购</w:t>
      </w:r>
      <w:r>
        <w:rPr>
          <w:rFonts w:ascii="宋体" w:hAnsi="宋体"/>
          <w:color w:val="auto"/>
        </w:rPr>
        <w:t>有关的一切正式往来通讯请寄：</w:t>
      </w:r>
    </w:p>
    <w:p w14:paraId="3791453A">
      <w:pPr>
        <w:pStyle w:val="39"/>
        <w:rPr>
          <w:rFonts w:ascii="宋体" w:hAnsi="宋体"/>
          <w:color w:val="auto"/>
        </w:rPr>
      </w:pPr>
      <w:r>
        <w:rPr>
          <w:rFonts w:ascii="宋体" w:hAnsi="宋体"/>
          <w:color w:val="auto"/>
        </w:rPr>
        <w:t>地    址：</w:t>
      </w:r>
      <w:r>
        <w:rPr>
          <w:rFonts w:ascii="宋体" w:hAnsi="宋体"/>
          <w:color w:val="auto"/>
          <w:u w:val="single"/>
        </w:rPr>
        <w:t xml:space="preserve">                     </w:t>
      </w:r>
      <w:r>
        <w:rPr>
          <w:rFonts w:ascii="宋体" w:hAnsi="宋体"/>
          <w:color w:val="auto"/>
        </w:rPr>
        <w:t>邮政编码：</w:t>
      </w:r>
      <w:r>
        <w:rPr>
          <w:rFonts w:ascii="宋体" w:hAnsi="宋体"/>
          <w:color w:val="auto"/>
          <w:u w:val="single"/>
        </w:rPr>
        <w:t xml:space="preserve">                      </w:t>
      </w:r>
    </w:p>
    <w:p w14:paraId="581F3810">
      <w:pPr>
        <w:pStyle w:val="39"/>
        <w:rPr>
          <w:rFonts w:ascii="宋体" w:hAnsi="宋体"/>
          <w:color w:val="auto"/>
        </w:rPr>
      </w:pPr>
      <w:r>
        <w:rPr>
          <w:rFonts w:ascii="宋体" w:hAnsi="宋体"/>
          <w:color w:val="auto"/>
        </w:rPr>
        <w:t>电话号码：</w:t>
      </w:r>
      <w:r>
        <w:rPr>
          <w:rFonts w:ascii="宋体" w:hAnsi="宋体"/>
          <w:color w:val="auto"/>
          <w:u w:val="single"/>
        </w:rPr>
        <w:t xml:space="preserve">                     </w:t>
      </w:r>
      <w:r>
        <w:rPr>
          <w:rFonts w:ascii="宋体" w:hAnsi="宋体"/>
          <w:color w:val="auto"/>
        </w:rPr>
        <w:t>传真号码：</w:t>
      </w:r>
      <w:r>
        <w:rPr>
          <w:rFonts w:ascii="宋体" w:hAnsi="宋体"/>
          <w:color w:val="auto"/>
          <w:u w:val="single"/>
        </w:rPr>
        <w:t xml:space="preserve">                      </w:t>
      </w:r>
    </w:p>
    <w:p w14:paraId="1813478A">
      <w:pPr>
        <w:pStyle w:val="39"/>
        <w:rPr>
          <w:rFonts w:ascii="宋体" w:hAnsi="宋体"/>
          <w:color w:val="auto"/>
        </w:rPr>
      </w:pPr>
      <w:r>
        <w:rPr>
          <w:rFonts w:ascii="宋体" w:hAnsi="宋体"/>
          <w:color w:val="auto"/>
        </w:rPr>
        <w:t>电子邮件：</w:t>
      </w:r>
      <w:r>
        <w:rPr>
          <w:rFonts w:ascii="宋体" w:hAnsi="宋体"/>
          <w:color w:val="auto"/>
          <w:u w:val="single"/>
        </w:rPr>
        <w:t xml:space="preserve">                             </w:t>
      </w:r>
    </w:p>
    <w:p w14:paraId="07212D2B">
      <w:pPr>
        <w:pStyle w:val="39"/>
        <w:spacing w:line="480" w:lineRule="auto"/>
        <w:ind w:firstLine="3120" w:firstLineChars="1300"/>
        <w:rPr>
          <w:rFonts w:ascii="宋体" w:hAnsi="宋体"/>
          <w:color w:val="auto"/>
        </w:rPr>
      </w:pPr>
      <w:r>
        <w:rPr>
          <w:rFonts w:ascii="宋体" w:hAnsi="宋体"/>
          <w:color w:val="auto"/>
        </w:rPr>
        <w:t xml:space="preserve">授权代表签字：                         </w:t>
      </w:r>
    </w:p>
    <w:p w14:paraId="25E0D710">
      <w:pPr>
        <w:pStyle w:val="39"/>
        <w:spacing w:line="480" w:lineRule="auto"/>
        <w:ind w:firstLine="3360" w:firstLineChars="1400"/>
        <w:rPr>
          <w:rFonts w:ascii="宋体" w:hAnsi="宋体"/>
          <w:color w:val="auto"/>
        </w:rPr>
      </w:pPr>
      <w:r>
        <w:rPr>
          <w:rFonts w:ascii="宋体" w:hAnsi="宋体"/>
          <w:color w:val="auto"/>
        </w:rPr>
        <w:t>供应商名称：              （加盖公章）</w:t>
      </w:r>
    </w:p>
    <w:p w14:paraId="59ED3107">
      <w:pPr>
        <w:pStyle w:val="39"/>
        <w:spacing w:line="480" w:lineRule="auto"/>
        <w:ind w:firstLine="6960" w:firstLineChars="2900"/>
        <w:rPr>
          <w:rFonts w:ascii="宋体" w:hAnsi="宋体"/>
          <w:color w:val="auto"/>
        </w:rPr>
      </w:pPr>
      <w:r>
        <w:rPr>
          <w:rFonts w:ascii="宋体" w:hAnsi="宋体"/>
          <w:color w:val="auto"/>
        </w:rPr>
        <w:t>日期：</w:t>
      </w:r>
      <w:r>
        <w:rPr>
          <w:rFonts w:hint="eastAsia" w:ascii="宋体" w:hAnsi="宋体"/>
          <w:color w:val="auto"/>
        </w:rPr>
        <w:t xml:space="preserve">  </w:t>
      </w:r>
    </w:p>
    <w:p w14:paraId="0B51F2E3">
      <w:pPr>
        <w:spacing w:line="480" w:lineRule="auto"/>
        <w:ind w:firstLine="7590" w:firstLineChars="2700"/>
        <w:rPr>
          <w:rFonts w:ascii="宋体" w:hAnsi="宋体"/>
          <w:b/>
          <w:kern w:val="0"/>
          <w:sz w:val="28"/>
          <w:szCs w:val="28"/>
        </w:rPr>
      </w:pPr>
      <w:r>
        <w:rPr>
          <w:rFonts w:ascii="宋体" w:hAnsi="宋体"/>
          <w:b/>
          <w:kern w:val="0"/>
          <w:sz w:val="28"/>
          <w:szCs w:val="28"/>
        </w:rPr>
        <w:br w:type="page"/>
      </w:r>
    </w:p>
    <w:p w14:paraId="28B59E65">
      <w:pPr>
        <w:pStyle w:val="39"/>
        <w:spacing w:line="480" w:lineRule="auto"/>
        <w:ind w:firstLine="643"/>
        <w:jc w:val="center"/>
        <w:rPr>
          <w:rFonts w:ascii="宋体" w:hAnsi="宋体"/>
          <w:b/>
          <w:color w:val="auto"/>
          <w:kern w:val="0"/>
          <w:sz w:val="32"/>
        </w:rPr>
      </w:pPr>
      <w:r>
        <w:rPr>
          <w:rFonts w:hint="eastAsia" w:ascii="宋体" w:hAnsi="宋体"/>
          <w:b/>
          <w:color w:val="auto"/>
          <w:kern w:val="0"/>
          <w:sz w:val="32"/>
        </w:rPr>
        <w:t>附件</w:t>
      </w:r>
      <w:r>
        <w:rPr>
          <w:rFonts w:ascii="宋体" w:hAnsi="宋体"/>
          <w:b/>
          <w:color w:val="auto"/>
          <w:kern w:val="0"/>
          <w:sz w:val="32"/>
        </w:rPr>
        <w:t xml:space="preserve">2  </w:t>
      </w:r>
      <w:r>
        <w:rPr>
          <w:rFonts w:hint="eastAsia" w:ascii="宋体" w:hAnsi="宋体"/>
          <w:b/>
          <w:color w:val="auto"/>
          <w:kern w:val="0"/>
          <w:sz w:val="32"/>
        </w:rPr>
        <w:t>法定代表人授权书</w:t>
      </w:r>
    </w:p>
    <w:p w14:paraId="5FF9B508">
      <w:pPr>
        <w:pStyle w:val="39"/>
        <w:spacing w:line="480" w:lineRule="auto"/>
        <w:ind w:firstLine="482"/>
        <w:jc w:val="center"/>
        <w:rPr>
          <w:rFonts w:ascii="宋体" w:hAnsi="宋体"/>
          <w:b/>
          <w:color w:val="auto"/>
          <w:kern w:val="0"/>
        </w:rPr>
      </w:pPr>
    </w:p>
    <w:p w14:paraId="1BE786CC">
      <w:pPr>
        <w:spacing w:line="480" w:lineRule="auto"/>
        <w:ind w:firstLine="480" w:firstLineChars="200"/>
        <w:jc w:val="left"/>
        <w:rPr>
          <w:rFonts w:ascii="宋体" w:hAnsi="宋体"/>
          <w:color w:val="000000"/>
          <w:sz w:val="24"/>
        </w:rPr>
      </w:pPr>
      <w:r>
        <w:rPr>
          <w:rFonts w:hint="eastAsia" w:ascii="宋体" w:hAnsi="宋体"/>
          <w:color w:val="000000"/>
          <w:sz w:val="24"/>
        </w:rPr>
        <w:t>本授权书声明：注册于</w:t>
      </w:r>
      <w:r>
        <w:rPr>
          <w:rFonts w:ascii="宋体" w:hAnsi="宋体"/>
          <w:color w:val="000000"/>
          <w:sz w:val="24"/>
          <w:u w:val="single"/>
        </w:rPr>
        <w:t xml:space="preserve">                     </w:t>
      </w:r>
      <w:r>
        <w:rPr>
          <w:rFonts w:hint="eastAsia" w:ascii="宋体" w:hAnsi="宋体"/>
          <w:color w:val="000000"/>
          <w:sz w:val="24"/>
        </w:rPr>
        <w:t>（</w:t>
      </w:r>
      <w:r>
        <w:rPr>
          <w:rFonts w:hint="eastAsia" w:ascii="宋体" w:hAnsi="宋体"/>
          <w:i/>
          <w:color w:val="000000"/>
          <w:sz w:val="24"/>
        </w:rPr>
        <w:t>供应商注册地址</w:t>
      </w:r>
      <w:r>
        <w:rPr>
          <w:rFonts w:hint="eastAsia" w:ascii="宋体" w:hAnsi="宋体"/>
          <w:color w:val="000000"/>
          <w:sz w:val="24"/>
        </w:rPr>
        <w:t>）的（</w:t>
      </w:r>
      <w:r>
        <w:rPr>
          <w:rFonts w:hint="eastAsia" w:ascii="宋体" w:hAnsi="宋体"/>
          <w:i/>
          <w:color w:val="000000"/>
          <w:sz w:val="24"/>
        </w:rPr>
        <w:t>供应商名称</w:t>
      </w:r>
      <w:r>
        <w:rPr>
          <w:rFonts w:hint="eastAsia" w:ascii="宋体" w:hAnsi="宋体"/>
          <w:color w:val="000000"/>
          <w:sz w:val="24"/>
        </w:rPr>
        <w:t>）</w:t>
      </w:r>
      <w:r>
        <w:rPr>
          <w:rFonts w:ascii="宋体" w:hAnsi="宋体"/>
          <w:color w:val="000000"/>
          <w:sz w:val="24"/>
          <w:u w:val="single"/>
        </w:rPr>
        <w:t xml:space="preserve">                       </w:t>
      </w:r>
      <w:r>
        <w:rPr>
          <w:rFonts w:hint="eastAsia" w:ascii="宋体" w:hAnsi="宋体"/>
          <w:color w:val="000000"/>
          <w:sz w:val="24"/>
        </w:rPr>
        <w:t>的（</w:t>
      </w:r>
      <w:r>
        <w:rPr>
          <w:rFonts w:hint="eastAsia" w:ascii="宋体" w:hAnsi="宋体"/>
          <w:i/>
          <w:color w:val="000000"/>
          <w:sz w:val="24"/>
        </w:rPr>
        <w:t>法定代表人姓名、职务</w:t>
      </w:r>
      <w:r>
        <w:rPr>
          <w:rFonts w:hint="eastAsia" w:ascii="宋体" w:hAnsi="宋体"/>
          <w:color w:val="000000"/>
          <w:sz w:val="24"/>
        </w:rPr>
        <w:t>）</w:t>
      </w:r>
      <w:r>
        <w:rPr>
          <w:rFonts w:ascii="宋体" w:hAnsi="宋体"/>
          <w:color w:val="000000"/>
          <w:sz w:val="24"/>
          <w:u w:val="single"/>
        </w:rPr>
        <w:t xml:space="preserve">         </w:t>
      </w:r>
      <w:r>
        <w:rPr>
          <w:rFonts w:hint="eastAsia" w:ascii="宋体" w:hAnsi="宋体"/>
          <w:color w:val="000000"/>
          <w:sz w:val="24"/>
        </w:rPr>
        <w:t>授权 （</w:t>
      </w:r>
      <w:r>
        <w:rPr>
          <w:rFonts w:hint="eastAsia" w:ascii="宋体" w:hAnsi="宋体"/>
          <w:i/>
          <w:color w:val="000000"/>
          <w:sz w:val="24"/>
        </w:rPr>
        <w:t>单位名称</w:t>
      </w:r>
      <w:r>
        <w:rPr>
          <w:rFonts w:hint="eastAsia" w:ascii="宋体" w:hAnsi="宋体"/>
          <w:color w:val="000000"/>
          <w:sz w:val="24"/>
        </w:rPr>
        <w:t>）</w:t>
      </w:r>
      <w:r>
        <w:rPr>
          <w:rFonts w:ascii="宋体" w:hAnsi="宋体"/>
          <w:color w:val="000000"/>
          <w:sz w:val="24"/>
          <w:u w:val="single"/>
        </w:rPr>
        <w:t xml:space="preserve">                           </w:t>
      </w:r>
      <w:r>
        <w:rPr>
          <w:rFonts w:hint="eastAsia" w:ascii="宋体" w:hAnsi="宋体"/>
          <w:color w:val="000000"/>
          <w:sz w:val="24"/>
        </w:rPr>
        <w:t>的</w:t>
      </w:r>
      <w:r>
        <w:rPr>
          <w:rFonts w:ascii="宋体" w:hAnsi="宋体"/>
          <w:color w:val="000000"/>
          <w:sz w:val="24"/>
          <w:u w:val="single"/>
        </w:rPr>
        <w:t xml:space="preserve">                      </w:t>
      </w:r>
      <w:r>
        <w:rPr>
          <w:rFonts w:hint="eastAsia" w:ascii="宋体" w:hAnsi="宋体"/>
          <w:color w:val="000000"/>
          <w:sz w:val="24"/>
        </w:rPr>
        <w:t>（</w:t>
      </w:r>
      <w:r>
        <w:rPr>
          <w:rFonts w:hint="eastAsia" w:ascii="宋体" w:hAnsi="宋体"/>
          <w:i/>
          <w:color w:val="000000"/>
          <w:sz w:val="24"/>
        </w:rPr>
        <w:t>被授权人的姓名、职务</w:t>
      </w:r>
      <w:r>
        <w:rPr>
          <w:rFonts w:hint="eastAsia" w:ascii="宋体" w:hAnsi="宋体"/>
          <w:color w:val="000000"/>
          <w:sz w:val="24"/>
        </w:rPr>
        <w:t>）为</w:t>
      </w:r>
      <w:r>
        <w:rPr>
          <w:rFonts w:ascii="宋体" w:hAnsi="宋体"/>
          <w:color w:val="000000"/>
          <w:sz w:val="24"/>
        </w:rPr>
        <w:t>(</w:t>
      </w:r>
      <w:r>
        <w:rPr>
          <w:rFonts w:hint="eastAsia" w:ascii="宋体" w:hAnsi="宋体"/>
          <w:i/>
          <w:color w:val="000000"/>
          <w:sz w:val="24"/>
        </w:rPr>
        <w:t>供应商名称</w:t>
      </w:r>
      <w:r>
        <w:rPr>
          <w:rFonts w:hint="eastAsia" w:ascii="宋体" w:hAnsi="宋体"/>
          <w:color w:val="000000"/>
          <w:sz w:val="24"/>
        </w:rPr>
        <w:t>）</w:t>
      </w:r>
      <w:r>
        <w:rPr>
          <w:rFonts w:ascii="宋体" w:hAnsi="宋体"/>
          <w:color w:val="000000"/>
          <w:sz w:val="24"/>
          <w:u w:val="single"/>
        </w:rPr>
        <w:t xml:space="preserve">                           </w:t>
      </w:r>
      <w:r>
        <w:rPr>
          <w:rFonts w:hint="eastAsia" w:ascii="宋体" w:hAnsi="宋体"/>
          <w:color w:val="000000"/>
          <w:sz w:val="24"/>
        </w:rPr>
        <w:t>的合法代理人，就</w:t>
      </w:r>
      <w:r>
        <w:rPr>
          <w:rFonts w:hint="eastAsia" w:ascii="宋体" w:hAnsi="宋体"/>
          <w:color w:val="000000"/>
          <w:kern w:val="0"/>
          <w:sz w:val="24"/>
          <w:u w:val="single"/>
        </w:rPr>
        <w:t xml:space="preserve">重庆天泽新材料有限公司                   </w:t>
      </w:r>
      <w:r>
        <w:rPr>
          <w:rFonts w:hint="eastAsia" w:ascii="宋体" w:hAnsi="宋体" w:cs="Arial"/>
          <w:color w:val="000000"/>
          <w:sz w:val="24"/>
        </w:rPr>
        <w:t>项目的</w:t>
      </w:r>
      <w:r>
        <w:rPr>
          <w:rFonts w:hint="eastAsia" w:ascii="宋体" w:hAnsi="宋体"/>
          <w:color w:val="000000"/>
          <w:sz w:val="24"/>
        </w:rPr>
        <w:t>谈判采购，以</w:t>
      </w:r>
      <w:r>
        <w:rPr>
          <w:rFonts w:ascii="宋体" w:hAnsi="宋体"/>
          <w:color w:val="000000"/>
          <w:sz w:val="24"/>
          <w:u w:val="single"/>
        </w:rPr>
        <w:t xml:space="preserve">                           </w:t>
      </w:r>
      <w:r>
        <w:rPr>
          <w:rFonts w:hint="eastAsia" w:ascii="宋体" w:hAnsi="宋体"/>
          <w:color w:val="000000"/>
          <w:sz w:val="24"/>
        </w:rPr>
        <w:t>（</w:t>
      </w:r>
      <w:r>
        <w:rPr>
          <w:rFonts w:hint="eastAsia" w:ascii="宋体" w:hAnsi="宋体"/>
          <w:i/>
          <w:color w:val="000000"/>
          <w:sz w:val="24"/>
        </w:rPr>
        <w:t>供应商名称</w:t>
      </w:r>
      <w:r>
        <w:rPr>
          <w:rFonts w:hint="eastAsia" w:ascii="宋体" w:hAnsi="宋体"/>
          <w:color w:val="000000"/>
          <w:sz w:val="24"/>
        </w:rPr>
        <w:t>）的名义处理一切与之有关的事务。被授权人无转委托权。</w:t>
      </w:r>
    </w:p>
    <w:p w14:paraId="2D7BB862">
      <w:pPr>
        <w:spacing w:line="480" w:lineRule="auto"/>
        <w:ind w:firstLine="480" w:firstLineChars="200"/>
        <w:rPr>
          <w:rFonts w:ascii="宋体" w:hAnsi="宋体"/>
          <w:color w:val="000000"/>
          <w:sz w:val="24"/>
        </w:rPr>
      </w:pPr>
      <w:r>
        <w:rPr>
          <w:rFonts w:hint="eastAsia" w:ascii="宋体" w:hAnsi="宋体"/>
          <w:color w:val="000000"/>
          <w:sz w:val="24"/>
        </w:rPr>
        <w:t>本授权书于</w:t>
      </w:r>
      <w:r>
        <w:rPr>
          <w:rFonts w:ascii="宋体" w:hAnsi="宋体"/>
          <w:color w:val="000000"/>
          <w:sz w:val="24"/>
          <w:u w:val="single"/>
        </w:rPr>
        <w:t xml:space="preserve">      </w:t>
      </w:r>
      <w:r>
        <w:rPr>
          <w:rFonts w:hint="eastAsia" w:ascii="宋体" w:hAnsi="宋体"/>
          <w:color w:val="000000"/>
          <w:sz w:val="24"/>
        </w:rPr>
        <w:t>年</w:t>
      </w:r>
      <w:r>
        <w:rPr>
          <w:rFonts w:ascii="宋体" w:hAnsi="宋体"/>
          <w:color w:val="000000"/>
          <w:sz w:val="24"/>
          <w:u w:val="single"/>
        </w:rPr>
        <w:t xml:space="preserve">      </w:t>
      </w:r>
      <w:r>
        <w:rPr>
          <w:rFonts w:hint="eastAsia" w:ascii="宋体" w:hAnsi="宋体"/>
          <w:color w:val="000000"/>
          <w:sz w:val="24"/>
        </w:rPr>
        <w:t>月</w:t>
      </w:r>
      <w:r>
        <w:rPr>
          <w:rFonts w:ascii="宋体" w:hAnsi="宋体"/>
          <w:color w:val="000000"/>
          <w:sz w:val="24"/>
          <w:u w:val="single"/>
        </w:rPr>
        <w:t xml:space="preserve">      </w:t>
      </w:r>
      <w:r>
        <w:rPr>
          <w:rFonts w:hint="eastAsia" w:ascii="宋体" w:hAnsi="宋体"/>
          <w:color w:val="000000"/>
          <w:sz w:val="24"/>
        </w:rPr>
        <w:t>日签字生效。</w:t>
      </w:r>
    </w:p>
    <w:p w14:paraId="659E5AB6">
      <w:pPr>
        <w:spacing w:line="480" w:lineRule="auto"/>
        <w:rPr>
          <w:rFonts w:ascii="宋体" w:hAnsi="宋体"/>
          <w:color w:val="000000"/>
          <w:sz w:val="24"/>
        </w:rPr>
      </w:pPr>
    </w:p>
    <w:p w14:paraId="51457E08">
      <w:pPr>
        <w:spacing w:line="480" w:lineRule="auto"/>
        <w:rPr>
          <w:rFonts w:ascii="宋体" w:hAnsi="宋体"/>
          <w:color w:val="000000"/>
          <w:sz w:val="24"/>
          <w:u w:val="single"/>
        </w:rPr>
      </w:pPr>
      <w:r>
        <w:rPr>
          <w:rFonts w:hint="eastAsia" w:ascii="宋体" w:hAnsi="宋体"/>
          <w:color w:val="000000"/>
          <w:sz w:val="24"/>
        </w:rPr>
        <w:t>法定代表人签字：</w:t>
      </w:r>
      <w:r>
        <w:rPr>
          <w:rFonts w:hint="eastAsia" w:ascii="宋体" w:hAnsi="宋体"/>
          <w:color w:val="000000"/>
          <w:sz w:val="24"/>
          <w:u w:val="single"/>
        </w:rPr>
        <w:t xml:space="preserve">                            </w:t>
      </w:r>
    </w:p>
    <w:p w14:paraId="28ACDABA">
      <w:pPr>
        <w:spacing w:line="480" w:lineRule="auto"/>
        <w:rPr>
          <w:rFonts w:ascii="宋体" w:hAnsi="宋体"/>
          <w:color w:val="000000"/>
          <w:sz w:val="24"/>
          <w:u w:val="single"/>
        </w:rPr>
      </w:pPr>
      <w:r>
        <w:rPr>
          <w:rFonts w:hint="eastAsia" w:ascii="宋体" w:hAnsi="宋体"/>
          <w:color w:val="000000"/>
          <w:sz w:val="24"/>
        </w:rPr>
        <w:t>被授权人签字：</w:t>
      </w:r>
      <w:r>
        <w:rPr>
          <w:rFonts w:hint="eastAsia" w:ascii="宋体" w:hAnsi="宋体"/>
          <w:color w:val="000000"/>
          <w:sz w:val="24"/>
          <w:u w:val="single"/>
        </w:rPr>
        <w:t xml:space="preserve">                              </w:t>
      </w:r>
    </w:p>
    <w:p w14:paraId="4D8C047D">
      <w:pPr>
        <w:rPr>
          <w:rFonts w:ascii="宋体" w:hAnsi="宋体"/>
          <w:color w:val="000000"/>
        </w:rPr>
      </w:pPr>
    </w:p>
    <w:p w14:paraId="62F40C46">
      <w:pPr>
        <w:spacing w:line="360" w:lineRule="auto"/>
        <w:rPr>
          <w:rFonts w:ascii="宋体" w:hAnsi="宋体"/>
          <w:color w:val="000000"/>
          <w:sz w:val="24"/>
        </w:rPr>
      </w:pPr>
      <w:r>
        <w:rPr>
          <w:rFonts w:hint="eastAsia" w:ascii="宋体" w:hAnsi="宋体"/>
          <w:color w:val="000000"/>
          <w:sz w:val="24"/>
        </w:rPr>
        <w:t>供应商名称：</w:t>
      </w:r>
      <w:r>
        <w:rPr>
          <w:rFonts w:hint="eastAsia" w:ascii="宋体" w:hAnsi="宋体"/>
          <w:color w:val="000000"/>
          <w:sz w:val="24"/>
          <w:u w:val="single"/>
        </w:rPr>
        <w:t xml:space="preserve">                       </w:t>
      </w:r>
      <w:r>
        <w:rPr>
          <w:rFonts w:hint="eastAsia" w:ascii="宋体" w:hAnsi="宋体"/>
          <w:color w:val="000000"/>
          <w:sz w:val="24"/>
        </w:rPr>
        <w:t>（盖章）</w:t>
      </w:r>
    </w:p>
    <w:p w14:paraId="7A294A42">
      <w:pPr>
        <w:spacing w:line="360" w:lineRule="auto"/>
        <w:rPr>
          <w:rFonts w:ascii="宋体" w:hAnsi="宋体"/>
          <w:color w:val="000000"/>
          <w:sz w:val="24"/>
        </w:rPr>
      </w:pPr>
    </w:p>
    <w:p w14:paraId="11A1AC7E">
      <w:pPr>
        <w:spacing w:line="360" w:lineRule="auto"/>
        <w:rPr>
          <w:rFonts w:ascii="宋体" w:hAnsi="宋体"/>
          <w:color w:val="000000"/>
          <w:sz w:val="18"/>
          <w:szCs w:val="18"/>
        </w:rPr>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cols w:space="720" w:num="1"/>
          <w:docGrid w:linePitch="312" w:charSpace="0"/>
        </w:sectPr>
      </w:pPr>
      <w:r>
        <w:rPr>
          <w:rFonts w:hint="eastAsia" w:ascii="宋体" w:hAnsi="宋体"/>
          <w:color w:val="000000"/>
          <w:sz w:val="24"/>
        </w:rPr>
        <w:t xml:space="preserve">日期：     年    月 </w:t>
      </w:r>
      <w:r>
        <w:rPr>
          <w:rFonts w:ascii="宋体" w:hAnsi="宋体"/>
          <w:color w:val="000000"/>
          <w:sz w:val="24"/>
        </w:rPr>
        <w:t xml:space="preserve">   </w:t>
      </w:r>
      <w:r>
        <w:rPr>
          <w:rFonts w:hint="eastAsia" w:ascii="宋体" w:hAnsi="宋体"/>
          <w:color w:val="000000"/>
          <w:sz w:val="24"/>
        </w:rPr>
        <w:t>日</w:t>
      </w:r>
    </w:p>
    <w:p w14:paraId="242E82F6">
      <w:pPr>
        <w:widowControl/>
        <w:jc w:val="center"/>
        <w:rPr>
          <w:rFonts w:ascii="宋体" w:hAnsi="宋体"/>
          <w:b/>
          <w:kern w:val="0"/>
          <w:sz w:val="32"/>
          <w:szCs w:val="28"/>
        </w:rPr>
      </w:pPr>
      <w:r>
        <w:rPr>
          <w:rFonts w:hint="eastAsia" w:ascii="宋体" w:hAnsi="宋体"/>
          <w:b/>
          <w:kern w:val="0"/>
          <w:sz w:val="32"/>
          <w:szCs w:val="28"/>
        </w:rPr>
        <w:t>附件</w:t>
      </w:r>
      <w:r>
        <w:rPr>
          <w:rFonts w:ascii="宋体" w:hAnsi="宋体"/>
          <w:b/>
          <w:kern w:val="0"/>
          <w:sz w:val="32"/>
          <w:szCs w:val="28"/>
        </w:rPr>
        <w:t xml:space="preserve">3 </w:t>
      </w:r>
      <w:r>
        <w:rPr>
          <w:rFonts w:hint="eastAsia" w:ascii="宋体" w:hAnsi="宋体"/>
          <w:b/>
          <w:kern w:val="0"/>
          <w:sz w:val="32"/>
          <w:szCs w:val="28"/>
        </w:rPr>
        <w:t>资格</w:t>
      </w:r>
      <w:r>
        <w:rPr>
          <w:rFonts w:ascii="宋体" w:hAnsi="宋体"/>
          <w:b/>
          <w:kern w:val="0"/>
          <w:sz w:val="32"/>
          <w:szCs w:val="28"/>
        </w:rPr>
        <w:t>证明文件</w:t>
      </w:r>
    </w:p>
    <w:p w14:paraId="19859EF7">
      <w:pPr>
        <w:widowControl/>
        <w:jc w:val="center"/>
        <w:rPr>
          <w:rFonts w:ascii="宋体" w:hAnsi="宋体"/>
          <w:sz w:val="24"/>
        </w:rPr>
      </w:pPr>
    </w:p>
    <w:p w14:paraId="132B4379">
      <w:pPr>
        <w:pStyle w:val="39"/>
        <w:ind w:firstLine="0" w:firstLineChars="0"/>
        <w:rPr>
          <w:rFonts w:ascii="宋体" w:hAnsi="宋体"/>
          <w:b/>
        </w:rPr>
      </w:pPr>
      <w:r>
        <w:rPr>
          <w:rFonts w:hint="eastAsia" w:ascii="宋体" w:hAnsi="宋体"/>
          <w:color w:val="auto"/>
        </w:rPr>
        <w:t>供应商提交</w:t>
      </w:r>
      <w:r>
        <w:rPr>
          <w:rFonts w:ascii="宋体" w:hAnsi="宋体"/>
          <w:color w:val="auto"/>
        </w:rPr>
        <w:t>下列</w:t>
      </w:r>
      <w:r>
        <w:rPr>
          <w:rFonts w:hint="eastAsia" w:ascii="宋体" w:hAnsi="宋体"/>
          <w:color w:val="auto"/>
        </w:rPr>
        <w:t>资格证明文件</w:t>
      </w:r>
    </w:p>
    <w:p w14:paraId="36FA2F97">
      <w:pPr>
        <w:rPr>
          <w:rFonts w:ascii="宋体" w:hAnsi="宋体"/>
          <w:sz w:val="24"/>
        </w:rPr>
      </w:pPr>
      <w:r>
        <w:rPr>
          <w:rFonts w:hint="eastAsia" w:ascii="宋体" w:hAnsi="宋体"/>
          <w:sz w:val="24"/>
        </w:rPr>
        <w:t>1.</w:t>
      </w:r>
      <w:r>
        <w:rPr>
          <w:rFonts w:hint="eastAsia" w:ascii="宋体" w:hAnsi="宋体"/>
          <w:sz w:val="24"/>
          <w:lang w:eastAsia="zh-CN"/>
        </w:rPr>
        <w:t>报价人</w:t>
      </w:r>
      <w:r>
        <w:rPr>
          <w:rFonts w:hint="eastAsia" w:ascii="宋体" w:hAnsi="宋体"/>
          <w:sz w:val="24"/>
        </w:rPr>
        <w:t>具备有效的营业执照，中国境内依法注册的独立法人并具有独立承</w:t>
      </w:r>
    </w:p>
    <w:p w14:paraId="756F31E3">
      <w:pPr>
        <w:rPr>
          <w:rFonts w:ascii="宋体" w:hAnsi="宋体"/>
          <w:sz w:val="24"/>
        </w:rPr>
      </w:pPr>
      <w:r>
        <w:rPr>
          <w:rFonts w:hint="eastAsia" w:ascii="宋体" w:hAnsi="宋体"/>
          <w:sz w:val="24"/>
        </w:rPr>
        <w:t>担民事责任的能力。</w:t>
      </w:r>
    </w:p>
    <w:p w14:paraId="41802763">
      <w:pPr>
        <w:rPr>
          <w:rFonts w:ascii="宋体" w:hAnsi="宋体"/>
          <w:sz w:val="24"/>
        </w:rPr>
      </w:pPr>
      <w:r>
        <w:rPr>
          <w:rFonts w:hint="eastAsia" w:ascii="宋体" w:hAnsi="宋体"/>
          <w:sz w:val="24"/>
        </w:rPr>
        <w:t>2.</w:t>
      </w:r>
      <w:r>
        <w:rPr>
          <w:rFonts w:hint="eastAsia" w:ascii="宋体" w:hAnsi="宋体"/>
          <w:sz w:val="24"/>
          <w:lang w:eastAsia="zh-CN"/>
        </w:rPr>
        <w:t>报价人</w:t>
      </w:r>
      <w:r>
        <w:rPr>
          <w:rFonts w:hint="eastAsia" w:ascii="宋体" w:hAnsi="宋体"/>
          <w:sz w:val="24"/>
        </w:rPr>
        <w:t>具备建设行政主管部门颁发的建筑机电安装工程专业承包叁级及</w:t>
      </w:r>
    </w:p>
    <w:p w14:paraId="504521B1">
      <w:pPr>
        <w:rPr>
          <w:rFonts w:ascii="宋体" w:hAnsi="宋体"/>
          <w:sz w:val="24"/>
        </w:rPr>
      </w:pPr>
      <w:r>
        <w:rPr>
          <w:rFonts w:hint="eastAsia" w:ascii="宋体" w:hAnsi="宋体"/>
          <w:sz w:val="24"/>
        </w:rPr>
        <w:t>以上资质。</w:t>
      </w:r>
    </w:p>
    <w:p w14:paraId="6585342E">
      <w:pPr>
        <w:rPr>
          <w:rFonts w:ascii="宋体" w:hAnsi="宋体"/>
          <w:sz w:val="24"/>
        </w:rPr>
      </w:pPr>
      <w:r>
        <w:rPr>
          <w:rFonts w:hint="eastAsia" w:ascii="宋体" w:hAnsi="宋体"/>
          <w:sz w:val="24"/>
        </w:rPr>
        <w:t>3.项目经理须已在竞标人单位注册，并具有机电工程专业二级及以上注册建</w:t>
      </w:r>
    </w:p>
    <w:p w14:paraId="3101CB0B">
      <w:pPr>
        <w:rPr>
          <w:rFonts w:ascii="宋体" w:hAnsi="宋体"/>
          <w:sz w:val="24"/>
        </w:rPr>
      </w:pPr>
      <w:r>
        <w:rPr>
          <w:rFonts w:hint="eastAsia" w:ascii="宋体" w:hAnsi="宋体"/>
          <w:sz w:val="24"/>
        </w:rPr>
        <w:t>造师执业资格证书。（项目经理应附执业资格证，竞标单位应至少提供缴纳的最</w:t>
      </w:r>
    </w:p>
    <w:p w14:paraId="1563FF2B">
      <w:pPr>
        <w:rPr>
          <w:rFonts w:ascii="宋体" w:hAnsi="宋体"/>
          <w:sz w:val="24"/>
        </w:rPr>
      </w:pPr>
      <w:r>
        <w:rPr>
          <w:rFonts w:hint="eastAsia" w:ascii="宋体" w:hAnsi="宋体"/>
          <w:sz w:val="24"/>
        </w:rPr>
        <w:t>近3个月社保证明复印件并加盖申请人单位公章。）</w:t>
      </w:r>
    </w:p>
    <w:p w14:paraId="1F5AFC21">
      <w:pPr>
        <w:rPr>
          <w:rFonts w:ascii="宋体" w:hAnsi="宋体"/>
          <w:sz w:val="24"/>
        </w:rPr>
      </w:pPr>
      <w:r>
        <w:rPr>
          <w:rFonts w:hint="eastAsia" w:ascii="宋体" w:hAnsi="宋体"/>
          <w:sz w:val="24"/>
        </w:rPr>
        <w:t>4.未被有关行政部门暂停投标资格，或被有关行政部门暂停投标资格期限未</w:t>
      </w:r>
    </w:p>
    <w:p w14:paraId="0EF4EFB2">
      <w:pPr>
        <w:rPr>
          <w:rFonts w:ascii="宋体" w:hAnsi="宋体"/>
          <w:sz w:val="24"/>
        </w:rPr>
      </w:pPr>
      <w:r>
        <w:rPr>
          <w:rFonts w:hint="eastAsia" w:ascii="宋体" w:hAnsi="宋体"/>
          <w:sz w:val="24"/>
        </w:rPr>
        <w:t>满，不得在近两年内申请人或其法定代表人有行贿犯罪行为和不得在国家企业信</w:t>
      </w:r>
    </w:p>
    <w:p w14:paraId="1F7FA279">
      <w:pPr>
        <w:rPr>
          <w:rFonts w:ascii="宋体" w:hAnsi="宋体"/>
          <w:sz w:val="24"/>
        </w:rPr>
      </w:pPr>
      <w:r>
        <w:rPr>
          <w:rFonts w:hint="eastAsia" w:ascii="宋体" w:hAnsi="宋体"/>
          <w:sz w:val="24"/>
        </w:rPr>
        <w:t>用信息公示系统“http://www.gsxt.gov.cn/index.html”列入严重违法企业失</w:t>
      </w:r>
    </w:p>
    <w:p w14:paraId="438D7C1A">
      <w:pPr>
        <w:rPr>
          <w:rFonts w:ascii="宋体" w:hAnsi="宋体"/>
          <w:sz w:val="24"/>
        </w:rPr>
      </w:pPr>
      <w:r>
        <w:rPr>
          <w:rFonts w:hint="eastAsia" w:ascii="宋体" w:hAnsi="宋体"/>
          <w:sz w:val="24"/>
        </w:rPr>
        <w:t>信名单。</w:t>
      </w:r>
    </w:p>
    <w:p w14:paraId="577A903B">
      <w:pPr>
        <w:rPr>
          <w:rFonts w:ascii="宋体" w:hAnsi="宋体"/>
          <w:sz w:val="24"/>
        </w:rPr>
      </w:pPr>
      <w:r>
        <w:rPr>
          <w:rFonts w:hint="eastAsia" w:ascii="宋体" w:hAnsi="宋体"/>
          <w:sz w:val="24"/>
        </w:rPr>
        <w:t>（申请人网上截图、并承诺无以上情形之一）</w:t>
      </w:r>
    </w:p>
    <w:p w14:paraId="55AD11D4">
      <w:pPr>
        <w:rPr>
          <w:rFonts w:ascii="宋体" w:hAnsi="宋体"/>
          <w:sz w:val="24"/>
        </w:rPr>
      </w:pPr>
      <w:r>
        <w:rPr>
          <w:rFonts w:ascii="宋体" w:hAnsi="宋体"/>
          <w:sz w:val="24"/>
        </w:rPr>
        <w:br w:type="page"/>
      </w:r>
    </w:p>
    <w:p w14:paraId="4316863A">
      <w:pPr>
        <w:widowControl/>
        <w:jc w:val="center"/>
        <w:rPr>
          <w:rFonts w:ascii="宋体" w:hAnsi="宋体"/>
          <w:b/>
          <w:kern w:val="0"/>
          <w:sz w:val="32"/>
          <w:szCs w:val="28"/>
        </w:rPr>
      </w:pPr>
      <w:r>
        <w:rPr>
          <w:rFonts w:hint="eastAsia" w:ascii="宋体" w:hAnsi="宋体"/>
          <w:b/>
          <w:kern w:val="0"/>
          <w:sz w:val="32"/>
          <w:szCs w:val="28"/>
        </w:rPr>
        <w:t>附件4  报价函</w:t>
      </w:r>
    </w:p>
    <w:p w14:paraId="4F769618">
      <w:pPr>
        <w:widowControl/>
        <w:jc w:val="center"/>
        <w:rPr>
          <w:rFonts w:ascii="宋体" w:hAnsi="宋体"/>
          <w:bCs/>
          <w:kern w:val="0"/>
          <w:sz w:val="28"/>
          <w:szCs w:val="28"/>
        </w:rPr>
      </w:pPr>
      <w:r>
        <w:rPr>
          <w:rFonts w:hint="eastAsia" w:ascii="宋体" w:hAnsi="宋体"/>
          <w:bCs/>
          <w:kern w:val="0"/>
          <w:sz w:val="28"/>
          <w:szCs w:val="28"/>
        </w:rPr>
        <w:t>格式自拟</w:t>
      </w:r>
    </w:p>
    <w:p w14:paraId="0D53E821">
      <w:pPr>
        <w:widowControl/>
        <w:jc w:val="center"/>
        <w:rPr>
          <w:rFonts w:ascii="宋体" w:hAnsi="宋体"/>
          <w:bCs/>
          <w:kern w:val="0"/>
          <w:sz w:val="28"/>
          <w:szCs w:val="28"/>
        </w:rPr>
      </w:pPr>
    </w:p>
    <w:p w14:paraId="1737AACF">
      <w:pPr>
        <w:widowControl/>
        <w:jc w:val="center"/>
        <w:rPr>
          <w:rFonts w:ascii="宋体" w:hAnsi="宋体"/>
          <w:bCs/>
          <w:kern w:val="0"/>
          <w:sz w:val="28"/>
          <w:szCs w:val="28"/>
        </w:rPr>
      </w:pPr>
    </w:p>
    <w:p w14:paraId="11E05113">
      <w:pPr>
        <w:widowControl/>
        <w:jc w:val="center"/>
        <w:rPr>
          <w:rFonts w:ascii="宋体" w:hAnsi="宋体"/>
          <w:bCs/>
          <w:kern w:val="0"/>
          <w:sz w:val="28"/>
          <w:szCs w:val="28"/>
        </w:rPr>
      </w:pPr>
    </w:p>
    <w:p w14:paraId="4FF34BFF">
      <w:pPr>
        <w:widowControl/>
        <w:jc w:val="center"/>
        <w:rPr>
          <w:rFonts w:ascii="宋体" w:hAnsi="宋体"/>
          <w:bCs/>
          <w:kern w:val="0"/>
          <w:sz w:val="28"/>
          <w:szCs w:val="28"/>
        </w:rPr>
      </w:pPr>
    </w:p>
    <w:p w14:paraId="2C16989A">
      <w:pPr>
        <w:widowControl/>
        <w:jc w:val="center"/>
        <w:rPr>
          <w:rFonts w:ascii="宋体" w:hAnsi="宋体"/>
          <w:bCs/>
          <w:kern w:val="0"/>
          <w:sz w:val="28"/>
          <w:szCs w:val="28"/>
        </w:rPr>
      </w:pPr>
    </w:p>
    <w:p w14:paraId="13A3CCD8">
      <w:pPr>
        <w:widowControl/>
        <w:jc w:val="center"/>
        <w:rPr>
          <w:rFonts w:ascii="宋体" w:hAnsi="宋体"/>
          <w:bCs/>
          <w:kern w:val="0"/>
          <w:sz w:val="28"/>
          <w:szCs w:val="28"/>
        </w:rPr>
      </w:pPr>
    </w:p>
    <w:p w14:paraId="695433F9">
      <w:pPr>
        <w:widowControl/>
        <w:jc w:val="center"/>
        <w:rPr>
          <w:rFonts w:ascii="宋体" w:hAnsi="宋体"/>
          <w:bCs/>
          <w:kern w:val="0"/>
          <w:sz w:val="28"/>
          <w:szCs w:val="28"/>
        </w:rPr>
      </w:pPr>
    </w:p>
    <w:p w14:paraId="2190D86C">
      <w:pPr>
        <w:widowControl/>
        <w:jc w:val="center"/>
        <w:rPr>
          <w:rFonts w:ascii="宋体" w:hAnsi="宋体"/>
          <w:bCs/>
          <w:kern w:val="0"/>
          <w:sz w:val="28"/>
          <w:szCs w:val="28"/>
        </w:rPr>
      </w:pPr>
    </w:p>
    <w:p w14:paraId="2C140DBB">
      <w:pPr>
        <w:widowControl/>
        <w:jc w:val="center"/>
        <w:rPr>
          <w:rFonts w:ascii="宋体" w:hAnsi="宋体"/>
          <w:bCs/>
          <w:kern w:val="0"/>
          <w:sz w:val="28"/>
          <w:szCs w:val="28"/>
        </w:rPr>
      </w:pPr>
    </w:p>
    <w:p w14:paraId="3C3992E6">
      <w:pPr>
        <w:widowControl/>
        <w:jc w:val="center"/>
        <w:rPr>
          <w:rFonts w:ascii="宋体" w:hAnsi="宋体"/>
          <w:bCs/>
          <w:kern w:val="0"/>
          <w:sz w:val="28"/>
          <w:szCs w:val="28"/>
        </w:rPr>
      </w:pPr>
    </w:p>
    <w:p w14:paraId="0BA0DA15">
      <w:pPr>
        <w:widowControl/>
        <w:jc w:val="center"/>
        <w:rPr>
          <w:rFonts w:ascii="宋体" w:hAnsi="宋体"/>
          <w:bCs/>
          <w:kern w:val="0"/>
          <w:sz w:val="28"/>
          <w:szCs w:val="28"/>
        </w:rPr>
      </w:pPr>
    </w:p>
    <w:p w14:paraId="00D622C8">
      <w:pPr>
        <w:widowControl/>
        <w:jc w:val="center"/>
        <w:rPr>
          <w:rFonts w:ascii="宋体" w:hAnsi="宋体"/>
          <w:bCs/>
          <w:kern w:val="0"/>
          <w:sz w:val="28"/>
          <w:szCs w:val="28"/>
        </w:rPr>
      </w:pPr>
    </w:p>
    <w:p w14:paraId="2A59DD4F">
      <w:pPr>
        <w:widowControl/>
        <w:jc w:val="center"/>
        <w:rPr>
          <w:rFonts w:ascii="宋体" w:hAnsi="宋体"/>
          <w:bCs/>
          <w:kern w:val="0"/>
          <w:sz w:val="28"/>
          <w:szCs w:val="28"/>
        </w:rPr>
      </w:pPr>
    </w:p>
    <w:p w14:paraId="203FB84F">
      <w:pPr>
        <w:widowControl/>
        <w:jc w:val="center"/>
        <w:rPr>
          <w:rFonts w:ascii="宋体" w:hAnsi="宋体"/>
          <w:bCs/>
          <w:kern w:val="0"/>
          <w:sz w:val="28"/>
          <w:szCs w:val="28"/>
        </w:rPr>
      </w:pPr>
    </w:p>
    <w:p w14:paraId="0A4576F9">
      <w:pPr>
        <w:widowControl/>
        <w:jc w:val="center"/>
        <w:rPr>
          <w:rFonts w:ascii="宋体" w:hAnsi="宋体"/>
          <w:bCs/>
          <w:kern w:val="0"/>
          <w:sz w:val="28"/>
          <w:szCs w:val="28"/>
        </w:rPr>
      </w:pPr>
    </w:p>
    <w:p w14:paraId="47E4951C">
      <w:pPr>
        <w:widowControl/>
        <w:jc w:val="center"/>
        <w:rPr>
          <w:rFonts w:ascii="宋体" w:hAnsi="宋体"/>
          <w:bCs/>
          <w:kern w:val="0"/>
          <w:sz w:val="28"/>
          <w:szCs w:val="28"/>
        </w:rPr>
      </w:pPr>
    </w:p>
    <w:p w14:paraId="794071FC">
      <w:pPr>
        <w:widowControl/>
        <w:jc w:val="center"/>
        <w:rPr>
          <w:rFonts w:ascii="宋体" w:hAnsi="宋体"/>
          <w:bCs/>
          <w:kern w:val="0"/>
          <w:sz w:val="28"/>
          <w:szCs w:val="28"/>
        </w:rPr>
      </w:pPr>
    </w:p>
    <w:p w14:paraId="3A08DFC4">
      <w:pPr>
        <w:widowControl/>
        <w:jc w:val="center"/>
        <w:rPr>
          <w:rFonts w:ascii="宋体" w:hAnsi="宋体"/>
          <w:bCs/>
          <w:kern w:val="0"/>
          <w:sz w:val="28"/>
          <w:szCs w:val="28"/>
        </w:rPr>
      </w:pPr>
    </w:p>
    <w:p w14:paraId="457AB43C">
      <w:pPr>
        <w:widowControl/>
        <w:jc w:val="center"/>
        <w:rPr>
          <w:rFonts w:ascii="宋体" w:hAnsi="宋体"/>
          <w:bCs/>
          <w:kern w:val="0"/>
          <w:sz w:val="28"/>
          <w:szCs w:val="28"/>
        </w:rPr>
      </w:pPr>
    </w:p>
    <w:p w14:paraId="5E86407C">
      <w:pPr>
        <w:widowControl/>
        <w:jc w:val="center"/>
        <w:rPr>
          <w:rFonts w:ascii="宋体" w:hAnsi="宋体"/>
          <w:bCs/>
          <w:kern w:val="0"/>
          <w:sz w:val="28"/>
          <w:szCs w:val="28"/>
        </w:rPr>
      </w:pPr>
    </w:p>
    <w:p w14:paraId="7064A5D8">
      <w:pPr>
        <w:pStyle w:val="2"/>
        <w:spacing w:before="312" w:beforeLines="100" w:after="468" w:afterLines="150" w:line="276" w:lineRule="auto"/>
        <w:jc w:val="center"/>
        <w:rPr>
          <w:rFonts w:ascii="宋体" w:hAnsi="宋体"/>
        </w:rPr>
      </w:pPr>
      <w:r>
        <w:rPr>
          <w:rFonts w:hint="eastAsia" w:ascii="宋体" w:hAnsi="宋体"/>
        </w:rPr>
        <w:t>第五章  合同模板</w:t>
      </w:r>
    </w:p>
    <w:p w14:paraId="2E98C357">
      <w:pPr>
        <w:jc w:val="left"/>
        <w:rPr>
          <w:rFonts w:eastAsia="仿宋_GB2312"/>
          <w:bCs/>
          <w:color w:val="000000"/>
          <w:sz w:val="32"/>
          <w:szCs w:val="32"/>
        </w:rPr>
      </w:pPr>
      <w:r>
        <w:rPr>
          <w:rFonts w:eastAsia="仿宋_GB2312"/>
          <w:bCs/>
          <w:color w:val="000000"/>
          <w:sz w:val="32"/>
          <w:szCs w:val="32"/>
        </w:rPr>
        <w:t>（GF—201</w:t>
      </w:r>
      <w:r>
        <w:rPr>
          <w:rFonts w:hint="eastAsia" w:eastAsia="仿宋_GB2312"/>
          <w:bCs/>
          <w:color w:val="000000"/>
          <w:sz w:val="32"/>
          <w:szCs w:val="32"/>
        </w:rPr>
        <w:t>7</w:t>
      </w:r>
      <w:r>
        <w:rPr>
          <w:rFonts w:eastAsia="仿宋_GB2312"/>
          <w:bCs/>
          <w:color w:val="000000"/>
          <w:sz w:val="32"/>
          <w:szCs w:val="32"/>
        </w:rPr>
        <w:t>—</w:t>
      </w:r>
      <w:r>
        <w:rPr>
          <w:rFonts w:hint="eastAsia" w:eastAsia="仿宋_GB2312"/>
          <w:bCs/>
          <w:color w:val="000000"/>
          <w:sz w:val="32"/>
          <w:szCs w:val="32"/>
        </w:rPr>
        <w:t>0201）</w:t>
      </w:r>
    </w:p>
    <w:p w14:paraId="6CBE4853">
      <w:pPr>
        <w:jc w:val="center"/>
        <w:rPr>
          <w:rFonts w:eastAsia="华文中宋"/>
          <w:b/>
          <w:color w:val="000000"/>
          <w:sz w:val="52"/>
          <w:szCs w:val="52"/>
        </w:rPr>
      </w:pPr>
    </w:p>
    <w:p w14:paraId="77DAC224">
      <w:pPr>
        <w:jc w:val="center"/>
        <w:rPr>
          <w:rFonts w:eastAsia="华文中宋"/>
          <w:b/>
          <w:color w:val="000000"/>
          <w:sz w:val="52"/>
          <w:szCs w:val="52"/>
        </w:rPr>
      </w:pPr>
    </w:p>
    <w:p w14:paraId="399241CE">
      <w:pPr>
        <w:jc w:val="center"/>
        <w:rPr>
          <w:rFonts w:eastAsia="华文中宋"/>
          <w:b/>
          <w:color w:val="000000"/>
          <w:sz w:val="52"/>
          <w:szCs w:val="52"/>
        </w:rPr>
      </w:pPr>
    </w:p>
    <w:p w14:paraId="0C511B6A">
      <w:pPr>
        <w:jc w:val="center"/>
        <w:rPr>
          <w:rFonts w:eastAsia="华文中宋"/>
          <w:b/>
          <w:color w:val="000000"/>
          <w:sz w:val="52"/>
          <w:szCs w:val="52"/>
        </w:rPr>
      </w:pPr>
    </w:p>
    <w:p w14:paraId="10E5BC59">
      <w:pPr>
        <w:jc w:val="center"/>
        <w:rPr>
          <w:rFonts w:eastAsia="华文中宋"/>
          <w:b/>
          <w:color w:val="000000"/>
          <w:sz w:val="52"/>
          <w:szCs w:val="52"/>
        </w:rPr>
      </w:pPr>
      <w:r>
        <w:rPr>
          <w:rFonts w:eastAsia="华文中宋"/>
          <w:b/>
          <w:color w:val="000000"/>
          <w:sz w:val="72"/>
          <w:szCs w:val="52"/>
        </w:rPr>
        <w:t>建设工程施工合同</w:t>
      </w:r>
      <w:r>
        <w:rPr>
          <w:rFonts w:eastAsia="华文中宋"/>
          <w:b/>
          <w:color w:val="000000"/>
          <w:sz w:val="52"/>
          <w:szCs w:val="52"/>
        </w:rPr>
        <w:br w:type="textWrapping"/>
      </w:r>
    </w:p>
    <w:p w14:paraId="0203A447">
      <w:pPr>
        <w:jc w:val="center"/>
        <w:rPr>
          <w:rFonts w:eastAsia="华文中宋"/>
          <w:b/>
          <w:color w:val="000000"/>
          <w:sz w:val="52"/>
          <w:szCs w:val="52"/>
        </w:rPr>
      </w:pPr>
    </w:p>
    <w:p w14:paraId="77876128">
      <w:pPr>
        <w:jc w:val="center"/>
        <w:rPr>
          <w:rFonts w:eastAsia="黑体"/>
          <w:b/>
          <w:color w:val="000000"/>
          <w:sz w:val="72"/>
          <w:szCs w:val="72"/>
        </w:rPr>
      </w:pPr>
    </w:p>
    <w:p w14:paraId="55E81E06">
      <w:pPr>
        <w:jc w:val="center"/>
        <w:rPr>
          <w:rFonts w:eastAsia="楷体_GB2312"/>
          <w:b/>
          <w:color w:val="000000"/>
          <w:sz w:val="72"/>
          <w:szCs w:val="72"/>
        </w:rPr>
      </w:pPr>
    </w:p>
    <w:p w14:paraId="25CB5417">
      <w:pPr>
        <w:jc w:val="center"/>
        <w:rPr>
          <w:rFonts w:eastAsia="黑体"/>
          <w:b/>
          <w:color w:val="000000"/>
          <w:sz w:val="52"/>
          <w:szCs w:val="52"/>
        </w:rPr>
      </w:pPr>
    </w:p>
    <w:p w14:paraId="55EF999F">
      <w:pPr>
        <w:rPr>
          <w:b/>
          <w:color w:val="000000"/>
          <w:sz w:val="28"/>
          <w:szCs w:val="28"/>
        </w:rPr>
      </w:pPr>
    </w:p>
    <w:p w14:paraId="6CF254AF">
      <w:pPr>
        <w:rPr>
          <w:b/>
          <w:color w:val="000000"/>
          <w:sz w:val="28"/>
          <w:szCs w:val="28"/>
        </w:rPr>
      </w:pPr>
    </w:p>
    <w:p w14:paraId="2BC163E8">
      <w:pPr>
        <w:rPr>
          <w:b/>
          <w:color w:val="000000"/>
          <w:sz w:val="28"/>
          <w:szCs w:val="28"/>
        </w:rPr>
      </w:pPr>
    </w:p>
    <w:p w14:paraId="0ED4478D">
      <w:pPr>
        <w:rPr>
          <w:b/>
          <w:color w:val="000000"/>
          <w:sz w:val="28"/>
          <w:szCs w:val="28"/>
        </w:rPr>
      </w:pPr>
    </w:p>
    <w:p w14:paraId="23E232D1">
      <w:pPr>
        <w:rPr>
          <w:b/>
          <w:color w:val="000000"/>
          <w:sz w:val="28"/>
          <w:szCs w:val="28"/>
        </w:rPr>
      </w:pPr>
    </w:p>
    <w:p w14:paraId="242F65BE">
      <w:pPr>
        <w:ind w:right="2719" w:rightChars="1295" w:firstLine="2738" w:firstLineChars="1304"/>
        <w:jc w:val="distribute"/>
        <w:rPr>
          <w:b/>
          <w:color w:val="000000"/>
          <w:sz w:val="32"/>
          <w:szCs w:val="28"/>
        </w:rPr>
      </w:pPr>
      <w:r>
        <mc:AlternateContent>
          <mc:Choice Requires="wps">
            <w:drawing>
              <wp:anchor distT="0" distB="0" distL="114300" distR="114300" simplePos="0" relativeHeight="251659264" behindDoc="0" locked="0" layoutInCell="1" allowOverlap="1">
                <wp:simplePos x="0" y="0"/>
                <wp:positionH relativeFrom="column">
                  <wp:posOffset>3970020</wp:posOffset>
                </wp:positionH>
                <wp:positionV relativeFrom="paragraph">
                  <wp:posOffset>120015</wp:posOffset>
                </wp:positionV>
                <wp:extent cx="723900" cy="457200"/>
                <wp:effectExtent l="4445" t="4445" r="18415" b="10795"/>
                <wp:wrapNone/>
                <wp:docPr id="2" name="文本框 2"/>
                <wp:cNvGraphicFramePr/>
                <a:graphic xmlns:a="http://schemas.openxmlformats.org/drawingml/2006/main">
                  <a:graphicData uri="http://schemas.microsoft.com/office/word/2010/wordprocessingShape">
                    <wps:wsp>
                      <wps:cNvSpPr txBox="1"/>
                      <wps:spPr>
                        <a:xfrm>
                          <a:off x="0" y="0"/>
                          <a:ext cx="723900" cy="457200"/>
                        </a:xfrm>
                        <a:prstGeom prst="rect">
                          <a:avLst/>
                        </a:prstGeom>
                        <a:noFill/>
                        <a:ln w="9525" cap="flat" cmpd="sng">
                          <a:solidFill>
                            <a:srgbClr val="FFFFFF"/>
                          </a:solidFill>
                          <a:prstDash val="solid"/>
                          <a:miter/>
                          <a:headEnd type="none" w="med" len="med"/>
                          <a:tailEnd type="none" w="med" len="med"/>
                        </a:ln>
                      </wps:spPr>
                      <wps:txbx>
                        <w:txbxContent>
                          <w:p w14:paraId="67020AB8">
                            <w:pPr>
                              <w:rPr>
                                <w:b/>
                                <w:bCs/>
                                <w:sz w:val="32"/>
                              </w:rPr>
                            </w:pPr>
                            <w:r>
                              <w:rPr>
                                <w:rFonts w:hint="eastAsia"/>
                                <w:b/>
                                <w:bCs/>
                                <w:sz w:val="32"/>
                              </w:rPr>
                              <w:t>制定</w:t>
                            </w:r>
                          </w:p>
                        </w:txbxContent>
                      </wps:txbx>
                      <wps:bodyPr upright="1"/>
                    </wps:wsp>
                  </a:graphicData>
                </a:graphic>
              </wp:anchor>
            </w:drawing>
          </mc:Choice>
          <mc:Fallback>
            <w:pict>
              <v:shape id="_x0000_s1026" o:spid="_x0000_s1026" o:spt="202" type="#_x0000_t202" style="position:absolute;left:0pt;margin-left:312.6pt;margin-top:9.45pt;height:36pt;width:57pt;z-index:251659264;mso-width-relative:page;mso-height-relative:page;" filled="f" stroked="t" coordsize="21600,21600" o:gfxdata="UEsDBAoAAAAAAIdO4kAAAAAAAAAAAAAAAAAEAAAAZHJzL1BLAwQUAAAACACHTuJAQc0tcdgAAAAJ&#10;AQAADwAAAGRycy9kb3ducmV2LnhtbE2PQU7DMBBF90jcwRokNhW1GyBNQpwukFiwKKWlB3BjNw7E&#10;4yh2knJ7hhUsZ/7Tnzfl5uI6NpkhtB4lrJYCmMHa6xYbCcePl7sMWIgKteo8GgnfJsCmur4qVaH9&#10;jHszHWLDqARDoSTYGPuC81Bb41RY+t4gZWc/OBVpHBquBzVTuet4IkTKnWqRLljVm2dr6q/D6CTs&#10;X+37Ah+2207zKf08vo27OVtIeXuzEk/AornEPxh+9UkdKnI6+RF1YJ2ENHlMCKUgy4ERsL7PaXGS&#10;kIsceFXy/x9UP1BLAwQUAAAACACHTuJAEwDrDwQCAAAMBAAADgAAAGRycy9lMm9Eb2MueG1srVNL&#10;ktMwEN1TxR1U2hNnDGEYV5ypghA2FFA1cABFH1tV+pVaiZ0LwA1YsWHPuXIOWnImA8MmC7yw2+qn&#10;p36vW8vb0RqylxG0dy29ms0pkY57oV3X0i+fN89eUQKJOcGMd7KlBwn0dvX0yXIIjax9742QkSCJ&#10;g2YILe1TCk1VAe+lZTDzQTpMKh8tS/gbu0pENiC7NVU9n7+sBh9FiJ5LAFxdT0l6YoyXEHqlNJdr&#10;z3dWujSxRmlYQknQ6wB0VapVSvL0USmQiZiWotJU3ngIxtv8rlZL1nSRhV7zUwnskhIeabJMOzz0&#10;TLVmiZFd1P9QWc2jB6/SjHtbTUKKI6jiav7Im7ueBVm0oNUQzqbD/6PlH/afItGipTUljlls+PH7&#10;t+OPX8efX0md7RkCNIi6C4hL42s/4tDcrwMuZtWjijZ/UQ/BPJp7OJsrx0Q4Ll7Xz2/mmOGYerG4&#10;xlHILNXD5hAhvZPekhy0NGLviqVs/x7SBL2H5LOc32hjSv+MI0NLbxb1AukZzqTCWcDQBtQFris0&#10;4I0WeUveDLHbvjGR7BnOxaY8p2r+guXz1gz6CVdSGcYaq5OMJeolE2+dIOkQ0DuHV4bmYqwUlBiJ&#10;NyxHBZmYNpcg0RLj0Jls/GRwjtK4HZEmh1svDtiMXYi669Gp0o4CxyEplp4GOk/hn/+F9OESr34D&#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Qc0tcdgAAAAJAQAADwAAAAAAAAABACAAAAAiAAAAZHJz&#10;L2Rvd25yZXYueG1sUEsBAhQAFAAAAAgAh07iQBMA6w8EAgAADAQAAA4AAAAAAAAAAQAgAAAAJwEA&#10;AGRycy9lMm9Eb2MueG1sUEsFBgAAAAAGAAYAWQEAAJ0FAAAAAA==&#10;">
                <v:fill on="f" focussize="0,0"/>
                <v:stroke color="#FFFFFF" joinstyle="miter"/>
                <v:imagedata o:title=""/>
                <o:lock v:ext="edit" aspectratio="f"/>
                <v:textbox>
                  <w:txbxContent>
                    <w:p w14:paraId="67020AB8">
                      <w:pPr>
                        <w:rPr>
                          <w:b/>
                          <w:bCs/>
                          <w:sz w:val="32"/>
                        </w:rPr>
                      </w:pPr>
                      <w:r>
                        <w:rPr>
                          <w:rFonts w:hint="eastAsia"/>
                          <w:b/>
                          <w:bCs/>
                          <w:sz w:val="32"/>
                        </w:rPr>
                        <w:t>制定</w:t>
                      </w:r>
                    </w:p>
                  </w:txbxContent>
                </v:textbox>
              </v:shape>
            </w:pict>
          </mc:Fallback>
        </mc:AlternateContent>
      </w:r>
      <w:r>
        <w:rPr>
          <w:b/>
          <w:color w:val="000000"/>
          <w:sz w:val="32"/>
          <w:szCs w:val="28"/>
        </w:rPr>
        <w:t>住房城乡建设部</w:t>
      </w:r>
    </w:p>
    <w:p w14:paraId="409A209F">
      <w:pPr>
        <w:ind w:right="2719" w:rightChars="1295" w:firstLine="2750" w:firstLineChars="856"/>
        <w:jc w:val="distribute"/>
        <w:rPr>
          <w:b/>
          <w:color w:val="000000"/>
          <w:sz w:val="32"/>
          <w:szCs w:val="28"/>
        </w:rPr>
        <w:sectPr>
          <w:footerReference r:id="rId10" w:type="first"/>
          <w:footerReference r:id="rId9" w:type="default"/>
          <w:pgSz w:w="11906" w:h="16838"/>
          <w:pgMar w:top="1418" w:right="1555" w:bottom="1418" w:left="1531" w:header="851" w:footer="992" w:gutter="0"/>
          <w:pgNumType w:start="1"/>
          <w:cols w:space="720" w:num="1"/>
          <w:titlePg/>
          <w:docGrid w:type="lines" w:linePitch="312" w:charSpace="0"/>
        </w:sectPr>
      </w:pPr>
      <w:r>
        <w:rPr>
          <w:b/>
          <w:color w:val="000000"/>
          <w:sz w:val="32"/>
          <w:szCs w:val="28"/>
        </w:rPr>
        <w:t>国家工商行政管理总局</w:t>
      </w:r>
      <w:bookmarkStart w:id="88" w:name="_Toc296890982"/>
      <w:bookmarkStart w:id="89" w:name="_Toc296503025"/>
    </w:p>
    <w:p w14:paraId="40D70706">
      <w:pPr>
        <w:tabs>
          <w:tab w:val="left" w:pos="2424"/>
        </w:tabs>
        <w:rPr>
          <w:rFonts w:ascii="华文中宋" w:hAnsi="华文中宋" w:eastAsia="华文中宋"/>
          <w:sz w:val="44"/>
          <w:szCs w:val="44"/>
        </w:rPr>
      </w:pPr>
      <w:bookmarkStart w:id="90" w:name="_Toc351203480"/>
      <w:r>
        <w:tab/>
      </w:r>
      <w:bookmarkEnd w:id="88"/>
      <w:bookmarkEnd w:id="89"/>
      <w:bookmarkEnd w:id="90"/>
      <w:r>
        <w:rPr>
          <w:rFonts w:ascii="华文中宋" w:hAnsi="华文中宋" w:eastAsia="华文中宋"/>
          <w:sz w:val="44"/>
          <w:szCs w:val="44"/>
        </w:rPr>
        <w:t>第一部分 合同协议书</w:t>
      </w:r>
    </w:p>
    <w:p w14:paraId="4541770A">
      <w:pPr>
        <w:spacing w:line="360" w:lineRule="auto"/>
        <w:rPr>
          <w:rFonts w:eastAsia="仿宋_GB2312"/>
          <w:b/>
          <w:color w:val="000000"/>
          <w:sz w:val="30"/>
          <w:szCs w:val="30"/>
          <w:u w:val="single"/>
        </w:rPr>
      </w:pPr>
      <w:r>
        <w:rPr>
          <w:rFonts w:eastAsia="仿宋_GB2312"/>
          <w:b/>
          <w:color w:val="000000"/>
          <w:sz w:val="30"/>
          <w:szCs w:val="30"/>
        </w:rPr>
        <w:t>发包人（全称）：</w:t>
      </w:r>
      <w:r>
        <w:rPr>
          <w:rFonts w:eastAsia="仿宋_GB2312"/>
          <w:b/>
          <w:color w:val="000000"/>
          <w:sz w:val="30"/>
          <w:szCs w:val="30"/>
          <w:u w:val="single"/>
        </w:rPr>
        <w:t xml:space="preserve">                                    </w:t>
      </w:r>
    </w:p>
    <w:p w14:paraId="2CFB1A25">
      <w:pPr>
        <w:spacing w:line="360" w:lineRule="auto"/>
        <w:rPr>
          <w:rFonts w:eastAsia="仿宋_GB2312"/>
          <w:b/>
          <w:color w:val="000000"/>
          <w:sz w:val="30"/>
          <w:szCs w:val="30"/>
          <w:u w:val="single"/>
        </w:rPr>
      </w:pPr>
      <w:r>
        <w:rPr>
          <w:rFonts w:eastAsia="仿宋_GB2312"/>
          <w:b/>
          <w:color w:val="000000"/>
          <w:sz w:val="30"/>
          <w:szCs w:val="30"/>
        </w:rPr>
        <w:t>承包人（全称）：</w:t>
      </w:r>
      <w:r>
        <w:rPr>
          <w:rFonts w:eastAsia="仿宋_GB2312"/>
          <w:b/>
          <w:color w:val="000000"/>
          <w:sz w:val="30"/>
          <w:szCs w:val="30"/>
          <w:u w:val="single"/>
        </w:rPr>
        <w:t xml:space="preserve">                                    </w:t>
      </w:r>
    </w:p>
    <w:p w14:paraId="75D5C41D">
      <w:pPr>
        <w:spacing w:line="360" w:lineRule="auto"/>
        <w:ind w:firstLine="600" w:firstLineChars="200"/>
        <w:rPr>
          <w:rFonts w:eastAsia="仿宋_GB2312"/>
          <w:color w:val="000000"/>
          <w:sz w:val="30"/>
          <w:szCs w:val="30"/>
        </w:rPr>
      </w:pPr>
      <w:r>
        <w:rPr>
          <w:rFonts w:eastAsia="仿宋_GB2312"/>
          <w:color w:val="000000"/>
          <w:sz w:val="30"/>
          <w:szCs w:val="30"/>
        </w:rPr>
        <w:t>根据《</w:t>
      </w:r>
      <w:r>
        <w:rPr>
          <w:rFonts w:hint="eastAsia" w:eastAsia="仿宋_GB2312"/>
          <w:color w:val="000000"/>
          <w:sz w:val="30"/>
          <w:szCs w:val="30"/>
        </w:rPr>
        <w:t>中华人民共和国民法典</w:t>
      </w:r>
      <w:r>
        <w:rPr>
          <w:rFonts w:eastAsia="仿宋_GB2312"/>
          <w:color w:val="000000"/>
          <w:sz w:val="30"/>
          <w:szCs w:val="30"/>
        </w:rPr>
        <w:t>》、《中华人民共和国建筑法》及有关法律规定，遵循平等、自愿、公平和诚实信用的原则，双方就</w:t>
      </w:r>
    </w:p>
    <w:p w14:paraId="6B54EF8A">
      <w:pPr>
        <w:spacing w:line="360" w:lineRule="auto"/>
        <w:rPr>
          <w:rFonts w:eastAsia="仿宋_GB2312"/>
          <w:color w:val="000000"/>
          <w:sz w:val="30"/>
          <w:szCs w:val="30"/>
        </w:rPr>
      </w:pPr>
      <w:r>
        <w:rPr>
          <w:rFonts w:eastAsia="仿宋_GB2312"/>
          <w:color w:val="000000"/>
          <w:sz w:val="30"/>
          <w:szCs w:val="30"/>
          <w:u w:val="single"/>
        </w:rPr>
        <w:t xml:space="preserve">                 </w:t>
      </w:r>
      <w:r>
        <w:rPr>
          <w:rFonts w:eastAsia="仿宋_GB2312"/>
          <w:color w:val="000000"/>
          <w:sz w:val="30"/>
          <w:szCs w:val="30"/>
        </w:rPr>
        <w:t>工程施工及有关事项协商一致</w:t>
      </w:r>
      <w:r>
        <w:rPr>
          <w:rFonts w:hint="eastAsia" w:eastAsia="仿宋_GB2312"/>
          <w:color w:val="000000"/>
          <w:sz w:val="30"/>
          <w:szCs w:val="30"/>
        </w:rPr>
        <w:t>，</w:t>
      </w:r>
      <w:r>
        <w:rPr>
          <w:rFonts w:eastAsia="仿宋_GB2312"/>
          <w:color w:val="000000"/>
          <w:sz w:val="30"/>
          <w:szCs w:val="30"/>
        </w:rPr>
        <w:t>共同达成如下协议：</w:t>
      </w:r>
    </w:p>
    <w:p w14:paraId="005EA6A8">
      <w:pPr>
        <w:pStyle w:val="5"/>
        <w:spacing w:before="120" w:after="120" w:line="360" w:lineRule="auto"/>
        <w:rPr>
          <w:rFonts w:ascii="Times New Roman" w:hAnsi="Times New Roman" w:eastAsia="黑体"/>
          <w:bCs w:val="0"/>
          <w:color w:val="000000"/>
          <w:sz w:val="32"/>
          <w:szCs w:val="32"/>
        </w:rPr>
      </w:pPr>
      <w:r>
        <w:rPr>
          <w:rFonts w:ascii="Times New Roman" w:hAnsi="Times New Roman" w:eastAsia="黑体"/>
          <w:bCs w:val="0"/>
          <w:color w:val="000000"/>
          <w:sz w:val="32"/>
          <w:szCs w:val="32"/>
        </w:rPr>
        <w:t xml:space="preserve">   </w:t>
      </w:r>
      <w:r>
        <w:rPr>
          <w:rFonts w:ascii="Times New Roman" w:hAnsi="Times New Roman" w:eastAsia="黑体"/>
          <w:b w:val="0"/>
          <w:color w:val="000000"/>
          <w:sz w:val="32"/>
          <w:szCs w:val="32"/>
        </w:rPr>
        <w:t xml:space="preserve"> </w:t>
      </w:r>
      <w:bookmarkStart w:id="91" w:name="_Toc351203481"/>
      <w:r>
        <w:rPr>
          <w:rFonts w:ascii="Times New Roman" w:hAnsi="Times New Roman" w:eastAsia="黑体"/>
          <w:b w:val="0"/>
          <w:color w:val="000000"/>
          <w:sz w:val="32"/>
          <w:szCs w:val="32"/>
        </w:rPr>
        <w:t>一、工程概况</w:t>
      </w:r>
      <w:bookmarkEnd w:id="91"/>
    </w:p>
    <w:p w14:paraId="5EDECF0B">
      <w:pPr>
        <w:spacing w:line="360" w:lineRule="auto"/>
        <w:ind w:firstLine="588" w:firstLineChars="196"/>
        <w:rPr>
          <w:rFonts w:eastAsia="仿宋_GB2312"/>
          <w:color w:val="000000"/>
          <w:sz w:val="30"/>
          <w:szCs w:val="30"/>
          <w:u w:val="single"/>
        </w:rPr>
      </w:pPr>
      <w:r>
        <w:rPr>
          <w:rFonts w:eastAsia="仿宋_GB2312"/>
          <w:bCs/>
          <w:color w:val="000000"/>
          <w:sz w:val="30"/>
          <w:szCs w:val="30"/>
        </w:rPr>
        <w:t>1.工程名称</w:t>
      </w:r>
      <w:r>
        <w:rPr>
          <w:rFonts w:eastAsia="仿宋_GB2312"/>
          <w:color w:val="000000"/>
          <w:sz w:val="30"/>
          <w:szCs w:val="30"/>
        </w:rPr>
        <w:t>：</w:t>
      </w:r>
      <w:r>
        <w:rPr>
          <w:rFonts w:eastAsia="仿宋_GB2312"/>
          <w:color w:val="000000"/>
          <w:sz w:val="30"/>
          <w:szCs w:val="30"/>
          <w:u w:val="single"/>
        </w:rPr>
        <w:t xml:space="preserve">                              </w:t>
      </w:r>
      <w:r>
        <w:rPr>
          <w:rFonts w:eastAsia="仿宋_GB2312"/>
          <w:color w:val="000000"/>
          <w:sz w:val="30"/>
          <w:szCs w:val="30"/>
        </w:rPr>
        <w:t>。</w:t>
      </w:r>
    </w:p>
    <w:p w14:paraId="542DED5B">
      <w:pPr>
        <w:spacing w:line="360" w:lineRule="auto"/>
        <w:ind w:firstLine="588" w:firstLineChars="196"/>
        <w:rPr>
          <w:rFonts w:eastAsia="仿宋_GB2312"/>
          <w:bCs/>
          <w:color w:val="000000"/>
          <w:sz w:val="30"/>
          <w:szCs w:val="30"/>
        </w:rPr>
      </w:pPr>
      <w:r>
        <w:rPr>
          <w:rFonts w:eastAsia="仿宋_GB2312"/>
          <w:bCs/>
          <w:color w:val="000000"/>
          <w:sz w:val="30"/>
          <w:szCs w:val="30"/>
        </w:rPr>
        <w:t>2.工程地点：</w:t>
      </w:r>
      <w:r>
        <w:rPr>
          <w:rFonts w:eastAsia="仿宋_GB2312"/>
          <w:color w:val="000000"/>
          <w:sz w:val="30"/>
          <w:szCs w:val="30"/>
          <w:u w:val="single"/>
        </w:rPr>
        <w:t xml:space="preserve">                              </w:t>
      </w:r>
      <w:r>
        <w:rPr>
          <w:rFonts w:eastAsia="仿宋_GB2312"/>
          <w:color w:val="000000"/>
          <w:sz w:val="30"/>
          <w:szCs w:val="30"/>
        </w:rPr>
        <w:t>。</w:t>
      </w:r>
    </w:p>
    <w:p w14:paraId="5C1BFE2B">
      <w:pPr>
        <w:spacing w:line="360" w:lineRule="auto"/>
        <w:ind w:firstLine="588" w:firstLineChars="196"/>
        <w:rPr>
          <w:rFonts w:eastAsia="仿宋_GB2312"/>
          <w:bCs/>
          <w:color w:val="000000"/>
          <w:sz w:val="30"/>
          <w:szCs w:val="30"/>
        </w:rPr>
      </w:pPr>
      <w:r>
        <w:rPr>
          <w:rFonts w:eastAsia="仿宋_GB2312"/>
          <w:bCs/>
          <w:color w:val="000000"/>
          <w:sz w:val="30"/>
          <w:szCs w:val="30"/>
        </w:rPr>
        <w:t>3.工程立项批准文号：</w:t>
      </w:r>
      <w:r>
        <w:rPr>
          <w:rFonts w:eastAsia="仿宋_GB2312"/>
          <w:color w:val="000000"/>
          <w:sz w:val="30"/>
          <w:szCs w:val="30"/>
          <w:u w:val="single"/>
        </w:rPr>
        <w:t xml:space="preserve">                      </w:t>
      </w:r>
      <w:r>
        <w:rPr>
          <w:rFonts w:eastAsia="仿宋_GB2312"/>
          <w:bCs/>
          <w:color w:val="000000"/>
          <w:sz w:val="30"/>
          <w:szCs w:val="30"/>
        </w:rPr>
        <w:t>。</w:t>
      </w:r>
    </w:p>
    <w:p w14:paraId="084888F1">
      <w:pPr>
        <w:spacing w:line="360" w:lineRule="auto"/>
        <w:ind w:firstLine="588" w:firstLineChars="196"/>
        <w:rPr>
          <w:rFonts w:eastAsia="仿宋_GB2312"/>
          <w:bCs/>
          <w:color w:val="000000"/>
          <w:sz w:val="30"/>
          <w:szCs w:val="30"/>
        </w:rPr>
      </w:pPr>
      <w:r>
        <w:rPr>
          <w:rFonts w:eastAsia="仿宋_GB2312"/>
          <w:bCs/>
          <w:color w:val="000000"/>
          <w:sz w:val="30"/>
          <w:szCs w:val="30"/>
        </w:rPr>
        <w:t>4.资金来源：</w:t>
      </w:r>
      <w:r>
        <w:rPr>
          <w:rFonts w:eastAsia="仿宋_GB2312"/>
          <w:color w:val="000000"/>
          <w:sz w:val="30"/>
          <w:szCs w:val="30"/>
          <w:u w:val="single"/>
        </w:rPr>
        <w:t xml:space="preserve">                              </w:t>
      </w:r>
      <w:r>
        <w:rPr>
          <w:rFonts w:eastAsia="仿宋_GB2312"/>
          <w:bCs/>
          <w:color w:val="000000"/>
          <w:sz w:val="30"/>
          <w:szCs w:val="30"/>
        </w:rPr>
        <w:t>。</w:t>
      </w:r>
    </w:p>
    <w:p w14:paraId="6ED4990D">
      <w:pPr>
        <w:spacing w:line="360" w:lineRule="auto"/>
        <w:ind w:firstLine="588" w:firstLineChars="196"/>
        <w:rPr>
          <w:rFonts w:eastAsia="仿宋_GB2312"/>
          <w:bCs/>
          <w:color w:val="000000"/>
          <w:sz w:val="30"/>
          <w:szCs w:val="30"/>
        </w:rPr>
      </w:pPr>
      <w:r>
        <w:rPr>
          <w:rFonts w:hint="eastAsia" w:eastAsia="仿宋_GB2312"/>
          <w:bCs/>
          <w:color w:val="000000"/>
          <w:sz w:val="30"/>
          <w:szCs w:val="30"/>
        </w:rPr>
        <w:t>5.工程内容：</w:t>
      </w:r>
      <w:r>
        <w:rPr>
          <w:rFonts w:eastAsia="仿宋_GB2312"/>
          <w:color w:val="000000"/>
          <w:sz w:val="30"/>
          <w:szCs w:val="30"/>
          <w:u w:val="single"/>
        </w:rPr>
        <w:t xml:space="preserve">                              </w:t>
      </w:r>
      <w:r>
        <w:rPr>
          <w:rFonts w:eastAsia="仿宋_GB2312"/>
          <w:bCs/>
          <w:color w:val="000000"/>
          <w:sz w:val="30"/>
          <w:szCs w:val="30"/>
        </w:rPr>
        <w:t>。</w:t>
      </w:r>
    </w:p>
    <w:p w14:paraId="55CCC5C0">
      <w:pPr>
        <w:spacing w:line="360" w:lineRule="auto"/>
        <w:ind w:firstLine="600" w:firstLineChars="200"/>
        <w:rPr>
          <w:rFonts w:eastAsia="仿宋_GB2312"/>
          <w:color w:val="000000"/>
          <w:sz w:val="30"/>
          <w:szCs w:val="30"/>
        </w:rPr>
      </w:pPr>
      <w:r>
        <w:rPr>
          <w:rFonts w:hint="eastAsia" w:eastAsia="仿宋_GB2312"/>
          <w:bCs/>
          <w:color w:val="000000"/>
          <w:sz w:val="30"/>
          <w:szCs w:val="30"/>
        </w:rPr>
        <w:t>6</w:t>
      </w:r>
      <w:r>
        <w:rPr>
          <w:rFonts w:eastAsia="仿宋_GB2312"/>
          <w:bCs/>
          <w:color w:val="000000"/>
          <w:sz w:val="30"/>
          <w:szCs w:val="30"/>
        </w:rPr>
        <w:t>.工程承包范围：</w:t>
      </w:r>
      <w:r>
        <w:rPr>
          <w:rFonts w:eastAsia="仿宋_GB2312"/>
          <w:color w:val="000000"/>
          <w:sz w:val="30"/>
          <w:szCs w:val="30"/>
          <w:u w:val="single"/>
        </w:rPr>
        <w:t xml:space="preserve">                          </w:t>
      </w:r>
      <w:r>
        <w:rPr>
          <w:rFonts w:eastAsia="仿宋_GB2312"/>
          <w:color w:val="000000"/>
          <w:sz w:val="30"/>
          <w:szCs w:val="30"/>
        </w:rPr>
        <w:t>。</w:t>
      </w:r>
    </w:p>
    <w:p w14:paraId="0D100122">
      <w:pPr>
        <w:pStyle w:val="8"/>
        <w:ind w:right="63" w:firstLine="600" w:firstLineChars="200"/>
      </w:pPr>
      <w:r>
        <w:rPr>
          <w:rFonts w:hint="eastAsia" w:eastAsia="仿宋_GB2312"/>
          <w:bCs/>
          <w:color w:val="000000"/>
          <w:sz w:val="30"/>
          <w:szCs w:val="30"/>
        </w:rPr>
        <w:t>7</w:t>
      </w:r>
      <w:r>
        <w:rPr>
          <w:rFonts w:eastAsia="仿宋_GB2312"/>
          <w:bCs/>
          <w:color w:val="000000"/>
          <w:sz w:val="30"/>
          <w:szCs w:val="30"/>
        </w:rPr>
        <w:t>.</w:t>
      </w:r>
      <w:r>
        <w:rPr>
          <w:rFonts w:hint="eastAsia" w:eastAsia="仿宋_GB2312"/>
          <w:bCs/>
          <w:color w:val="000000"/>
          <w:sz w:val="30"/>
          <w:szCs w:val="30"/>
        </w:rPr>
        <w:t>甲供材</w:t>
      </w:r>
      <w:r>
        <w:rPr>
          <w:rFonts w:eastAsia="仿宋_GB2312"/>
          <w:bCs/>
          <w:color w:val="000000"/>
          <w:sz w:val="30"/>
          <w:szCs w:val="30"/>
        </w:rPr>
        <w:t>范围：</w:t>
      </w:r>
      <w:r>
        <w:rPr>
          <w:rFonts w:eastAsia="仿宋_GB2312"/>
          <w:color w:val="000000"/>
          <w:sz w:val="30"/>
          <w:szCs w:val="30"/>
          <w:u w:val="single"/>
        </w:rPr>
        <w:t xml:space="preserve">                            </w:t>
      </w:r>
      <w:r>
        <w:rPr>
          <w:rFonts w:eastAsia="仿宋_GB2312"/>
          <w:color w:val="000000"/>
          <w:sz w:val="30"/>
          <w:szCs w:val="30"/>
        </w:rPr>
        <w:t>。</w:t>
      </w:r>
    </w:p>
    <w:p w14:paraId="12E34593">
      <w:pPr>
        <w:pStyle w:val="8"/>
        <w:ind w:left="63" w:right="63"/>
      </w:pPr>
    </w:p>
    <w:p w14:paraId="0F8DDDD1">
      <w:pPr>
        <w:pStyle w:val="5"/>
        <w:spacing w:before="120" w:after="120" w:line="360" w:lineRule="auto"/>
        <w:rPr>
          <w:rFonts w:ascii="Times New Roman" w:hAnsi="Times New Roman" w:eastAsia="黑体"/>
          <w:b w:val="0"/>
          <w:color w:val="000000"/>
          <w:sz w:val="32"/>
          <w:szCs w:val="32"/>
        </w:rPr>
      </w:pPr>
      <w:r>
        <w:rPr>
          <w:rFonts w:ascii="Times New Roman" w:hAnsi="Times New Roman" w:eastAsia="黑体"/>
          <w:b w:val="0"/>
          <w:color w:val="000000"/>
          <w:sz w:val="32"/>
          <w:szCs w:val="32"/>
        </w:rPr>
        <w:t xml:space="preserve">   </w:t>
      </w:r>
      <w:bookmarkStart w:id="92" w:name="_Toc351203482"/>
      <w:r>
        <w:rPr>
          <w:rFonts w:ascii="Times New Roman" w:hAnsi="Times New Roman" w:eastAsia="黑体"/>
          <w:b w:val="0"/>
          <w:color w:val="000000"/>
          <w:sz w:val="32"/>
          <w:szCs w:val="32"/>
        </w:rPr>
        <w:t>二、合同工期</w:t>
      </w:r>
      <w:bookmarkEnd w:id="92"/>
    </w:p>
    <w:p w14:paraId="06D7C1CC">
      <w:pPr>
        <w:spacing w:line="360" w:lineRule="auto"/>
        <w:ind w:firstLine="459"/>
        <w:rPr>
          <w:rFonts w:eastAsia="仿宋_GB2312"/>
          <w:color w:val="000000"/>
          <w:sz w:val="30"/>
          <w:szCs w:val="30"/>
        </w:rPr>
      </w:pPr>
      <w:r>
        <w:rPr>
          <w:rFonts w:eastAsia="仿宋_GB2312"/>
          <w:color w:val="000000"/>
          <w:sz w:val="30"/>
          <w:szCs w:val="30"/>
        </w:rPr>
        <w:t>计划开工日期：</w:t>
      </w:r>
      <w:r>
        <w:rPr>
          <w:rFonts w:eastAsia="仿宋_GB2312"/>
          <w:color w:val="000000"/>
          <w:sz w:val="30"/>
          <w:szCs w:val="30"/>
          <w:u w:val="single"/>
        </w:rPr>
        <w:t xml:space="preserve">      </w:t>
      </w:r>
      <w:r>
        <w:rPr>
          <w:rFonts w:eastAsia="仿宋_GB2312"/>
          <w:color w:val="000000"/>
          <w:sz w:val="30"/>
          <w:szCs w:val="30"/>
        </w:rPr>
        <w:t>年</w:t>
      </w:r>
      <w:r>
        <w:rPr>
          <w:rFonts w:eastAsia="仿宋_GB2312"/>
          <w:color w:val="000000"/>
          <w:sz w:val="30"/>
          <w:szCs w:val="30"/>
          <w:u w:val="single"/>
        </w:rPr>
        <w:t xml:space="preserve">      </w:t>
      </w:r>
      <w:r>
        <w:rPr>
          <w:rFonts w:eastAsia="仿宋_GB2312"/>
          <w:color w:val="000000"/>
          <w:sz w:val="30"/>
          <w:szCs w:val="30"/>
        </w:rPr>
        <w:t>月</w:t>
      </w:r>
      <w:r>
        <w:rPr>
          <w:rFonts w:eastAsia="仿宋_GB2312"/>
          <w:color w:val="000000"/>
          <w:sz w:val="30"/>
          <w:szCs w:val="30"/>
          <w:u w:val="single"/>
        </w:rPr>
        <w:t xml:space="preserve">      </w:t>
      </w:r>
      <w:r>
        <w:rPr>
          <w:rFonts w:eastAsia="仿宋_GB2312"/>
          <w:color w:val="000000"/>
          <w:sz w:val="30"/>
          <w:szCs w:val="30"/>
        </w:rPr>
        <w:t>日。</w:t>
      </w:r>
    </w:p>
    <w:p w14:paraId="6276A5B7">
      <w:pPr>
        <w:spacing w:line="360" w:lineRule="auto"/>
        <w:ind w:firstLine="459"/>
        <w:rPr>
          <w:rFonts w:eastAsia="仿宋_GB2312"/>
          <w:color w:val="000000"/>
          <w:sz w:val="30"/>
          <w:szCs w:val="30"/>
        </w:rPr>
      </w:pPr>
      <w:r>
        <w:rPr>
          <w:rFonts w:eastAsia="仿宋_GB2312"/>
          <w:color w:val="000000"/>
          <w:sz w:val="30"/>
          <w:szCs w:val="30"/>
        </w:rPr>
        <w:t>计划竣工日期：</w:t>
      </w:r>
      <w:r>
        <w:rPr>
          <w:rFonts w:eastAsia="仿宋_GB2312"/>
          <w:color w:val="000000"/>
          <w:sz w:val="30"/>
          <w:szCs w:val="30"/>
          <w:u w:val="single"/>
        </w:rPr>
        <w:t xml:space="preserve">      </w:t>
      </w:r>
      <w:r>
        <w:rPr>
          <w:rFonts w:eastAsia="仿宋_GB2312"/>
          <w:color w:val="000000"/>
          <w:sz w:val="30"/>
          <w:szCs w:val="30"/>
        </w:rPr>
        <w:t>年</w:t>
      </w:r>
      <w:r>
        <w:rPr>
          <w:rFonts w:eastAsia="仿宋_GB2312"/>
          <w:color w:val="000000"/>
          <w:sz w:val="30"/>
          <w:szCs w:val="30"/>
          <w:u w:val="single"/>
        </w:rPr>
        <w:t xml:space="preserve">      </w:t>
      </w:r>
      <w:r>
        <w:rPr>
          <w:rFonts w:eastAsia="仿宋_GB2312"/>
          <w:color w:val="000000"/>
          <w:sz w:val="30"/>
          <w:szCs w:val="30"/>
        </w:rPr>
        <w:t>月</w:t>
      </w:r>
      <w:r>
        <w:rPr>
          <w:rFonts w:eastAsia="仿宋_GB2312"/>
          <w:color w:val="000000"/>
          <w:sz w:val="30"/>
          <w:szCs w:val="30"/>
          <w:u w:val="single"/>
        </w:rPr>
        <w:t xml:space="preserve">      </w:t>
      </w:r>
      <w:r>
        <w:rPr>
          <w:rFonts w:eastAsia="仿宋_GB2312"/>
          <w:color w:val="000000"/>
          <w:sz w:val="30"/>
          <w:szCs w:val="30"/>
        </w:rPr>
        <w:t>日。</w:t>
      </w:r>
    </w:p>
    <w:p w14:paraId="71643EDE">
      <w:pPr>
        <w:spacing w:line="360" w:lineRule="auto"/>
        <w:ind w:firstLine="459"/>
        <w:rPr>
          <w:rFonts w:eastAsia="仿宋_GB2312"/>
          <w:color w:val="000000"/>
          <w:sz w:val="30"/>
          <w:szCs w:val="30"/>
        </w:rPr>
      </w:pPr>
      <w:r>
        <w:rPr>
          <w:rFonts w:eastAsia="仿宋_GB2312"/>
          <w:color w:val="000000"/>
          <w:sz w:val="30"/>
          <w:szCs w:val="30"/>
        </w:rPr>
        <w:t>工期总日历天数：</w:t>
      </w:r>
      <w:r>
        <w:rPr>
          <w:rFonts w:eastAsia="仿宋_GB2312"/>
          <w:color w:val="000000"/>
          <w:sz w:val="30"/>
          <w:szCs w:val="30"/>
          <w:u w:val="single"/>
        </w:rPr>
        <w:t xml:space="preserve">   20   </w:t>
      </w:r>
      <w:r>
        <w:rPr>
          <w:rFonts w:eastAsia="仿宋_GB2312"/>
          <w:color w:val="000000"/>
          <w:sz w:val="30"/>
          <w:szCs w:val="30"/>
        </w:rPr>
        <w:t>天。</w:t>
      </w:r>
      <w:r>
        <w:rPr>
          <w:rFonts w:hint="eastAsia" w:eastAsia="仿宋_GB2312"/>
          <w:color w:val="000000"/>
          <w:sz w:val="30"/>
          <w:szCs w:val="30"/>
        </w:rPr>
        <w:t>合同工期为合同范围内所有工程内容的整体工期，竣工验收之日应以合同内最后一个单位工程验收合格之日为准。</w:t>
      </w:r>
      <w:r>
        <w:rPr>
          <w:rFonts w:eastAsia="仿宋_GB2312"/>
          <w:color w:val="000000"/>
          <w:sz w:val="30"/>
          <w:szCs w:val="30"/>
        </w:rPr>
        <w:t>工期总日历天数与根据前述计划开竣工日期计算的工期天数不一致的，以工期总日历天数为准。</w:t>
      </w:r>
    </w:p>
    <w:p w14:paraId="1D0A7246">
      <w:pPr>
        <w:spacing w:line="360" w:lineRule="auto"/>
        <w:ind w:firstLine="459"/>
        <w:rPr>
          <w:rFonts w:eastAsia="仿宋_GB2312"/>
          <w:color w:val="000000"/>
          <w:sz w:val="30"/>
          <w:szCs w:val="30"/>
        </w:rPr>
      </w:pPr>
      <w:r>
        <w:rPr>
          <w:rFonts w:hint="eastAsia" w:eastAsia="仿宋_GB2312"/>
          <w:color w:val="000000"/>
          <w:sz w:val="30"/>
          <w:szCs w:val="30"/>
        </w:rPr>
        <w:t>节点工期：机修车间开工后5天内完成相应的拆除工作。</w:t>
      </w:r>
    </w:p>
    <w:p w14:paraId="5DADDCB7">
      <w:pPr>
        <w:pStyle w:val="5"/>
        <w:spacing w:before="120" w:after="120" w:line="360" w:lineRule="auto"/>
        <w:rPr>
          <w:rFonts w:ascii="Times New Roman" w:hAnsi="Times New Roman" w:eastAsia="黑体"/>
          <w:bCs w:val="0"/>
          <w:color w:val="000000"/>
          <w:sz w:val="32"/>
          <w:szCs w:val="32"/>
        </w:rPr>
      </w:pPr>
      <w:r>
        <w:rPr>
          <w:rFonts w:ascii="Times New Roman" w:hAnsi="Times New Roman" w:eastAsia="黑体"/>
          <w:bCs w:val="0"/>
          <w:color w:val="000000"/>
          <w:sz w:val="32"/>
          <w:szCs w:val="32"/>
        </w:rPr>
        <w:t xml:space="preserve">    </w:t>
      </w:r>
      <w:bookmarkStart w:id="93" w:name="_Toc351203483"/>
      <w:r>
        <w:rPr>
          <w:rFonts w:ascii="Times New Roman" w:hAnsi="Times New Roman" w:eastAsia="黑体"/>
          <w:b w:val="0"/>
          <w:color w:val="000000"/>
          <w:sz w:val="32"/>
          <w:szCs w:val="32"/>
        </w:rPr>
        <w:t>三、质量标准</w:t>
      </w:r>
      <w:bookmarkEnd w:id="93"/>
    </w:p>
    <w:p w14:paraId="011028DD">
      <w:pPr>
        <w:spacing w:line="360" w:lineRule="auto"/>
        <w:ind w:firstLine="459"/>
        <w:rPr>
          <w:rFonts w:eastAsia="仿宋_GB2312"/>
          <w:color w:val="000000"/>
          <w:sz w:val="30"/>
          <w:szCs w:val="30"/>
        </w:rPr>
      </w:pPr>
      <w:r>
        <w:rPr>
          <w:rFonts w:eastAsia="仿宋_GB2312"/>
          <w:color w:val="000000"/>
          <w:sz w:val="30"/>
          <w:szCs w:val="30"/>
        </w:rPr>
        <w:t>工程质量符合</w:t>
      </w:r>
      <w:r>
        <w:rPr>
          <w:rFonts w:hint="eastAsia" w:eastAsia="仿宋_GB2312"/>
          <w:color w:val="000000"/>
          <w:sz w:val="30"/>
          <w:szCs w:val="30"/>
          <w:u w:val="single"/>
        </w:rPr>
        <w:t xml:space="preserve"> 国家现行有关施工质量验收规范及双方约定的施工方案的要求，并达到合格 </w:t>
      </w:r>
      <w:r>
        <w:rPr>
          <w:rFonts w:eastAsia="仿宋_GB2312"/>
          <w:color w:val="000000"/>
          <w:sz w:val="30"/>
          <w:szCs w:val="30"/>
        </w:rPr>
        <w:t>标准。</w:t>
      </w:r>
    </w:p>
    <w:p w14:paraId="0B5BA7C4">
      <w:pPr>
        <w:pStyle w:val="5"/>
        <w:spacing w:before="120" w:after="120" w:line="360" w:lineRule="auto"/>
        <w:rPr>
          <w:rFonts w:ascii="Times New Roman" w:hAnsi="Times New Roman" w:eastAsia="黑体"/>
          <w:bCs w:val="0"/>
          <w:color w:val="000000"/>
          <w:sz w:val="32"/>
          <w:szCs w:val="32"/>
        </w:rPr>
      </w:pPr>
      <w:r>
        <w:rPr>
          <w:rFonts w:ascii="Times New Roman" w:hAnsi="Times New Roman" w:eastAsia="黑体"/>
          <w:bCs w:val="0"/>
          <w:color w:val="000000"/>
          <w:sz w:val="32"/>
          <w:szCs w:val="32"/>
        </w:rPr>
        <w:t xml:space="preserve">   </w:t>
      </w:r>
      <w:r>
        <w:rPr>
          <w:rFonts w:ascii="Times New Roman" w:hAnsi="Times New Roman" w:eastAsia="黑体"/>
          <w:b w:val="0"/>
          <w:color w:val="000000"/>
          <w:sz w:val="32"/>
          <w:szCs w:val="32"/>
        </w:rPr>
        <w:t xml:space="preserve"> </w:t>
      </w:r>
      <w:bookmarkStart w:id="94" w:name="_Toc351203484"/>
      <w:r>
        <w:rPr>
          <w:rFonts w:ascii="Times New Roman" w:hAnsi="Times New Roman" w:eastAsia="黑体"/>
          <w:b w:val="0"/>
          <w:color w:val="000000"/>
          <w:sz w:val="32"/>
          <w:szCs w:val="32"/>
        </w:rPr>
        <w:t>四、签约合同价与合同价格形式</w:t>
      </w:r>
      <w:bookmarkEnd w:id="94"/>
      <w:r>
        <w:rPr>
          <w:rFonts w:ascii="Times New Roman" w:hAnsi="Times New Roman" w:eastAsia="黑体"/>
          <w:b w:val="0"/>
          <w:color w:val="000000"/>
          <w:sz w:val="32"/>
          <w:szCs w:val="32"/>
        </w:rPr>
        <w:tab/>
      </w:r>
    </w:p>
    <w:p w14:paraId="1C2E5893">
      <w:pPr>
        <w:spacing w:line="360" w:lineRule="auto"/>
        <w:ind w:firstLine="600" w:firstLineChars="200"/>
        <w:rPr>
          <w:rFonts w:eastAsia="仿宋_GB2312"/>
          <w:color w:val="000000"/>
          <w:sz w:val="30"/>
          <w:szCs w:val="30"/>
        </w:rPr>
      </w:pPr>
      <w:r>
        <w:rPr>
          <w:rFonts w:eastAsia="仿宋_GB2312"/>
          <w:color w:val="000000"/>
          <w:sz w:val="30"/>
          <w:szCs w:val="30"/>
        </w:rPr>
        <w:t>1.签约合同价为：</w:t>
      </w:r>
    </w:p>
    <w:p w14:paraId="6CFB50EC">
      <w:pPr>
        <w:spacing w:line="360" w:lineRule="auto"/>
        <w:ind w:firstLine="750" w:firstLineChars="250"/>
        <w:rPr>
          <w:rFonts w:eastAsia="仿宋_GB2312"/>
          <w:color w:val="000000"/>
          <w:sz w:val="30"/>
          <w:szCs w:val="30"/>
        </w:rPr>
      </w:pPr>
      <w:r>
        <w:rPr>
          <w:rFonts w:eastAsia="仿宋_GB2312"/>
          <w:color w:val="000000"/>
          <w:sz w:val="30"/>
          <w:szCs w:val="30"/>
        </w:rPr>
        <w:t>人民币（大写）</w:t>
      </w:r>
      <w:r>
        <w:rPr>
          <w:rFonts w:eastAsia="仿宋_GB2312"/>
          <w:color w:val="000000"/>
          <w:sz w:val="30"/>
          <w:szCs w:val="30"/>
          <w:u w:val="single"/>
        </w:rPr>
        <w:t xml:space="preserve">                  </w:t>
      </w:r>
      <w:r>
        <w:rPr>
          <w:rFonts w:eastAsia="仿宋_GB2312"/>
          <w:color w:val="000000"/>
          <w:sz w:val="30"/>
          <w:szCs w:val="30"/>
        </w:rPr>
        <w:t xml:space="preserve"> (¥</w:t>
      </w:r>
      <w:r>
        <w:rPr>
          <w:rFonts w:eastAsia="仿宋_GB2312"/>
          <w:color w:val="000000"/>
          <w:sz w:val="30"/>
          <w:szCs w:val="30"/>
          <w:u w:val="single"/>
        </w:rPr>
        <w:t xml:space="preserve">                  </w:t>
      </w:r>
      <w:r>
        <w:rPr>
          <w:rFonts w:eastAsia="仿宋_GB2312"/>
          <w:color w:val="000000"/>
          <w:sz w:val="30"/>
          <w:szCs w:val="30"/>
        </w:rPr>
        <w:t>元)；</w:t>
      </w:r>
    </w:p>
    <w:p w14:paraId="0D47745D">
      <w:pPr>
        <w:spacing w:line="360" w:lineRule="auto"/>
        <w:ind w:firstLine="600" w:firstLineChars="200"/>
        <w:rPr>
          <w:rFonts w:eastAsia="仿宋_GB2312"/>
          <w:color w:val="000000"/>
          <w:sz w:val="30"/>
          <w:szCs w:val="30"/>
        </w:rPr>
      </w:pPr>
      <w:r>
        <w:rPr>
          <w:rFonts w:eastAsia="仿宋_GB2312"/>
          <w:color w:val="000000"/>
          <w:sz w:val="30"/>
          <w:szCs w:val="30"/>
        </w:rPr>
        <w:t>2.合同价格形式：</w:t>
      </w:r>
      <w:r>
        <w:rPr>
          <w:rFonts w:hint="eastAsia" w:eastAsia="仿宋_GB2312"/>
          <w:color w:val="000000"/>
          <w:sz w:val="30"/>
          <w:szCs w:val="30"/>
          <w:u w:val="single"/>
        </w:rPr>
        <w:t>固定总价合同（含税）</w:t>
      </w:r>
      <w:r>
        <w:rPr>
          <w:rFonts w:eastAsia="仿宋_GB2312"/>
          <w:color w:val="000000"/>
          <w:sz w:val="30"/>
          <w:szCs w:val="30"/>
        </w:rPr>
        <w:t>。</w:t>
      </w:r>
    </w:p>
    <w:p w14:paraId="22D2B6E8">
      <w:pPr>
        <w:pStyle w:val="5"/>
        <w:spacing w:before="120" w:after="120" w:line="360" w:lineRule="auto"/>
        <w:rPr>
          <w:rFonts w:ascii="Times New Roman" w:hAnsi="Times New Roman" w:eastAsia="黑体"/>
          <w:b w:val="0"/>
          <w:color w:val="000000"/>
          <w:sz w:val="32"/>
          <w:szCs w:val="32"/>
        </w:rPr>
      </w:pPr>
      <w:r>
        <w:rPr>
          <w:rFonts w:ascii="Times New Roman" w:hAnsi="Times New Roman" w:eastAsia="黑体"/>
          <w:bCs w:val="0"/>
          <w:color w:val="000000"/>
          <w:sz w:val="32"/>
          <w:szCs w:val="32"/>
        </w:rPr>
        <w:t xml:space="preserve">   </w:t>
      </w:r>
      <w:r>
        <w:rPr>
          <w:rFonts w:ascii="Times New Roman" w:hAnsi="Times New Roman" w:eastAsia="黑体"/>
          <w:b w:val="0"/>
          <w:color w:val="000000"/>
          <w:sz w:val="32"/>
          <w:szCs w:val="32"/>
        </w:rPr>
        <w:t xml:space="preserve"> </w:t>
      </w:r>
      <w:bookmarkStart w:id="95" w:name="_Toc351203485"/>
      <w:r>
        <w:rPr>
          <w:rFonts w:ascii="Times New Roman" w:hAnsi="Times New Roman" w:eastAsia="黑体"/>
          <w:b w:val="0"/>
          <w:color w:val="000000"/>
          <w:sz w:val="32"/>
          <w:szCs w:val="32"/>
        </w:rPr>
        <w:t>五、</w:t>
      </w:r>
      <w:bookmarkEnd w:id="95"/>
      <w:r>
        <w:rPr>
          <w:rFonts w:ascii="Times New Roman" w:hAnsi="Times New Roman" w:eastAsia="黑体"/>
          <w:b w:val="0"/>
          <w:color w:val="000000"/>
          <w:sz w:val="32"/>
          <w:szCs w:val="32"/>
        </w:rPr>
        <w:t>项目经理</w:t>
      </w:r>
    </w:p>
    <w:p w14:paraId="74FF383B">
      <w:pPr>
        <w:spacing w:line="360" w:lineRule="auto"/>
        <w:ind w:firstLine="600" w:firstLineChars="200"/>
        <w:rPr>
          <w:rFonts w:eastAsia="仿宋_GB2312"/>
          <w:color w:val="000000"/>
          <w:sz w:val="30"/>
          <w:szCs w:val="30"/>
        </w:rPr>
      </w:pPr>
      <w:r>
        <w:rPr>
          <w:rFonts w:eastAsia="仿宋_GB2312"/>
          <w:color w:val="000000"/>
          <w:sz w:val="30"/>
          <w:szCs w:val="30"/>
        </w:rPr>
        <w:t>承包人项目经理：</w:t>
      </w:r>
      <w:r>
        <w:rPr>
          <w:rFonts w:eastAsia="仿宋_GB2312"/>
          <w:color w:val="000000"/>
          <w:sz w:val="30"/>
          <w:szCs w:val="30"/>
          <w:u w:val="single"/>
        </w:rPr>
        <w:t xml:space="preserve">                  </w:t>
      </w:r>
      <w:r>
        <w:rPr>
          <w:rFonts w:eastAsia="仿宋_GB2312"/>
          <w:color w:val="000000"/>
          <w:sz w:val="30"/>
          <w:szCs w:val="30"/>
        </w:rPr>
        <w:t>。</w:t>
      </w:r>
    </w:p>
    <w:p w14:paraId="0922CA2C">
      <w:pPr>
        <w:pStyle w:val="5"/>
        <w:spacing w:before="120" w:after="120" w:line="360" w:lineRule="auto"/>
        <w:rPr>
          <w:rFonts w:ascii="Times New Roman" w:hAnsi="Times New Roman" w:eastAsia="黑体"/>
          <w:bCs w:val="0"/>
          <w:color w:val="000000"/>
          <w:sz w:val="32"/>
          <w:szCs w:val="32"/>
        </w:rPr>
      </w:pPr>
      <w:r>
        <w:rPr>
          <w:rFonts w:ascii="Times New Roman" w:hAnsi="Times New Roman" w:eastAsia="黑体"/>
          <w:bCs w:val="0"/>
          <w:color w:val="000000"/>
          <w:sz w:val="32"/>
          <w:szCs w:val="32"/>
        </w:rPr>
        <w:t xml:space="preserve">   </w:t>
      </w:r>
      <w:r>
        <w:rPr>
          <w:rFonts w:ascii="Times New Roman" w:hAnsi="Times New Roman" w:eastAsia="黑体"/>
          <w:b w:val="0"/>
          <w:color w:val="000000"/>
          <w:sz w:val="32"/>
          <w:szCs w:val="32"/>
        </w:rPr>
        <w:t xml:space="preserve"> </w:t>
      </w:r>
      <w:bookmarkStart w:id="96" w:name="_Toc351203486"/>
      <w:r>
        <w:rPr>
          <w:rFonts w:ascii="Times New Roman" w:hAnsi="Times New Roman" w:eastAsia="黑体"/>
          <w:b w:val="0"/>
          <w:color w:val="000000"/>
          <w:sz w:val="32"/>
          <w:szCs w:val="32"/>
        </w:rPr>
        <w:t>六、合同文件构成</w:t>
      </w:r>
      <w:bookmarkEnd w:id="96"/>
    </w:p>
    <w:p w14:paraId="27D25B7C">
      <w:pPr>
        <w:spacing w:line="360" w:lineRule="auto"/>
        <w:ind w:firstLine="600" w:firstLineChars="200"/>
        <w:rPr>
          <w:rFonts w:eastAsia="仿宋_GB2312"/>
          <w:bCs/>
          <w:color w:val="000000"/>
          <w:sz w:val="30"/>
          <w:szCs w:val="30"/>
        </w:rPr>
      </w:pPr>
      <w:r>
        <w:rPr>
          <w:rFonts w:eastAsia="仿宋_GB2312"/>
          <w:bCs/>
          <w:color w:val="000000"/>
          <w:sz w:val="30"/>
          <w:szCs w:val="30"/>
        </w:rPr>
        <w:t>本协议书与下列文件一起构成合同文件：</w:t>
      </w:r>
    </w:p>
    <w:p w14:paraId="39FFAFBD">
      <w:pPr>
        <w:autoSpaceDE w:val="0"/>
        <w:autoSpaceDN w:val="0"/>
        <w:adjustRightInd w:val="0"/>
        <w:spacing w:line="360" w:lineRule="auto"/>
        <w:ind w:firstLine="600" w:firstLineChars="200"/>
        <w:jc w:val="left"/>
        <w:rPr>
          <w:rFonts w:eastAsia="仿宋_GB2312"/>
          <w:color w:val="000000"/>
          <w:sz w:val="30"/>
          <w:szCs w:val="30"/>
        </w:rPr>
      </w:pPr>
      <w:r>
        <w:rPr>
          <w:rFonts w:eastAsia="仿宋_GB2312"/>
          <w:color w:val="000000"/>
          <w:sz w:val="30"/>
          <w:szCs w:val="30"/>
        </w:rPr>
        <w:t>（1）</w:t>
      </w:r>
      <w:r>
        <w:rPr>
          <w:rFonts w:hint="eastAsia" w:eastAsia="仿宋_GB2312"/>
          <w:color w:val="000000"/>
          <w:sz w:val="30"/>
          <w:szCs w:val="30"/>
        </w:rPr>
        <w:t>成交</w:t>
      </w:r>
      <w:r>
        <w:rPr>
          <w:rFonts w:eastAsia="仿宋_GB2312"/>
          <w:color w:val="000000"/>
          <w:sz w:val="30"/>
          <w:szCs w:val="30"/>
        </w:rPr>
        <w:t>通知书；</w:t>
      </w:r>
    </w:p>
    <w:p w14:paraId="1BA9A829">
      <w:pPr>
        <w:autoSpaceDE w:val="0"/>
        <w:autoSpaceDN w:val="0"/>
        <w:adjustRightInd w:val="0"/>
        <w:spacing w:line="360" w:lineRule="auto"/>
        <w:ind w:firstLine="600" w:firstLineChars="200"/>
        <w:jc w:val="left"/>
        <w:rPr>
          <w:rFonts w:eastAsia="仿宋_GB2312"/>
          <w:color w:val="000000"/>
          <w:sz w:val="30"/>
          <w:szCs w:val="30"/>
        </w:rPr>
      </w:pPr>
      <w:r>
        <w:rPr>
          <w:rFonts w:eastAsia="仿宋_GB2312"/>
          <w:color w:val="000000"/>
          <w:sz w:val="30"/>
          <w:szCs w:val="30"/>
        </w:rPr>
        <w:t>（2）</w:t>
      </w:r>
      <w:r>
        <w:rPr>
          <w:rFonts w:hint="eastAsia" w:eastAsia="仿宋_GB2312" w:cs="仿宋_GB2312"/>
          <w:color w:val="000000"/>
          <w:sz w:val="30"/>
          <w:szCs w:val="32"/>
          <w:lang w:bidi="ar"/>
        </w:rPr>
        <w:t>谈判响应书</w:t>
      </w:r>
      <w:r>
        <w:rPr>
          <w:rFonts w:eastAsia="仿宋_GB2312"/>
          <w:color w:val="000000"/>
          <w:sz w:val="30"/>
          <w:szCs w:val="30"/>
        </w:rPr>
        <w:t xml:space="preserve">； </w:t>
      </w:r>
    </w:p>
    <w:p w14:paraId="1DB5D953">
      <w:pPr>
        <w:autoSpaceDE w:val="0"/>
        <w:autoSpaceDN w:val="0"/>
        <w:adjustRightInd w:val="0"/>
        <w:spacing w:line="360" w:lineRule="auto"/>
        <w:ind w:firstLine="600" w:firstLineChars="200"/>
        <w:jc w:val="left"/>
        <w:rPr>
          <w:rFonts w:eastAsia="仿宋_GB2312"/>
          <w:color w:val="000000"/>
          <w:sz w:val="30"/>
          <w:szCs w:val="30"/>
        </w:rPr>
      </w:pPr>
      <w:r>
        <w:rPr>
          <w:rFonts w:eastAsia="仿宋_GB2312"/>
          <w:color w:val="000000"/>
          <w:sz w:val="30"/>
          <w:szCs w:val="30"/>
        </w:rPr>
        <w:t>（3）专用合同条款及其附件；</w:t>
      </w:r>
    </w:p>
    <w:p w14:paraId="641448A8">
      <w:pPr>
        <w:autoSpaceDE w:val="0"/>
        <w:autoSpaceDN w:val="0"/>
        <w:adjustRightInd w:val="0"/>
        <w:spacing w:line="360" w:lineRule="auto"/>
        <w:ind w:firstLine="600" w:firstLineChars="200"/>
        <w:jc w:val="left"/>
        <w:rPr>
          <w:rFonts w:eastAsia="仿宋_GB2312"/>
          <w:color w:val="000000"/>
          <w:sz w:val="30"/>
          <w:szCs w:val="30"/>
        </w:rPr>
      </w:pPr>
      <w:r>
        <w:rPr>
          <w:rFonts w:eastAsia="仿宋_GB2312"/>
          <w:color w:val="000000"/>
          <w:sz w:val="30"/>
          <w:szCs w:val="30"/>
        </w:rPr>
        <w:t>（4）通用合同条款；</w:t>
      </w:r>
    </w:p>
    <w:p w14:paraId="6BB7DE9E">
      <w:pPr>
        <w:autoSpaceDE w:val="0"/>
        <w:autoSpaceDN w:val="0"/>
        <w:adjustRightInd w:val="0"/>
        <w:spacing w:line="360" w:lineRule="auto"/>
        <w:ind w:firstLine="600" w:firstLineChars="200"/>
        <w:jc w:val="left"/>
        <w:rPr>
          <w:rFonts w:eastAsia="仿宋_GB2312"/>
          <w:color w:val="000000"/>
          <w:sz w:val="30"/>
          <w:szCs w:val="30"/>
        </w:rPr>
      </w:pPr>
      <w:r>
        <w:rPr>
          <w:rFonts w:eastAsia="仿宋_GB2312"/>
          <w:color w:val="000000"/>
          <w:sz w:val="30"/>
          <w:szCs w:val="30"/>
        </w:rPr>
        <w:t>（5）技术标准和要求；</w:t>
      </w:r>
    </w:p>
    <w:p w14:paraId="5A44BD41">
      <w:pPr>
        <w:autoSpaceDE w:val="0"/>
        <w:autoSpaceDN w:val="0"/>
        <w:adjustRightInd w:val="0"/>
        <w:spacing w:line="360" w:lineRule="auto"/>
        <w:ind w:firstLine="600" w:firstLineChars="200"/>
        <w:jc w:val="left"/>
        <w:rPr>
          <w:rFonts w:eastAsia="仿宋_GB2312"/>
          <w:color w:val="000000"/>
          <w:sz w:val="30"/>
          <w:szCs w:val="30"/>
        </w:rPr>
      </w:pPr>
      <w:r>
        <w:rPr>
          <w:rFonts w:eastAsia="仿宋_GB2312"/>
          <w:color w:val="000000"/>
          <w:sz w:val="30"/>
          <w:szCs w:val="30"/>
        </w:rPr>
        <w:t>（6）图纸</w:t>
      </w:r>
      <w:r>
        <w:rPr>
          <w:rFonts w:hint="eastAsia" w:eastAsia="仿宋_GB2312" w:cs="仿宋_GB2312"/>
          <w:color w:val="000000"/>
          <w:sz w:val="30"/>
          <w:szCs w:val="32"/>
          <w:lang w:bidi="ar"/>
        </w:rPr>
        <w:t>或拆除清单</w:t>
      </w:r>
      <w:r>
        <w:rPr>
          <w:rFonts w:eastAsia="仿宋_GB2312"/>
          <w:color w:val="000000"/>
          <w:sz w:val="30"/>
          <w:szCs w:val="30"/>
        </w:rPr>
        <w:t>；</w:t>
      </w:r>
    </w:p>
    <w:p w14:paraId="0B477541">
      <w:pPr>
        <w:autoSpaceDE w:val="0"/>
        <w:autoSpaceDN w:val="0"/>
        <w:adjustRightInd w:val="0"/>
        <w:spacing w:line="360" w:lineRule="auto"/>
        <w:ind w:firstLine="600" w:firstLineChars="200"/>
        <w:jc w:val="left"/>
        <w:rPr>
          <w:rFonts w:eastAsia="仿宋_GB2312"/>
          <w:color w:val="000000"/>
          <w:sz w:val="30"/>
          <w:szCs w:val="30"/>
        </w:rPr>
      </w:pPr>
      <w:r>
        <w:rPr>
          <w:rFonts w:eastAsia="仿宋_GB2312"/>
          <w:color w:val="000000"/>
          <w:sz w:val="30"/>
          <w:szCs w:val="30"/>
        </w:rPr>
        <w:t>（7）</w:t>
      </w:r>
      <w:r>
        <w:rPr>
          <w:rFonts w:hint="eastAsia" w:eastAsia="仿宋_GB2312"/>
          <w:color w:val="000000"/>
          <w:sz w:val="30"/>
          <w:szCs w:val="30"/>
        </w:rPr>
        <w:t>谈判</w:t>
      </w:r>
      <w:r>
        <w:rPr>
          <w:rFonts w:eastAsia="仿宋_GB2312"/>
          <w:color w:val="000000"/>
          <w:sz w:val="30"/>
          <w:szCs w:val="30"/>
        </w:rPr>
        <w:t>采购</w:t>
      </w:r>
      <w:r>
        <w:rPr>
          <w:rFonts w:hint="eastAsia" w:eastAsia="仿宋_GB2312"/>
          <w:color w:val="000000"/>
          <w:sz w:val="30"/>
          <w:szCs w:val="30"/>
        </w:rPr>
        <w:t>文件</w:t>
      </w:r>
    </w:p>
    <w:p w14:paraId="31064C2A">
      <w:pPr>
        <w:autoSpaceDE w:val="0"/>
        <w:autoSpaceDN w:val="0"/>
        <w:adjustRightInd w:val="0"/>
        <w:spacing w:line="360" w:lineRule="auto"/>
        <w:ind w:firstLine="600" w:firstLineChars="200"/>
        <w:jc w:val="left"/>
        <w:rPr>
          <w:rFonts w:eastAsia="仿宋_GB2312"/>
          <w:color w:val="000000"/>
          <w:sz w:val="30"/>
          <w:szCs w:val="30"/>
        </w:rPr>
      </w:pPr>
      <w:r>
        <w:rPr>
          <w:rFonts w:eastAsia="仿宋_GB2312"/>
          <w:color w:val="000000"/>
          <w:sz w:val="30"/>
          <w:szCs w:val="30"/>
        </w:rPr>
        <w:t>（8）其他合同文件。</w:t>
      </w:r>
    </w:p>
    <w:p w14:paraId="3AB309EA">
      <w:pPr>
        <w:autoSpaceDE w:val="0"/>
        <w:autoSpaceDN w:val="0"/>
        <w:adjustRightInd w:val="0"/>
        <w:spacing w:line="360" w:lineRule="auto"/>
        <w:ind w:firstLine="600" w:firstLineChars="200"/>
        <w:jc w:val="left"/>
        <w:rPr>
          <w:rFonts w:eastAsia="仿宋_GB2312"/>
          <w:color w:val="000000"/>
          <w:sz w:val="30"/>
          <w:szCs w:val="30"/>
        </w:rPr>
      </w:pPr>
      <w:r>
        <w:rPr>
          <w:rFonts w:eastAsia="仿宋_GB2312"/>
          <w:color w:val="000000"/>
          <w:sz w:val="30"/>
          <w:szCs w:val="30"/>
        </w:rPr>
        <w:t>在合同订立及履行过程中形成的与合同有关的文件均构成合同文件组成部分。</w:t>
      </w:r>
    </w:p>
    <w:p w14:paraId="3FF8B6D3">
      <w:pPr>
        <w:autoSpaceDE w:val="0"/>
        <w:autoSpaceDN w:val="0"/>
        <w:adjustRightInd w:val="0"/>
        <w:spacing w:line="360" w:lineRule="auto"/>
        <w:ind w:firstLine="600" w:firstLineChars="200"/>
        <w:jc w:val="left"/>
        <w:rPr>
          <w:rFonts w:eastAsia="仿宋_GB2312"/>
          <w:color w:val="000000"/>
          <w:sz w:val="30"/>
          <w:szCs w:val="30"/>
        </w:rPr>
      </w:pPr>
      <w:r>
        <w:rPr>
          <w:rFonts w:eastAsia="仿宋_GB2312"/>
          <w:color w:val="000000"/>
          <w:sz w:val="30"/>
          <w:szCs w:val="30"/>
        </w:rPr>
        <w:t>上述各项合同文件包括合同当事人就该项合同文件所作出的补充和修改，属于同一类内容的文件，应以最新签署的为准。</w:t>
      </w:r>
      <w:r>
        <w:rPr>
          <w:rFonts w:hint="eastAsia" w:eastAsia="仿宋_GB2312"/>
          <w:color w:val="000000"/>
          <w:sz w:val="30"/>
          <w:szCs w:val="30"/>
        </w:rPr>
        <w:t>专用合同条款及其附件须经合同当事人签字或盖章。</w:t>
      </w:r>
    </w:p>
    <w:p w14:paraId="016C0915">
      <w:pPr>
        <w:pStyle w:val="5"/>
        <w:spacing w:before="120" w:after="120" w:line="360" w:lineRule="auto"/>
        <w:rPr>
          <w:rFonts w:ascii="Times New Roman" w:hAnsi="Times New Roman" w:eastAsia="黑体"/>
          <w:b w:val="0"/>
          <w:bCs w:val="0"/>
          <w:color w:val="000000"/>
          <w:sz w:val="32"/>
          <w:szCs w:val="32"/>
        </w:rPr>
      </w:pPr>
      <w:r>
        <w:rPr>
          <w:rFonts w:ascii="Times New Roman" w:hAnsi="Times New Roman" w:eastAsia="黑体"/>
          <w:b w:val="0"/>
          <w:bCs w:val="0"/>
          <w:color w:val="000000"/>
          <w:sz w:val="32"/>
          <w:szCs w:val="32"/>
        </w:rPr>
        <w:t xml:space="preserve">   </w:t>
      </w:r>
      <w:r>
        <w:rPr>
          <w:rFonts w:ascii="Times New Roman" w:hAnsi="Times New Roman" w:eastAsia="黑体"/>
          <w:b w:val="0"/>
          <w:color w:val="000000"/>
          <w:sz w:val="32"/>
          <w:szCs w:val="32"/>
        </w:rPr>
        <w:t xml:space="preserve"> </w:t>
      </w:r>
      <w:bookmarkStart w:id="97" w:name="_Toc351203487"/>
      <w:r>
        <w:rPr>
          <w:rFonts w:ascii="Times New Roman" w:hAnsi="Times New Roman" w:eastAsia="黑体"/>
          <w:b w:val="0"/>
          <w:color w:val="000000"/>
          <w:sz w:val="32"/>
          <w:szCs w:val="32"/>
        </w:rPr>
        <w:t>七、承诺</w:t>
      </w:r>
      <w:bookmarkEnd w:id="97"/>
    </w:p>
    <w:p w14:paraId="21B620A6">
      <w:pPr>
        <w:spacing w:line="360" w:lineRule="auto"/>
        <w:ind w:firstLine="600" w:firstLineChars="200"/>
        <w:rPr>
          <w:rFonts w:eastAsia="仿宋_GB2312"/>
          <w:bCs/>
          <w:color w:val="000000"/>
          <w:sz w:val="30"/>
          <w:szCs w:val="30"/>
        </w:rPr>
      </w:pPr>
      <w:r>
        <w:rPr>
          <w:rFonts w:eastAsia="仿宋_GB2312"/>
          <w:bCs/>
          <w:color w:val="000000"/>
          <w:sz w:val="30"/>
          <w:szCs w:val="30"/>
        </w:rPr>
        <w:t>1.发包人承诺按照法律规定履行项目审批手续、筹集工程建设资金并按照合同约定的期限和方式支付合同价款。</w:t>
      </w:r>
    </w:p>
    <w:p w14:paraId="09CAE694">
      <w:pPr>
        <w:spacing w:line="360" w:lineRule="auto"/>
        <w:ind w:firstLine="600" w:firstLineChars="200"/>
        <w:rPr>
          <w:rFonts w:eastAsia="仿宋_GB2312"/>
          <w:bCs/>
          <w:color w:val="000000"/>
          <w:sz w:val="30"/>
          <w:szCs w:val="30"/>
        </w:rPr>
      </w:pPr>
      <w:r>
        <w:rPr>
          <w:rFonts w:eastAsia="仿宋_GB2312"/>
          <w:bCs/>
          <w:color w:val="000000"/>
          <w:sz w:val="30"/>
          <w:szCs w:val="30"/>
        </w:rPr>
        <w:t>2.承包人承诺按照法律规定及合同约定组织完成工程施工，确保工程质量和安全，不进行转包及违法分包，并在缺陷责任期及保修期内承担相应的工程维修责任。</w:t>
      </w:r>
    </w:p>
    <w:p w14:paraId="5CEEADEF">
      <w:pPr>
        <w:spacing w:line="360" w:lineRule="auto"/>
        <w:ind w:firstLine="600" w:firstLineChars="200"/>
        <w:rPr>
          <w:rFonts w:eastAsia="仿宋_GB2312"/>
          <w:bCs/>
          <w:color w:val="000000"/>
          <w:sz w:val="30"/>
          <w:szCs w:val="30"/>
        </w:rPr>
      </w:pPr>
      <w:r>
        <w:rPr>
          <w:rFonts w:eastAsia="仿宋_GB2312"/>
          <w:bCs/>
          <w:color w:val="000000"/>
          <w:sz w:val="30"/>
          <w:szCs w:val="30"/>
        </w:rPr>
        <w:t>3.发包人和承包人通过招投标形式签订合同的，双方理解并</w:t>
      </w:r>
      <w:r>
        <w:rPr>
          <w:rFonts w:hint="eastAsia" w:eastAsia="仿宋_GB2312"/>
          <w:bCs/>
          <w:color w:val="000000"/>
          <w:sz w:val="30"/>
          <w:szCs w:val="30"/>
        </w:rPr>
        <w:t>承诺</w:t>
      </w:r>
      <w:r>
        <w:rPr>
          <w:rFonts w:eastAsia="仿宋_GB2312"/>
          <w:bCs/>
          <w:color w:val="000000"/>
          <w:sz w:val="30"/>
          <w:szCs w:val="30"/>
        </w:rPr>
        <w:t>不再就同一工程另行签订与合同实质性内容相背离的协议。</w:t>
      </w:r>
    </w:p>
    <w:p w14:paraId="6C1534E9">
      <w:pPr>
        <w:spacing w:line="360" w:lineRule="auto"/>
        <w:rPr>
          <w:rFonts w:eastAsia="黑体"/>
          <w:bCs/>
          <w:color w:val="000000"/>
          <w:sz w:val="32"/>
          <w:szCs w:val="32"/>
        </w:rPr>
      </w:pPr>
      <w:bookmarkStart w:id="98" w:name="_Toc351203488"/>
      <w:r>
        <w:rPr>
          <w:rFonts w:hint="eastAsia" w:eastAsia="黑体"/>
          <w:b/>
          <w:color w:val="000000"/>
          <w:sz w:val="32"/>
          <w:szCs w:val="32"/>
        </w:rPr>
        <w:t xml:space="preserve">    </w:t>
      </w:r>
      <w:r>
        <w:rPr>
          <w:rFonts w:eastAsia="黑体"/>
          <w:b/>
          <w:color w:val="000000"/>
          <w:sz w:val="32"/>
          <w:szCs w:val="32"/>
        </w:rPr>
        <w:t>八、词语含义</w:t>
      </w:r>
      <w:bookmarkEnd w:id="98"/>
    </w:p>
    <w:p w14:paraId="6FC768CA">
      <w:pPr>
        <w:spacing w:line="360" w:lineRule="auto"/>
        <w:ind w:firstLine="600" w:firstLineChars="200"/>
        <w:rPr>
          <w:rFonts w:eastAsia="仿宋_GB2312"/>
          <w:bCs/>
          <w:color w:val="000000"/>
          <w:sz w:val="30"/>
          <w:szCs w:val="30"/>
        </w:rPr>
      </w:pPr>
      <w:r>
        <w:rPr>
          <w:rFonts w:eastAsia="仿宋_GB2312"/>
          <w:bCs/>
          <w:color w:val="000000"/>
          <w:sz w:val="30"/>
          <w:szCs w:val="30"/>
        </w:rPr>
        <w:t>本协议书中词语含义与第二部分通用合同条款中赋予的含义相同。</w:t>
      </w:r>
    </w:p>
    <w:p w14:paraId="48CD11FB">
      <w:pPr>
        <w:pStyle w:val="5"/>
        <w:spacing w:before="120" w:after="120" w:line="360" w:lineRule="auto"/>
        <w:rPr>
          <w:rFonts w:ascii="Times New Roman" w:hAnsi="Times New Roman" w:eastAsia="黑体"/>
          <w:bCs w:val="0"/>
          <w:color w:val="000000"/>
          <w:sz w:val="32"/>
          <w:szCs w:val="32"/>
        </w:rPr>
      </w:pPr>
      <w:r>
        <w:rPr>
          <w:rFonts w:ascii="Times New Roman" w:hAnsi="Times New Roman" w:eastAsia="黑体"/>
          <w:bCs w:val="0"/>
          <w:color w:val="000000"/>
          <w:sz w:val="32"/>
          <w:szCs w:val="32"/>
        </w:rPr>
        <w:t xml:space="preserve">  </w:t>
      </w:r>
      <w:r>
        <w:rPr>
          <w:rFonts w:ascii="Times New Roman" w:hAnsi="Times New Roman" w:eastAsia="黑体"/>
          <w:b w:val="0"/>
          <w:color w:val="000000"/>
          <w:sz w:val="32"/>
          <w:szCs w:val="32"/>
        </w:rPr>
        <w:t xml:space="preserve">  </w:t>
      </w:r>
      <w:bookmarkStart w:id="99" w:name="_Toc351203489"/>
      <w:r>
        <w:rPr>
          <w:rFonts w:ascii="Times New Roman" w:hAnsi="Times New Roman" w:eastAsia="黑体"/>
          <w:b w:val="0"/>
          <w:color w:val="000000"/>
          <w:sz w:val="32"/>
          <w:szCs w:val="32"/>
        </w:rPr>
        <w:t>九、签订时间</w:t>
      </w:r>
      <w:bookmarkEnd w:id="99"/>
    </w:p>
    <w:p w14:paraId="7C985195">
      <w:pPr>
        <w:spacing w:line="360" w:lineRule="auto"/>
        <w:ind w:firstLine="600" w:firstLineChars="200"/>
        <w:rPr>
          <w:rFonts w:eastAsia="仿宋_GB2312"/>
          <w:bCs/>
          <w:color w:val="000000"/>
          <w:sz w:val="30"/>
          <w:szCs w:val="30"/>
        </w:rPr>
      </w:pPr>
      <w:r>
        <w:rPr>
          <w:rFonts w:eastAsia="仿宋_GB2312"/>
          <w:bCs/>
          <w:color w:val="000000"/>
          <w:sz w:val="30"/>
          <w:szCs w:val="30"/>
        </w:rPr>
        <w:t>本合同于</w:t>
      </w:r>
      <w:r>
        <w:rPr>
          <w:rFonts w:eastAsia="仿宋_GB2312"/>
          <w:color w:val="000000"/>
          <w:sz w:val="30"/>
          <w:szCs w:val="30"/>
          <w:u w:val="single"/>
        </w:rPr>
        <w:t xml:space="preserve">         </w:t>
      </w:r>
      <w:r>
        <w:rPr>
          <w:rFonts w:eastAsia="仿宋_GB2312"/>
          <w:bCs/>
          <w:color w:val="000000"/>
          <w:sz w:val="30"/>
          <w:szCs w:val="30"/>
        </w:rPr>
        <w:t>年</w:t>
      </w:r>
      <w:r>
        <w:rPr>
          <w:rFonts w:eastAsia="仿宋_GB2312"/>
          <w:color w:val="000000"/>
          <w:sz w:val="30"/>
          <w:szCs w:val="30"/>
          <w:u w:val="single"/>
        </w:rPr>
        <w:t xml:space="preserve">         </w:t>
      </w:r>
      <w:r>
        <w:rPr>
          <w:rFonts w:eastAsia="仿宋_GB2312"/>
          <w:bCs/>
          <w:color w:val="000000"/>
          <w:sz w:val="30"/>
          <w:szCs w:val="30"/>
        </w:rPr>
        <w:t>月</w:t>
      </w:r>
      <w:r>
        <w:rPr>
          <w:rFonts w:eastAsia="仿宋_GB2312"/>
          <w:color w:val="000000"/>
          <w:sz w:val="30"/>
          <w:szCs w:val="30"/>
          <w:u w:val="single"/>
        </w:rPr>
        <w:t xml:space="preserve">         </w:t>
      </w:r>
      <w:r>
        <w:rPr>
          <w:rFonts w:eastAsia="仿宋_GB2312"/>
          <w:bCs/>
          <w:color w:val="000000"/>
          <w:sz w:val="30"/>
          <w:szCs w:val="30"/>
        </w:rPr>
        <w:t>日签订。</w:t>
      </w:r>
    </w:p>
    <w:p w14:paraId="69DE4274">
      <w:pPr>
        <w:pStyle w:val="5"/>
        <w:spacing w:before="120" w:after="120" w:line="360" w:lineRule="auto"/>
        <w:rPr>
          <w:rFonts w:ascii="Times New Roman" w:hAnsi="Times New Roman" w:eastAsia="黑体"/>
          <w:bCs w:val="0"/>
          <w:color w:val="000000"/>
          <w:sz w:val="32"/>
          <w:szCs w:val="32"/>
        </w:rPr>
      </w:pPr>
      <w:r>
        <w:rPr>
          <w:rFonts w:ascii="Times New Roman" w:hAnsi="Times New Roman" w:eastAsia="黑体"/>
          <w:bCs w:val="0"/>
          <w:color w:val="000000"/>
          <w:sz w:val="32"/>
          <w:szCs w:val="32"/>
        </w:rPr>
        <w:t xml:space="preserve">    </w:t>
      </w:r>
      <w:bookmarkStart w:id="100" w:name="_Toc351203490"/>
      <w:r>
        <w:rPr>
          <w:rFonts w:ascii="Times New Roman" w:hAnsi="Times New Roman" w:eastAsia="黑体"/>
          <w:b w:val="0"/>
          <w:color w:val="000000"/>
          <w:sz w:val="32"/>
          <w:szCs w:val="32"/>
        </w:rPr>
        <w:t>十、签订地点</w:t>
      </w:r>
      <w:bookmarkEnd w:id="100"/>
    </w:p>
    <w:p w14:paraId="5501C32E">
      <w:pPr>
        <w:spacing w:line="360" w:lineRule="auto"/>
        <w:ind w:firstLine="600" w:firstLineChars="200"/>
        <w:rPr>
          <w:rFonts w:eastAsia="仿宋_GB2312"/>
          <w:bCs/>
          <w:color w:val="000000"/>
          <w:sz w:val="30"/>
          <w:szCs w:val="30"/>
        </w:rPr>
      </w:pPr>
      <w:r>
        <w:rPr>
          <w:rFonts w:eastAsia="仿宋_GB2312"/>
          <w:bCs/>
          <w:color w:val="000000"/>
          <w:sz w:val="30"/>
          <w:szCs w:val="30"/>
        </w:rPr>
        <w:t>本合同在</w:t>
      </w:r>
      <w:r>
        <w:rPr>
          <w:rFonts w:eastAsia="仿宋_GB2312"/>
          <w:color w:val="000000"/>
          <w:sz w:val="30"/>
          <w:szCs w:val="30"/>
          <w:u w:val="single"/>
        </w:rPr>
        <w:t xml:space="preserve">                                </w:t>
      </w:r>
      <w:r>
        <w:rPr>
          <w:rFonts w:eastAsia="仿宋_GB2312"/>
          <w:bCs/>
          <w:color w:val="000000"/>
          <w:sz w:val="30"/>
          <w:szCs w:val="30"/>
        </w:rPr>
        <w:t>签订。</w:t>
      </w:r>
    </w:p>
    <w:p w14:paraId="0E3B9879">
      <w:pPr>
        <w:pStyle w:val="5"/>
        <w:spacing w:before="120" w:after="120" w:line="360" w:lineRule="auto"/>
        <w:rPr>
          <w:rFonts w:ascii="Times New Roman" w:hAnsi="Times New Roman" w:eastAsia="黑体"/>
          <w:bCs w:val="0"/>
          <w:color w:val="000000"/>
          <w:sz w:val="32"/>
          <w:szCs w:val="32"/>
        </w:rPr>
      </w:pPr>
      <w:r>
        <w:rPr>
          <w:rFonts w:ascii="Times New Roman" w:hAnsi="Times New Roman" w:eastAsia="黑体"/>
          <w:bCs w:val="0"/>
          <w:color w:val="000000"/>
          <w:sz w:val="32"/>
          <w:szCs w:val="32"/>
        </w:rPr>
        <w:t xml:space="preserve">    </w:t>
      </w:r>
      <w:bookmarkStart w:id="101" w:name="_Toc351203491"/>
      <w:r>
        <w:rPr>
          <w:rFonts w:ascii="Times New Roman" w:hAnsi="Times New Roman" w:eastAsia="黑体"/>
          <w:b w:val="0"/>
          <w:color w:val="000000"/>
          <w:sz w:val="32"/>
          <w:szCs w:val="32"/>
        </w:rPr>
        <w:t>十一、补充协议</w:t>
      </w:r>
      <w:bookmarkEnd w:id="101"/>
    </w:p>
    <w:p w14:paraId="7AED9FC9">
      <w:pPr>
        <w:spacing w:line="360" w:lineRule="auto"/>
        <w:ind w:firstLine="600" w:firstLineChars="200"/>
        <w:rPr>
          <w:rFonts w:eastAsia="仿宋_GB2312"/>
          <w:b/>
          <w:bCs/>
          <w:color w:val="000000"/>
          <w:sz w:val="30"/>
          <w:szCs w:val="30"/>
        </w:rPr>
      </w:pPr>
      <w:r>
        <w:rPr>
          <w:rFonts w:eastAsia="仿宋_GB2312"/>
          <w:bCs/>
          <w:color w:val="000000"/>
          <w:sz w:val="30"/>
          <w:szCs w:val="30"/>
        </w:rPr>
        <w:t>合同未尽事宜，合同当事人另行签订补充协议</w:t>
      </w:r>
      <w:r>
        <w:rPr>
          <w:rFonts w:hint="eastAsia" w:eastAsia="仿宋_GB2312"/>
          <w:bCs/>
          <w:color w:val="000000"/>
          <w:sz w:val="30"/>
          <w:szCs w:val="30"/>
        </w:rPr>
        <w:t>，</w:t>
      </w:r>
      <w:r>
        <w:rPr>
          <w:rFonts w:eastAsia="仿宋_GB2312"/>
          <w:bCs/>
          <w:color w:val="000000"/>
          <w:sz w:val="30"/>
          <w:szCs w:val="30"/>
        </w:rPr>
        <w:t>补充协议是合同的组成部分。</w:t>
      </w:r>
    </w:p>
    <w:p w14:paraId="6EFC0FDD">
      <w:pPr>
        <w:pStyle w:val="5"/>
        <w:spacing w:before="120" w:after="120" w:line="360" w:lineRule="auto"/>
        <w:rPr>
          <w:rFonts w:ascii="Times New Roman" w:hAnsi="Times New Roman" w:eastAsia="黑体"/>
          <w:bCs w:val="0"/>
          <w:color w:val="000000"/>
          <w:sz w:val="32"/>
          <w:szCs w:val="32"/>
        </w:rPr>
      </w:pPr>
      <w:r>
        <w:rPr>
          <w:rFonts w:ascii="Times New Roman" w:hAnsi="Times New Roman" w:eastAsia="黑体"/>
          <w:bCs w:val="0"/>
          <w:color w:val="000000"/>
          <w:sz w:val="32"/>
          <w:szCs w:val="32"/>
        </w:rPr>
        <w:t xml:space="preserve">    </w:t>
      </w:r>
      <w:bookmarkStart w:id="102" w:name="_Toc351203492"/>
      <w:r>
        <w:rPr>
          <w:rFonts w:ascii="Times New Roman" w:hAnsi="Times New Roman" w:eastAsia="黑体"/>
          <w:b w:val="0"/>
          <w:color w:val="000000"/>
          <w:sz w:val="32"/>
          <w:szCs w:val="32"/>
        </w:rPr>
        <w:t>十二、合同生效</w:t>
      </w:r>
      <w:bookmarkEnd w:id="102"/>
    </w:p>
    <w:p w14:paraId="4B089DC4">
      <w:pPr>
        <w:spacing w:line="360" w:lineRule="auto"/>
        <w:ind w:firstLine="600" w:firstLineChars="200"/>
        <w:rPr>
          <w:rFonts w:eastAsia="仿宋_GB2312"/>
          <w:bCs/>
          <w:color w:val="000000"/>
          <w:sz w:val="30"/>
          <w:szCs w:val="30"/>
        </w:rPr>
      </w:pPr>
      <w:r>
        <w:rPr>
          <w:rFonts w:hint="eastAsia" w:eastAsia="仿宋_GB2312"/>
          <w:bCs/>
          <w:color w:val="000000"/>
          <w:sz w:val="30"/>
          <w:szCs w:val="30"/>
        </w:rPr>
        <w:t>本合同自（1）、（2）后生效</w:t>
      </w:r>
    </w:p>
    <w:p w14:paraId="4C4A61AC">
      <w:pPr>
        <w:spacing w:line="360" w:lineRule="auto"/>
        <w:ind w:firstLine="600" w:firstLineChars="200"/>
        <w:rPr>
          <w:rFonts w:eastAsia="仿宋_GB2312"/>
          <w:bCs/>
          <w:color w:val="000000"/>
          <w:sz w:val="30"/>
          <w:szCs w:val="30"/>
        </w:rPr>
      </w:pPr>
      <w:r>
        <w:rPr>
          <w:rFonts w:hint="eastAsia" w:eastAsia="仿宋_GB2312"/>
          <w:bCs/>
          <w:color w:val="000000"/>
          <w:sz w:val="30"/>
          <w:szCs w:val="30"/>
        </w:rPr>
        <w:t>（1）经双方法定代表人或其委托代理人签名并加盖公章或合同专用章</w:t>
      </w:r>
    </w:p>
    <w:p w14:paraId="26217493">
      <w:pPr>
        <w:spacing w:line="360" w:lineRule="auto"/>
        <w:ind w:firstLine="600" w:firstLineChars="200"/>
        <w:rPr>
          <w:rFonts w:eastAsia="仿宋_GB2312"/>
          <w:bCs/>
          <w:color w:val="000000"/>
          <w:sz w:val="30"/>
          <w:szCs w:val="30"/>
        </w:rPr>
      </w:pPr>
      <w:r>
        <w:rPr>
          <w:rFonts w:hint="eastAsia" w:eastAsia="仿宋_GB2312"/>
          <w:bCs/>
          <w:color w:val="000000"/>
          <w:sz w:val="30"/>
          <w:szCs w:val="30"/>
        </w:rPr>
        <w:t>（2）承包人按合同约定向发包人提交履约担保后</w:t>
      </w:r>
    </w:p>
    <w:p w14:paraId="01414645">
      <w:pPr>
        <w:pStyle w:val="5"/>
        <w:spacing w:before="120" w:after="120" w:line="360" w:lineRule="auto"/>
        <w:rPr>
          <w:rFonts w:ascii="Times New Roman" w:hAnsi="Times New Roman" w:eastAsia="黑体"/>
          <w:bCs w:val="0"/>
          <w:color w:val="000000"/>
          <w:sz w:val="32"/>
          <w:szCs w:val="32"/>
        </w:rPr>
      </w:pPr>
      <w:r>
        <w:rPr>
          <w:rFonts w:ascii="Times New Roman" w:hAnsi="Times New Roman" w:eastAsia="黑体"/>
          <w:bCs w:val="0"/>
          <w:color w:val="000000"/>
          <w:sz w:val="32"/>
          <w:szCs w:val="32"/>
        </w:rPr>
        <w:t xml:space="preserve">    </w:t>
      </w:r>
      <w:bookmarkStart w:id="103" w:name="_Toc351203493"/>
      <w:r>
        <w:rPr>
          <w:rFonts w:ascii="Times New Roman" w:hAnsi="Times New Roman" w:eastAsia="黑体"/>
          <w:b w:val="0"/>
          <w:color w:val="000000"/>
          <w:sz w:val="32"/>
          <w:szCs w:val="32"/>
        </w:rPr>
        <w:t>十三、合同份数</w:t>
      </w:r>
      <w:bookmarkEnd w:id="103"/>
    </w:p>
    <w:p w14:paraId="536CD0AD">
      <w:pPr>
        <w:spacing w:line="360" w:lineRule="auto"/>
        <w:ind w:firstLine="600" w:firstLineChars="200"/>
        <w:rPr>
          <w:rFonts w:eastAsia="仿宋_GB2312"/>
          <w:bCs/>
          <w:color w:val="000000"/>
          <w:sz w:val="30"/>
          <w:szCs w:val="30"/>
        </w:rPr>
      </w:pPr>
      <w:r>
        <w:rPr>
          <w:rFonts w:eastAsia="仿宋_GB2312"/>
          <w:bCs/>
          <w:color w:val="000000"/>
          <w:sz w:val="30"/>
          <w:szCs w:val="30"/>
        </w:rPr>
        <w:t>本合同一式</w:t>
      </w:r>
      <w:r>
        <w:rPr>
          <w:rFonts w:eastAsia="仿宋_GB2312"/>
          <w:color w:val="000000"/>
          <w:sz w:val="30"/>
          <w:szCs w:val="30"/>
          <w:u w:val="single"/>
        </w:rPr>
        <w:t xml:space="preserve">         </w:t>
      </w:r>
      <w:r>
        <w:rPr>
          <w:rFonts w:eastAsia="仿宋_GB2312"/>
          <w:bCs/>
          <w:color w:val="000000"/>
          <w:sz w:val="30"/>
          <w:szCs w:val="30"/>
        </w:rPr>
        <w:t>份，均具有同等法律效力，发包人执</w:t>
      </w:r>
      <w:r>
        <w:rPr>
          <w:rFonts w:eastAsia="仿宋_GB2312"/>
          <w:color w:val="000000"/>
          <w:sz w:val="30"/>
          <w:szCs w:val="30"/>
          <w:u w:val="single"/>
        </w:rPr>
        <w:t xml:space="preserve">         </w:t>
      </w:r>
      <w:r>
        <w:rPr>
          <w:rFonts w:eastAsia="仿宋_GB2312"/>
          <w:bCs/>
          <w:color w:val="000000"/>
          <w:sz w:val="30"/>
          <w:szCs w:val="30"/>
        </w:rPr>
        <w:t>份，承包人执</w:t>
      </w:r>
      <w:r>
        <w:rPr>
          <w:rFonts w:eastAsia="仿宋_GB2312"/>
          <w:color w:val="000000"/>
          <w:sz w:val="30"/>
          <w:szCs w:val="30"/>
          <w:u w:val="single"/>
        </w:rPr>
        <w:t xml:space="preserve">         </w:t>
      </w:r>
      <w:r>
        <w:rPr>
          <w:rFonts w:eastAsia="仿宋_GB2312"/>
          <w:bCs/>
          <w:color w:val="000000"/>
          <w:sz w:val="30"/>
          <w:szCs w:val="30"/>
        </w:rPr>
        <w:t>份。</w:t>
      </w:r>
    </w:p>
    <w:p w14:paraId="144088E7">
      <w:pPr>
        <w:spacing w:line="360" w:lineRule="auto"/>
        <w:rPr>
          <w:rFonts w:eastAsia="仿宋_GB2312"/>
          <w:bCs/>
          <w:color w:val="000000"/>
          <w:sz w:val="30"/>
          <w:szCs w:val="30"/>
        </w:rPr>
      </w:pPr>
    </w:p>
    <w:p w14:paraId="2C63EA3D">
      <w:pPr>
        <w:spacing w:line="360" w:lineRule="auto"/>
        <w:rPr>
          <w:rFonts w:eastAsia="仿宋_GB2312"/>
          <w:color w:val="000000"/>
          <w:sz w:val="30"/>
          <w:szCs w:val="30"/>
        </w:rPr>
      </w:pPr>
    </w:p>
    <w:p w14:paraId="5180D934">
      <w:pPr>
        <w:spacing w:line="360" w:lineRule="auto"/>
        <w:rPr>
          <w:rFonts w:eastAsia="仿宋_GB2312"/>
          <w:color w:val="000000"/>
          <w:sz w:val="30"/>
          <w:szCs w:val="30"/>
        </w:rPr>
      </w:pPr>
      <w:r>
        <w:rPr>
          <w:rFonts w:eastAsia="仿宋_GB2312"/>
          <w:color w:val="000000"/>
          <w:sz w:val="30"/>
          <w:szCs w:val="30"/>
        </w:rPr>
        <w:t>发包人</w:t>
      </w:r>
      <w:r>
        <w:rPr>
          <w:rFonts w:hint="eastAsia" w:eastAsia="仿宋_GB2312"/>
          <w:color w:val="000000"/>
          <w:sz w:val="30"/>
          <w:szCs w:val="30"/>
        </w:rPr>
        <w:t xml:space="preserve">：  </w:t>
      </w:r>
      <w:r>
        <w:rPr>
          <w:rFonts w:eastAsia="仿宋_GB2312"/>
          <w:color w:val="000000"/>
          <w:sz w:val="30"/>
          <w:szCs w:val="30"/>
        </w:rPr>
        <w:t>(公章)</w:t>
      </w:r>
      <w:r>
        <w:rPr>
          <w:rFonts w:hint="eastAsia" w:eastAsia="仿宋_GB2312"/>
          <w:color w:val="000000"/>
          <w:sz w:val="30"/>
          <w:szCs w:val="30"/>
        </w:rPr>
        <w:t xml:space="preserve">             </w:t>
      </w:r>
      <w:r>
        <w:rPr>
          <w:rFonts w:eastAsia="仿宋_GB2312"/>
          <w:color w:val="000000"/>
          <w:sz w:val="30"/>
          <w:szCs w:val="30"/>
        </w:rPr>
        <w:t>承包人</w:t>
      </w:r>
      <w:r>
        <w:rPr>
          <w:rFonts w:hint="eastAsia" w:eastAsia="仿宋_GB2312"/>
          <w:color w:val="000000"/>
          <w:sz w:val="30"/>
          <w:szCs w:val="30"/>
        </w:rPr>
        <w:t xml:space="preserve">：  </w:t>
      </w:r>
      <w:r>
        <w:rPr>
          <w:rFonts w:eastAsia="仿宋_GB2312"/>
          <w:color w:val="000000"/>
          <w:sz w:val="30"/>
          <w:szCs w:val="30"/>
        </w:rPr>
        <w:t>(公章)</w:t>
      </w:r>
    </w:p>
    <w:p w14:paraId="252C1D3B">
      <w:pPr>
        <w:spacing w:line="360" w:lineRule="auto"/>
        <w:rPr>
          <w:rFonts w:eastAsia="仿宋_GB2312"/>
          <w:color w:val="000000"/>
          <w:sz w:val="30"/>
          <w:szCs w:val="30"/>
          <w:u w:val="single"/>
        </w:rPr>
      </w:pPr>
      <w:r>
        <w:rPr>
          <w:rFonts w:hint="eastAsia" w:eastAsia="仿宋_GB2312"/>
          <w:color w:val="000000"/>
          <w:sz w:val="30"/>
          <w:szCs w:val="30"/>
        </w:rPr>
        <w:t xml:space="preserve">                                 </w:t>
      </w:r>
    </w:p>
    <w:p w14:paraId="017B961B">
      <w:pPr>
        <w:spacing w:line="360" w:lineRule="auto"/>
        <w:rPr>
          <w:rFonts w:eastAsia="仿宋_GB2312"/>
          <w:color w:val="000000"/>
          <w:sz w:val="30"/>
          <w:szCs w:val="30"/>
        </w:rPr>
      </w:pPr>
      <w:r>
        <w:rPr>
          <w:rFonts w:hint="eastAsia" w:eastAsia="仿宋_GB2312"/>
          <w:color w:val="000000"/>
          <w:sz w:val="30"/>
          <w:szCs w:val="30"/>
        </w:rPr>
        <w:t>法定代表人或其委托代理人：  法定代表人或其委托代理人：</w:t>
      </w:r>
    </w:p>
    <w:p w14:paraId="6519DF8E">
      <w:pPr>
        <w:spacing w:line="360" w:lineRule="auto"/>
        <w:rPr>
          <w:rFonts w:eastAsia="仿宋_GB2312"/>
          <w:color w:val="000000"/>
          <w:sz w:val="30"/>
          <w:szCs w:val="30"/>
        </w:rPr>
      </w:pPr>
      <w:r>
        <w:rPr>
          <w:rFonts w:hint="eastAsia" w:eastAsia="仿宋_GB2312"/>
          <w:color w:val="000000"/>
          <w:sz w:val="30"/>
          <w:szCs w:val="30"/>
        </w:rPr>
        <w:t>（签字）                    （签字）</w:t>
      </w:r>
    </w:p>
    <w:p w14:paraId="341423B9">
      <w:pPr>
        <w:spacing w:line="360" w:lineRule="auto"/>
        <w:rPr>
          <w:rFonts w:eastAsia="仿宋_GB2312"/>
          <w:color w:val="000000"/>
          <w:sz w:val="30"/>
          <w:szCs w:val="30"/>
          <w:u w:val="single"/>
        </w:rPr>
      </w:pPr>
    </w:p>
    <w:p w14:paraId="5C6F6450">
      <w:pPr>
        <w:tabs>
          <w:tab w:val="left" w:pos="4410"/>
        </w:tabs>
        <w:spacing w:line="360" w:lineRule="auto"/>
        <w:rPr>
          <w:rFonts w:eastAsia="仿宋_GB2312"/>
          <w:color w:val="000000"/>
          <w:sz w:val="30"/>
          <w:szCs w:val="30"/>
        </w:rPr>
      </w:pPr>
      <w:r>
        <w:rPr>
          <w:rFonts w:hint="eastAsia" w:eastAsia="仿宋_GB2312"/>
          <w:color w:val="000000"/>
          <w:sz w:val="30"/>
          <w:szCs w:val="30"/>
        </w:rPr>
        <w:t>组织机构代码：</w:t>
      </w:r>
      <w:r>
        <w:rPr>
          <w:rFonts w:eastAsia="仿宋_GB2312"/>
          <w:color w:val="000000"/>
          <w:sz w:val="30"/>
          <w:szCs w:val="30"/>
          <w:u w:val="single"/>
        </w:rPr>
        <w:t xml:space="preserve">            </w:t>
      </w:r>
      <w:r>
        <w:rPr>
          <w:rFonts w:eastAsia="仿宋_GB2312"/>
          <w:color w:val="000000"/>
          <w:sz w:val="30"/>
          <w:szCs w:val="30"/>
        </w:rPr>
        <w:t xml:space="preserve"> </w:t>
      </w:r>
      <w:r>
        <w:rPr>
          <w:rFonts w:hint="eastAsia" w:eastAsia="仿宋_GB2312"/>
          <w:color w:val="000000"/>
          <w:sz w:val="30"/>
          <w:szCs w:val="30"/>
        </w:rPr>
        <w:t xml:space="preserve"> 组织机构代码：</w:t>
      </w:r>
      <w:r>
        <w:rPr>
          <w:rFonts w:eastAsia="仿宋_GB2312"/>
          <w:color w:val="000000"/>
          <w:sz w:val="30"/>
          <w:szCs w:val="30"/>
          <w:u w:val="single"/>
        </w:rPr>
        <w:t xml:space="preserve">           </w:t>
      </w:r>
      <w:r>
        <w:rPr>
          <w:rFonts w:eastAsia="仿宋_GB2312"/>
          <w:color w:val="000000"/>
          <w:sz w:val="30"/>
          <w:szCs w:val="30"/>
        </w:rPr>
        <w:t xml:space="preserve"> </w:t>
      </w:r>
    </w:p>
    <w:p w14:paraId="356FDA71">
      <w:pPr>
        <w:spacing w:line="360" w:lineRule="auto"/>
        <w:rPr>
          <w:rFonts w:eastAsia="仿宋_GB2312"/>
          <w:color w:val="000000"/>
          <w:sz w:val="30"/>
          <w:szCs w:val="30"/>
        </w:rPr>
      </w:pPr>
      <w:r>
        <w:rPr>
          <w:rFonts w:eastAsia="仿宋_GB2312"/>
          <w:color w:val="000000"/>
          <w:sz w:val="30"/>
          <w:szCs w:val="30"/>
        </w:rPr>
        <w:t>地  址：</w:t>
      </w:r>
      <w:r>
        <w:rPr>
          <w:rFonts w:eastAsia="仿宋_GB2312"/>
          <w:color w:val="000000"/>
          <w:sz w:val="30"/>
          <w:szCs w:val="30"/>
          <w:u w:val="single"/>
        </w:rPr>
        <w:t xml:space="preserve">                  </w:t>
      </w:r>
      <w:r>
        <w:rPr>
          <w:rFonts w:hint="eastAsia" w:eastAsia="仿宋_GB2312"/>
          <w:color w:val="000000"/>
          <w:sz w:val="30"/>
          <w:szCs w:val="30"/>
        </w:rPr>
        <w:t xml:space="preserve"> </w:t>
      </w:r>
      <w:r>
        <w:rPr>
          <w:rFonts w:eastAsia="仿宋_GB2312"/>
          <w:color w:val="000000"/>
          <w:sz w:val="30"/>
          <w:szCs w:val="30"/>
        </w:rPr>
        <w:t xml:space="preserve"> 地  址：</w:t>
      </w:r>
      <w:r>
        <w:rPr>
          <w:rFonts w:eastAsia="仿宋_GB2312"/>
          <w:color w:val="000000"/>
          <w:sz w:val="30"/>
          <w:szCs w:val="30"/>
          <w:u w:val="single"/>
        </w:rPr>
        <w:t xml:space="preserve">                 </w:t>
      </w:r>
    </w:p>
    <w:p w14:paraId="7B7AE1B9">
      <w:pPr>
        <w:spacing w:line="360" w:lineRule="auto"/>
        <w:rPr>
          <w:rFonts w:eastAsia="仿宋_GB2312"/>
          <w:color w:val="000000"/>
          <w:sz w:val="30"/>
          <w:szCs w:val="30"/>
        </w:rPr>
      </w:pPr>
      <w:r>
        <w:rPr>
          <w:rFonts w:eastAsia="仿宋_GB2312"/>
          <w:color w:val="000000"/>
          <w:sz w:val="30"/>
          <w:szCs w:val="30"/>
        </w:rPr>
        <w:t>邮政编码：</w:t>
      </w:r>
      <w:r>
        <w:rPr>
          <w:rFonts w:eastAsia="仿宋_GB2312"/>
          <w:color w:val="000000"/>
          <w:sz w:val="30"/>
          <w:szCs w:val="30"/>
          <w:u w:val="single"/>
        </w:rPr>
        <w:t xml:space="preserve">                </w:t>
      </w:r>
      <w:r>
        <w:rPr>
          <w:rFonts w:hint="eastAsia" w:eastAsia="仿宋_GB2312"/>
          <w:color w:val="000000"/>
          <w:sz w:val="30"/>
          <w:szCs w:val="30"/>
        </w:rPr>
        <w:t xml:space="preserve"> </w:t>
      </w:r>
      <w:r>
        <w:rPr>
          <w:rFonts w:eastAsia="仿宋_GB2312"/>
          <w:color w:val="000000"/>
          <w:sz w:val="30"/>
          <w:szCs w:val="30"/>
        </w:rPr>
        <w:t xml:space="preserve"> 邮政编码：</w:t>
      </w:r>
      <w:r>
        <w:rPr>
          <w:rFonts w:eastAsia="仿宋_GB2312"/>
          <w:color w:val="000000"/>
          <w:sz w:val="30"/>
          <w:szCs w:val="30"/>
          <w:u w:val="single"/>
        </w:rPr>
        <w:t xml:space="preserve">               </w:t>
      </w:r>
    </w:p>
    <w:p w14:paraId="0FD4BCAF">
      <w:pPr>
        <w:spacing w:line="360" w:lineRule="auto"/>
        <w:rPr>
          <w:rFonts w:eastAsia="仿宋_GB2312"/>
          <w:color w:val="000000"/>
          <w:sz w:val="30"/>
          <w:szCs w:val="30"/>
        </w:rPr>
      </w:pPr>
      <w:r>
        <w:rPr>
          <w:rFonts w:eastAsia="仿宋_GB2312"/>
          <w:color w:val="000000"/>
          <w:sz w:val="30"/>
          <w:szCs w:val="30"/>
        </w:rPr>
        <w:t>法定代表人：</w:t>
      </w:r>
      <w:r>
        <w:rPr>
          <w:rFonts w:eastAsia="仿宋_GB2312"/>
          <w:color w:val="000000"/>
          <w:sz w:val="30"/>
          <w:szCs w:val="30"/>
          <w:u w:val="single"/>
        </w:rPr>
        <w:t xml:space="preserve">              </w:t>
      </w:r>
      <w:r>
        <w:rPr>
          <w:rFonts w:eastAsia="仿宋_GB2312"/>
          <w:color w:val="000000"/>
          <w:sz w:val="30"/>
          <w:szCs w:val="30"/>
        </w:rPr>
        <w:t xml:space="preserve"> </w:t>
      </w:r>
      <w:r>
        <w:rPr>
          <w:rFonts w:hint="eastAsia" w:eastAsia="仿宋_GB2312"/>
          <w:color w:val="000000"/>
          <w:sz w:val="30"/>
          <w:szCs w:val="30"/>
        </w:rPr>
        <w:t xml:space="preserve"> </w:t>
      </w:r>
      <w:r>
        <w:rPr>
          <w:rFonts w:eastAsia="仿宋_GB2312"/>
          <w:color w:val="000000"/>
          <w:sz w:val="30"/>
          <w:szCs w:val="30"/>
        </w:rPr>
        <w:t>法定代表人：</w:t>
      </w:r>
      <w:r>
        <w:rPr>
          <w:rFonts w:eastAsia="仿宋_GB2312"/>
          <w:color w:val="000000"/>
          <w:sz w:val="30"/>
          <w:szCs w:val="30"/>
          <w:u w:val="single"/>
        </w:rPr>
        <w:t xml:space="preserve">             </w:t>
      </w:r>
    </w:p>
    <w:p w14:paraId="7397BD0F">
      <w:pPr>
        <w:spacing w:line="360" w:lineRule="auto"/>
        <w:rPr>
          <w:rFonts w:eastAsia="仿宋_GB2312"/>
          <w:color w:val="000000"/>
          <w:sz w:val="30"/>
          <w:szCs w:val="30"/>
        </w:rPr>
      </w:pPr>
      <w:r>
        <w:rPr>
          <w:rFonts w:eastAsia="仿宋_GB2312"/>
          <w:color w:val="000000"/>
          <w:sz w:val="30"/>
          <w:szCs w:val="30"/>
        </w:rPr>
        <w:t>委托代理人：</w:t>
      </w:r>
      <w:r>
        <w:rPr>
          <w:rFonts w:eastAsia="仿宋_GB2312"/>
          <w:color w:val="000000"/>
          <w:sz w:val="30"/>
          <w:szCs w:val="30"/>
          <w:u w:val="single"/>
        </w:rPr>
        <w:t xml:space="preserve">              </w:t>
      </w:r>
      <w:r>
        <w:rPr>
          <w:rFonts w:hint="eastAsia" w:eastAsia="仿宋_GB2312"/>
          <w:color w:val="000000"/>
          <w:sz w:val="30"/>
          <w:szCs w:val="30"/>
        </w:rPr>
        <w:t xml:space="preserve"> </w:t>
      </w:r>
      <w:r>
        <w:rPr>
          <w:rFonts w:eastAsia="仿宋_GB2312"/>
          <w:color w:val="000000"/>
          <w:sz w:val="30"/>
          <w:szCs w:val="30"/>
        </w:rPr>
        <w:t xml:space="preserve"> 委托代理人：</w:t>
      </w:r>
      <w:r>
        <w:rPr>
          <w:rFonts w:eastAsia="仿宋_GB2312"/>
          <w:color w:val="000000"/>
          <w:sz w:val="30"/>
          <w:szCs w:val="30"/>
          <w:u w:val="single"/>
        </w:rPr>
        <w:t xml:space="preserve">             </w:t>
      </w:r>
    </w:p>
    <w:p w14:paraId="5A750BA9">
      <w:pPr>
        <w:spacing w:line="360" w:lineRule="auto"/>
        <w:rPr>
          <w:rFonts w:eastAsia="仿宋_GB2312"/>
          <w:color w:val="000000"/>
          <w:sz w:val="30"/>
          <w:szCs w:val="30"/>
        </w:rPr>
      </w:pPr>
      <w:r>
        <w:rPr>
          <w:rFonts w:eastAsia="仿宋_GB2312"/>
          <w:color w:val="000000"/>
          <w:sz w:val="30"/>
          <w:szCs w:val="30"/>
        </w:rPr>
        <w:t>电  话：</w:t>
      </w:r>
      <w:r>
        <w:rPr>
          <w:rFonts w:eastAsia="仿宋_GB2312"/>
          <w:color w:val="000000"/>
          <w:sz w:val="30"/>
          <w:szCs w:val="30"/>
          <w:u w:val="single"/>
        </w:rPr>
        <w:t xml:space="preserve">                  </w:t>
      </w:r>
      <w:r>
        <w:rPr>
          <w:rFonts w:hint="eastAsia" w:eastAsia="仿宋_GB2312"/>
          <w:color w:val="000000"/>
          <w:sz w:val="30"/>
          <w:szCs w:val="30"/>
        </w:rPr>
        <w:t xml:space="preserve"> </w:t>
      </w:r>
      <w:r>
        <w:rPr>
          <w:rFonts w:eastAsia="仿宋_GB2312"/>
          <w:color w:val="000000"/>
          <w:sz w:val="30"/>
          <w:szCs w:val="30"/>
        </w:rPr>
        <w:t xml:space="preserve"> 电  话：</w:t>
      </w:r>
      <w:r>
        <w:rPr>
          <w:rFonts w:eastAsia="仿宋_GB2312"/>
          <w:color w:val="000000"/>
          <w:sz w:val="30"/>
          <w:szCs w:val="30"/>
          <w:u w:val="single"/>
        </w:rPr>
        <w:t xml:space="preserve">                 </w:t>
      </w:r>
    </w:p>
    <w:p w14:paraId="089B6EE1">
      <w:pPr>
        <w:spacing w:line="360" w:lineRule="auto"/>
        <w:rPr>
          <w:rFonts w:eastAsia="仿宋_GB2312"/>
          <w:color w:val="000000"/>
          <w:sz w:val="30"/>
          <w:szCs w:val="30"/>
        </w:rPr>
      </w:pPr>
      <w:r>
        <w:rPr>
          <w:rFonts w:eastAsia="仿宋_GB2312"/>
          <w:color w:val="000000"/>
          <w:sz w:val="30"/>
          <w:szCs w:val="30"/>
        </w:rPr>
        <w:t>传  真：</w:t>
      </w:r>
      <w:r>
        <w:rPr>
          <w:rFonts w:eastAsia="仿宋_GB2312"/>
          <w:color w:val="000000"/>
          <w:sz w:val="30"/>
          <w:szCs w:val="30"/>
          <w:u w:val="single"/>
        </w:rPr>
        <w:t xml:space="preserve">                  </w:t>
      </w:r>
      <w:r>
        <w:rPr>
          <w:rFonts w:eastAsia="仿宋_GB2312"/>
          <w:color w:val="000000"/>
          <w:sz w:val="30"/>
          <w:szCs w:val="30"/>
        </w:rPr>
        <w:t xml:space="preserve"> </w:t>
      </w:r>
      <w:r>
        <w:rPr>
          <w:rFonts w:hint="eastAsia" w:eastAsia="仿宋_GB2312"/>
          <w:color w:val="000000"/>
          <w:sz w:val="30"/>
          <w:szCs w:val="30"/>
        </w:rPr>
        <w:t xml:space="preserve"> </w:t>
      </w:r>
      <w:r>
        <w:rPr>
          <w:rFonts w:eastAsia="仿宋_GB2312"/>
          <w:color w:val="000000"/>
          <w:sz w:val="30"/>
          <w:szCs w:val="30"/>
        </w:rPr>
        <w:t>传  真：</w:t>
      </w:r>
      <w:r>
        <w:rPr>
          <w:rFonts w:eastAsia="仿宋_GB2312"/>
          <w:color w:val="000000"/>
          <w:sz w:val="30"/>
          <w:szCs w:val="30"/>
          <w:u w:val="single"/>
        </w:rPr>
        <w:t xml:space="preserve">                 </w:t>
      </w:r>
    </w:p>
    <w:p w14:paraId="26D6462D">
      <w:pPr>
        <w:spacing w:line="360" w:lineRule="auto"/>
        <w:rPr>
          <w:rFonts w:eastAsia="仿宋_GB2312"/>
          <w:color w:val="000000"/>
          <w:sz w:val="30"/>
          <w:szCs w:val="30"/>
        </w:rPr>
      </w:pPr>
      <w:r>
        <w:rPr>
          <w:rFonts w:eastAsia="仿宋_GB2312"/>
          <w:color w:val="000000"/>
          <w:sz w:val="30"/>
          <w:szCs w:val="30"/>
        </w:rPr>
        <w:t>电子信箱：</w:t>
      </w:r>
      <w:r>
        <w:rPr>
          <w:rFonts w:eastAsia="仿宋_GB2312"/>
          <w:color w:val="000000"/>
          <w:sz w:val="30"/>
          <w:szCs w:val="30"/>
          <w:u w:val="single"/>
        </w:rPr>
        <w:t xml:space="preserve">                </w:t>
      </w:r>
      <w:r>
        <w:rPr>
          <w:rFonts w:eastAsia="仿宋_GB2312"/>
          <w:color w:val="000000"/>
          <w:sz w:val="30"/>
          <w:szCs w:val="30"/>
        </w:rPr>
        <w:t xml:space="preserve"> </w:t>
      </w:r>
      <w:r>
        <w:rPr>
          <w:rFonts w:hint="eastAsia" w:eastAsia="仿宋_GB2312"/>
          <w:color w:val="000000"/>
          <w:sz w:val="30"/>
          <w:szCs w:val="30"/>
        </w:rPr>
        <w:t xml:space="preserve"> </w:t>
      </w:r>
      <w:r>
        <w:rPr>
          <w:rFonts w:eastAsia="仿宋_GB2312"/>
          <w:color w:val="000000"/>
          <w:sz w:val="30"/>
          <w:szCs w:val="30"/>
        </w:rPr>
        <w:t>电子信箱：</w:t>
      </w:r>
      <w:r>
        <w:rPr>
          <w:rFonts w:eastAsia="仿宋_GB2312"/>
          <w:color w:val="000000"/>
          <w:sz w:val="30"/>
          <w:szCs w:val="30"/>
          <w:u w:val="single"/>
        </w:rPr>
        <w:t xml:space="preserve">               </w:t>
      </w:r>
    </w:p>
    <w:p w14:paraId="500C77C4">
      <w:pPr>
        <w:spacing w:line="360" w:lineRule="auto"/>
        <w:rPr>
          <w:rFonts w:eastAsia="仿宋_GB2312"/>
          <w:color w:val="000000"/>
          <w:sz w:val="30"/>
          <w:szCs w:val="30"/>
        </w:rPr>
      </w:pPr>
      <w:r>
        <w:rPr>
          <w:rFonts w:eastAsia="仿宋_GB2312"/>
          <w:color w:val="000000"/>
          <w:sz w:val="30"/>
          <w:szCs w:val="30"/>
        </w:rPr>
        <w:t>开户银行：</w:t>
      </w:r>
      <w:r>
        <w:rPr>
          <w:rFonts w:eastAsia="仿宋_GB2312"/>
          <w:color w:val="000000"/>
          <w:sz w:val="30"/>
          <w:szCs w:val="30"/>
          <w:u w:val="single"/>
        </w:rPr>
        <w:t xml:space="preserve">                </w:t>
      </w:r>
      <w:r>
        <w:rPr>
          <w:rFonts w:hint="eastAsia" w:eastAsia="仿宋_GB2312"/>
          <w:color w:val="000000"/>
          <w:sz w:val="30"/>
          <w:szCs w:val="30"/>
        </w:rPr>
        <w:t xml:space="preserve"> </w:t>
      </w:r>
      <w:r>
        <w:rPr>
          <w:rFonts w:eastAsia="仿宋_GB2312"/>
          <w:color w:val="000000"/>
          <w:sz w:val="30"/>
          <w:szCs w:val="30"/>
        </w:rPr>
        <w:t xml:space="preserve"> 开户银行：</w:t>
      </w:r>
      <w:r>
        <w:rPr>
          <w:rFonts w:eastAsia="仿宋_GB2312"/>
          <w:color w:val="000000"/>
          <w:sz w:val="30"/>
          <w:szCs w:val="30"/>
          <w:u w:val="single"/>
        </w:rPr>
        <w:t xml:space="preserve">               </w:t>
      </w:r>
    </w:p>
    <w:p w14:paraId="4D9F7020">
      <w:pPr>
        <w:spacing w:line="360" w:lineRule="auto"/>
        <w:rPr>
          <w:rFonts w:eastAsia="仿宋_GB2312"/>
          <w:color w:val="000000"/>
          <w:sz w:val="30"/>
          <w:szCs w:val="30"/>
        </w:rPr>
      </w:pPr>
      <w:r>
        <w:rPr>
          <w:rFonts w:eastAsia="仿宋_GB2312"/>
          <w:color w:val="000000"/>
          <w:sz w:val="30"/>
          <w:szCs w:val="30"/>
        </w:rPr>
        <w:t>账  号：</w:t>
      </w:r>
      <w:r>
        <w:rPr>
          <w:rFonts w:eastAsia="仿宋_GB2312"/>
          <w:color w:val="000000"/>
          <w:sz w:val="30"/>
          <w:szCs w:val="30"/>
          <w:u w:val="single"/>
        </w:rPr>
        <w:t xml:space="preserve">                  </w:t>
      </w:r>
      <w:r>
        <w:rPr>
          <w:rFonts w:hint="eastAsia" w:eastAsia="仿宋_GB2312"/>
          <w:color w:val="000000"/>
          <w:sz w:val="30"/>
          <w:szCs w:val="30"/>
        </w:rPr>
        <w:t xml:space="preserve">  </w:t>
      </w:r>
      <w:r>
        <w:rPr>
          <w:rFonts w:eastAsia="仿宋_GB2312"/>
          <w:color w:val="000000"/>
          <w:sz w:val="30"/>
          <w:szCs w:val="30"/>
        </w:rPr>
        <w:t>账</w:t>
      </w:r>
      <w:r>
        <w:rPr>
          <w:rFonts w:hint="eastAsia" w:eastAsia="仿宋_GB2312"/>
          <w:color w:val="000000"/>
          <w:sz w:val="30"/>
          <w:szCs w:val="30"/>
        </w:rPr>
        <w:t xml:space="preserve"> </w:t>
      </w:r>
      <w:r>
        <w:rPr>
          <w:rFonts w:eastAsia="仿宋_GB2312"/>
          <w:color w:val="000000"/>
          <w:sz w:val="30"/>
          <w:szCs w:val="30"/>
        </w:rPr>
        <w:t xml:space="preserve"> 号：</w:t>
      </w:r>
      <w:r>
        <w:rPr>
          <w:rFonts w:eastAsia="仿宋_GB2312"/>
          <w:color w:val="000000"/>
          <w:sz w:val="30"/>
          <w:szCs w:val="30"/>
          <w:u w:val="single"/>
        </w:rPr>
        <w:t xml:space="preserve">                 </w:t>
      </w:r>
    </w:p>
    <w:p w14:paraId="0942F20C">
      <w:pPr>
        <w:pStyle w:val="4"/>
        <w:jc w:val="center"/>
        <w:rPr>
          <w:rFonts w:ascii="华文中宋" w:hAnsi="华文中宋" w:eastAsia="华文中宋"/>
          <w:sz w:val="44"/>
          <w:szCs w:val="44"/>
        </w:rPr>
      </w:pPr>
      <w:r>
        <w:rPr>
          <w:rFonts w:eastAsia="仿宋_GB2312"/>
        </w:rPr>
        <w:br w:type="page"/>
      </w:r>
      <w:bookmarkStart w:id="104" w:name="_Toc351203494"/>
      <w:r>
        <w:rPr>
          <w:rFonts w:ascii="华文中宋" w:hAnsi="华文中宋" w:eastAsia="华文中宋"/>
          <w:sz w:val="44"/>
          <w:szCs w:val="44"/>
        </w:rPr>
        <w:t>第二部分 通用合同条款</w:t>
      </w:r>
      <w:bookmarkEnd w:id="104"/>
      <w:bookmarkStart w:id="105" w:name="_Toc337558727"/>
    </w:p>
    <w:p w14:paraId="7B909535">
      <w:pPr>
        <w:widowControl/>
        <w:spacing w:line="360" w:lineRule="auto"/>
        <w:ind w:firstLine="602" w:firstLineChars="200"/>
        <w:jc w:val="left"/>
        <w:rPr>
          <w:rFonts w:ascii="宋体" w:hAnsi="宋体" w:cs="黑体"/>
          <w:b/>
          <w:color w:val="000000"/>
          <w:sz w:val="24"/>
        </w:rPr>
      </w:pPr>
      <w:r>
        <w:rPr>
          <w:rFonts w:hint="eastAsia" w:ascii="仿宋_GB2312" w:eastAsia="仿宋_GB2312"/>
          <w:b/>
          <w:sz w:val="30"/>
          <w:szCs w:val="30"/>
        </w:rPr>
        <w:t>住房城乡建设部、国家工商行政管理总局制定的《建设工程施工合同（示范文本）》（GF-20</w:t>
      </w:r>
      <w:r>
        <w:rPr>
          <w:rFonts w:ascii="仿宋_GB2312" w:eastAsia="仿宋_GB2312"/>
          <w:b/>
          <w:sz w:val="30"/>
          <w:szCs w:val="30"/>
        </w:rPr>
        <w:tab/>
      </w:r>
      <w:r>
        <w:rPr>
          <w:rFonts w:hint="eastAsia" w:ascii="仿宋_GB2312" w:eastAsia="仿宋_GB2312"/>
          <w:b/>
          <w:sz w:val="30"/>
          <w:szCs w:val="30"/>
        </w:rPr>
        <w:t>17-0201）</w:t>
      </w:r>
      <w:r>
        <w:rPr>
          <w:rFonts w:hint="eastAsia" w:ascii="宋体" w:hAnsi="宋体" w:cs="黑体"/>
          <w:b/>
          <w:color w:val="000000"/>
          <w:sz w:val="24"/>
        </w:rPr>
        <w:t>。</w:t>
      </w:r>
    </w:p>
    <w:p w14:paraId="72ED7891">
      <w:pPr>
        <w:pStyle w:val="4"/>
        <w:rPr>
          <w:rFonts w:ascii="华文中宋" w:hAnsi="华文中宋" w:eastAsia="华文中宋"/>
          <w:sz w:val="44"/>
          <w:szCs w:val="44"/>
        </w:rPr>
      </w:pPr>
    </w:p>
    <w:p w14:paraId="096AEFE7">
      <w:pPr>
        <w:pStyle w:val="4"/>
        <w:jc w:val="center"/>
        <w:rPr>
          <w:rFonts w:ascii="华文中宋" w:hAnsi="华文中宋" w:eastAsia="华文中宋"/>
          <w:sz w:val="44"/>
          <w:szCs w:val="44"/>
        </w:rPr>
      </w:pPr>
      <w:r>
        <w:br w:type="page"/>
      </w:r>
      <w:bookmarkEnd w:id="105"/>
      <w:bookmarkStart w:id="106" w:name="_Toc351203632"/>
      <w:r>
        <w:rPr>
          <w:rFonts w:ascii="华文中宋" w:hAnsi="华文中宋" w:eastAsia="华文中宋"/>
          <w:sz w:val="44"/>
          <w:szCs w:val="44"/>
        </w:rPr>
        <w:t xml:space="preserve">第三部分 </w:t>
      </w:r>
      <w:r>
        <w:rPr>
          <w:rFonts w:hint="eastAsia" w:ascii="华文中宋" w:hAnsi="华文中宋" w:eastAsia="华文中宋"/>
          <w:sz w:val="44"/>
          <w:szCs w:val="44"/>
        </w:rPr>
        <w:t>专用合同条款</w:t>
      </w:r>
      <w:bookmarkEnd w:id="106"/>
    </w:p>
    <w:p w14:paraId="6004CEEA">
      <w:pPr>
        <w:pStyle w:val="5"/>
        <w:spacing w:before="120" w:after="120" w:line="360" w:lineRule="auto"/>
        <w:rPr>
          <w:rFonts w:ascii="Times New Roman" w:hAnsi="Times New Roman" w:eastAsia="黑体"/>
          <w:b w:val="0"/>
          <w:color w:val="000000"/>
          <w:sz w:val="32"/>
          <w:szCs w:val="32"/>
        </w:rPr>
      </w:pPr>
      <w:bookmarkStart w:id="107" w:name="_Toc351203633"/>
      <w:r>
        <w:rPr>
          <w:rFonts w:ascii="Times New Roman" w:hAnsi="Times New Roman" w:eastAsia="黑体"/>
          <w:b w:val="0"/>
          <w:color w:val="000000"/>
          <w:sz w:val="32"/>
          <w:szCs w:val="32"/>
        </w:rPr>
        <w:t>1</w:t>
      </w:r>
      <w:bookmarkStart w:id="108" w:name="_Toc296891196"/>
      <w:bookmarkStart w:id="109" w:name="_Toc296346657"/>
      <w:bookmarkStart w:id="110" w:name="_Toc297120456"/>
      <w:bookmarkStart w:id="111" w:name="_Toc296503156"/>
      <w:bookmarkStart w:id="112" w:name="_Toc296347155"/>
      <w:bookmarkStart w:id="113" w:name="_Toc292559361"/>
      <w:bookmarkStart w:id="114" w:name="_Toc297048342"/>
      <w:bookmarkStart w:id="115" w:name="_Toc292559866"/>
      <w:bookmarkStart w:id="116" w:name="_Toc296890984"/>
      <w:bookmarkStart w:id="117" w:name="_Toc296944495"/>
      <w:r>
        <w:rPr>
          <w:rFonts w:ascii="Times New Roman" w:hAnsi="Times New Roman" w:eastAsia="黑体"/>
          <w:b w:val="0"/>
          <w:color w:val="000000"/>
          <w:sz w:val="32"/>
          <w:szCs w:val="32"/>
        </w:rPr>
        <w:t>. 一般约定</w:t>
      </w:r>
      <w:bookmarkEnd w:id="107"/>
    </w:p>
    <w:bookmarkEnd w:id="108"/>
    <w:bookmarkEnd w:id="109"/>
    <w:bookmarkEnd w:id="110"/>
    <w:bookmarkEnd w:id="111"/>
    <w:bookmarkEnd w:id="112"/>
    <w:bookmarkEnd w:id="113"/>
    <w:bookmarkEnd w:id="114"/>
    <w:bookmarkEnd w:id="115"/>
    <w:bookmarkEnd w:id="116"/>
    <w:bookmarkEnd w:id="117"/>
    <w:p w14:paraId="055272AD">
      <w:pPr>
        <w:spacing w:after="120" w:line="360" w:lineRule="auto"/>
        <w:ind w:firstLine="600" w:firstLineChars="200"/>
        <w:outlineLvl w:val="0"/>
        <w:rPr>
          <w:rFonts w:eastAsia="黑体"/>
          <w:color w:val="000000"/>
          <w:sz w:val="30"/>
          <w:szCs w:val="32"/>
        </w:rPr>
      </w:pPr>
      <w:r>
        <w:rPr>
          <w:rFonts w:eastAsia="黑体"/>
          <w:color w:val="000000"/>
          <w:sz w:val="30"/>
          <w:szCs w:val="32"/>
        </w:rPr>
        <w:t>1.1 词语定义</w:t>
      </w:r>
    </w:p>
    <w:p w14:paraId="1A9D56EB">
      <w:pPr>
        <w:spacing w:line="360" w:lineRule="auto"/>
        <w:ind w:firstLine="600" w:firstLineChars="200"/>
        <w:rPr>
          <w:rFonts w:eastAsia="仿宋_GB2312"/>
          <w:color w:val="000000"/>
          <w:kern w:val="0"/>
          <w:sz w:val="30"/>
          <w:szCs w:val="32"/>
        </w:rPr>
      </w:pPr>
      <w:r>
        <w:rPr>
          <w:rFonts w:eastAsia="仿宋_GB2312"/>
          <w:color w:val="000000"/>
          <w:kern w:val="0"/>
          <w:sz w:val="30"/>
          <w:szCs w:val="32"/>
        </w:rPr>
        <w:t>1.1.1合同</w:t>
      </w:r>
    </w:p>
    <w:p w14:paraId="6488FC05">
      <w:pPr>
        <w:spacing w:line="360" w:lineRule="auto"/>
        <w:ind w:firstLine="600" w:firstLineChars="200"/>
        <w:rPr>
          <w:rFonts w:eastAsia="仿宋_GB2312"/>
          <w:color w:val="000000"/>
          <w:kern w:val="0"/>
          <w:sz w:val="30"/>
          <w:szCs w:val="32"/>
        </w:rPr>
      </w:pPr>
      <w:r>
        <w:rPr>
          <w:rFonts w:eastAsia="仿宋_GB2312"/>
          <w:color w:val="000000"/>
          <w:kern w:val="0"/>
          <w:sz w:val="30"/>
          <w:szCs w:val="32"/>
        </w:rPr>
        <w:t>1.1.1.10其他合同文件包括：</w:t>
      </w:r>
      <w:r>
        <w:rPr>
          <w:rFonts w:hint="eastAsia" w:eastAsia="仿宋_GB2312"/>
          <w:color w:val="000000"/>
          <w:sz w:val="30"/>
          <w:szCs w:val="32"/>
          <w:u w:val="single"/>
        </w:rPr>
        <w:t xml:space="preserve">(1)双方有关工程的洽商、变更等书面记录和文件；（2）发包人或监理工程师有关通知及工程会议纪要   </w:t>
      </w:r>
      <w:r>
        <w:rPr>
          <w:rFonts w:eastAsia="仿宋_GB2312"/>
          <w:color w:val="000000"/>
          <w:sz w:val="30"/>
          <w:szCs w:val="32"/>
        </w:rPr>
        <w:t>。</w:t>
      </w:r>
    </w:p>
    <w:p w14:paraId="13F05F04">
      <w:pPr>
        <w:spacing w:line="360" w:lineRule="auto"/>
        <w:ind w:firstLine="600" w:firstLineChars="200"/>
        <w:rPr>
          <w:rFonts w:eastAsia="仿宋_GB2312"/>
          <w:color w:val="000000"/>
          <w:sz w:val="30"/>
          <w:szCs w:val="32"/>
        </w:rPr>
      </w:pPr>
      <w:r>
        <w:rPr>
          <w:rFonts w:eastAsia="仿宋_GB2312"/>
          <w:color w:val="000000"/>
          <w:sz w:val="30"/>
          <w:szCs w:val="32"/>
        </w:rPr>
        <w:t>1.1.2 合同当事人及其他相关方：</w:t>
      </w:r>
      <w:r>
        <w:rPr>
          <w:rFonts w:hint="eastAsia" w:eastAsia="仿宋_GB2312"/>
          <w:color w:val="000000"/>
          <w:sz w:val="30"/>
          <w:szCs w:val="32"/>
        </w:rPr>
        <w:t>/</w:t>
      </w:r>
    </w:p>
    <w:p w14:paraId="171B7FA4">
      <w:pPr>
        <w:spacing w:line="360" w:lineRule="auto"/>
        <w:ind w:firstLine="600" w:firstLineChars="200"/>
        <w:rPr>
          <w:rFonts w:eastAsia="仿宋_GB2312"/>
          <w:color w:val="000000"/>
          <w:sz w:val="30"/>
          <w:szCs w:val="32"/>
        </w:rPr>
      </w:pPr>
      <w:r>
        <w:rPr>
          <w:rFonts w:eastAsia="仿宋_GB2312"/>
          <w:color w:val="000000"/>
          <w:sz w:val="30"/>
          <w:szCs w:val="32"/>
        </w:rPr>
        <w:t>1.1.3 工程和设备</w:t>
      </w:r>
    </w:p>
    <w:p w14:paraId="6EDB337A">
      <w:pPr>
        <w:spacing w:line="360" w:lineRule="auto"/>
        <w:ind w:firstLine="600" w:firstLineChars="200"/>
        <w:jc w:val="left"/>
        <w:rPr>
          <w:rFonts w:eastAsia="仿宋_GB2312"/>
          <w:color w:val="000000"/>
          <w:sz w:val="30"/>
          <w:szCs w:val="32"/>
        </w:rPr>
      </w:pPr>
      <w:r>
        <w:rPr>
          <w:rFonts w:eastAsia="仿宋_GB2312"/>
          <w:color w:val="000000"/>
          <w:kern w:val="0"/>
          <w:sz w:val="30"/>
          <w:szCs w:val="32"/>
        </w:rPr>
        <w:t>1.1.3.10 临时占地包括：</w:t>
      </w:r>
      <w:r>
        <w:rPr>
          <w:rFonts w:eastAsia="仿宋_GB2312"/>
          <w:color w:val="000000"/>
          <w:sz w:val="30"/>
          <w:szCs w:val="32"/>
          <w:u w:val="single"/>
        </w:rPr>
        <w:t xml:space="preserve">  </w:t>
      </w:r>
      <w:r>
        <w:rPr>
          <w:rFonts w:hint="eastAsia" w:eastAsia="仿宋_GB2312"/>
          <w:color w:val="000000"/>
          <w:sz w:val="30"/>
          <w:szCs w:val="32"/>
          <w:u w:val="single"/>
        </w:rPr>
        <w:t xml:space="preserve">临时施工用地、临时便道用地 </w:t>
      </w:r>
      <w:r>
        <w:rPr>
          <w:rFonts w:eastAsia="仿宋_GB2312"/>
          <w:color w:val="000000"/>
          <w:kern w:val="0"/>
          <w:sz w:val="30"/>
          <w:szCs w:val="32"/>
        </w:rPr>
        <w:t>。</w:t>
      </w:r>
    </w:p>
    <w:p w14:paraId="713837DA">
      <w:pPr>
        <w:spacing w:after="120" w:line="360" w:lineRule="auto"/>
        <w:ind w:firstLine="600" w:firstLineChars="200"/>
        <w:rPr>
          <w:rFonts w:eastAsia="黑体"/>
          <w:color w:val="000000"/>
          <w:sz w:val="30"/>
          <w:szCs w:val="32"/>
        </w:rPr>
      </w:pPr>
      <w:r>
        <w:rPr>
          <w:rFonts w:eastAsia="黑体"/>
          <w:color w:val="000000"/>
          <w:sz w:val="30"/>
          <w:szCs w:val="32"/>
        </w:rPr>
        <w:t xml:space="preserve">1.3法律 </w:t>
      </w:r>
    </w:p>
    <w:p w14:paraId="4CB8C8E0">
      <w:pPr>
        <w:autoSpaceDE w:val="0"/>
        <w:autoSpaceDN w:val="0"/>
        <w:adjustRightInd w:val="0"/>
        <w:spacing w:line="360" w:lineRule="auto"/>
        <w:ind w:firstLine="600" w:firstLineChars="200"/>
        <w:jc w:val="left"/>
        <w:rPr>
          <w:rFonts w:eastAsia="仿宋_GB2312"/>
          <w:color w:val="000000"/>
          <w:sz w:val="30"/>
          <w:szCs w:val="32"/>
        </w:rPr>
      </w:pPr>
      <w:r>
        <w:rPr>
          <w:rFonts w:eastAsia="仿宋_GB2312"/>
          <w:color w:val="000000"/>
          <w:sz w:val="30"/>
          <w:szCs w:val="32"/>
        </w:rPr>
        <w:t>适用于合同的其他规范性文件：</w:t>
      </w:r>
      <w:r>
        <w:rPr>
          <w:rFonts w:hint="eastAsia" w:eastAsia="仿宋_GB2312"/>
          <w:color w:val="000000"/>
          <w:sz w:val="30"/>
          <w:szCs w:val="32"/>
          <w:u w:val="single"/>
        </w:rPr>
        <w:t>国家及地方现行相关规范性文件</w:t>
      </w:r>
      <w:r>
        <w:rPr>
          <w:rFonts w:eastAsia="仿宋_GB2312"/>
          <w:color w:val="000000"/>
          <w:sz w:val="30"/>
          <w:szCs w:val="32"/>
          <w:u w:val="single"/>
        </w:rPr>
        <w:t xml:space="preserve"> </w:t>
      </w:r>
      <w:r>
        <w:rPr>
          <w:rFonts w:eastAsia="仿宋_GB2312"/>
          <w:color w:val="000000"/>
          <w:sz w:val="30"/>
          <w:szCs w:val="32"/>
        </w:rPr>
        <w:t>。</w:t>
      </w:r>
    </w:p>
    <w:p w14:paraId="39EDDCDF">
      <w:pPr>
        <w:spacing w:after="120" w:line="360" w:lineRule="auto"/>
        <w:ind w:firstLine="600" w:firstLineChars="200"/>
        <w:outlineLvl w:val="0"/>
        <w:rPr>
          <w:rFonts w:eastAsia="黑体"/>
          <w:color w:val="000000"/>
          <w:sz w:val="30"/>
          <w:szCs w:val="32"/>
        </w:rPr>
      </w:pPr>
      <w:r>
        <w:rPr>
          <w:rFonts w:eastAsia="黑体"/>
          <w:color w:val="000000"/>
          <w:sz w:val="30"/>
          <w:szCs w:val="32"/>
        </w:rPr>
        <w:t>1.5 合同文件的优先顺序</w:t>
      </w:r>
    </w:p>
    <w:p w14:paraId="75C0426E">
      <w:pPr>
        <w:autoSpaceDE w:val="0"/>
        <w:autoSpaceDN w:val="0"/>
        <w:adjustRightInd w:val="0"/>
        <w:spacing w:line="360" w:lineRule="auto"/>
        <w:ind w:firstLine="600" w:firstLineChars="200"/>
        <w:rPr>
          <w:rFonts w:eastAsia="仿宋_GB2312"/>
          <w:color w:val="000000"/>
          <w:sz w:val="30"/>
          <w:szCs w:val="32"/>
        </w:rPr>
      </w:pPr>
      <w:r>
        <w:rPr>
          <w:rFonts w:eastAsia="仿宋_GB2312"/>
          <w:color w:val="000000"/>
          <w:sz w:val="30"/>
          <w:szCs w:val="32"/>
        </w:rPr>
        <w:t>合同文件组成及优先顺序为：</w:t>
      </w:r>
    </w:p>
    <w:p w14:paraId="1212313E">
      <w:pPr>
        <w:autoSpaceDE w:val="0"/>
        <w:autoSpaceDN w:val="0"/>
        <w:adjustRightInd w:val="0"/>
        <w:spacing w:line="360" w:lineRule="auto"/>
        <w:ind w:firstLine="600" w:firstLineChars="200"/>
        <w:rPr>
          <w:rFonts w:eastAsia="仿宋_GB2312"/>
          <w:color w:val="000000"/>
          <w:sz w:val="30"/>
          <w:szCs w:val="32"/>
        </w:rPr>
      </w:pPr>
      <w:r>
        <w:rPr>
          <w:rFonts w:eastAsia="仿宋_GB2312"/>
          <w:color w:val="000000"/>
          <w:sz w:val="30"/>
          <w:szCs w:val="32"/>
        </w:rPr>
        <w:t>（</w:t>
      </w:r>
      <w:r>
        <w:rPr>
          <w:rFonts w:hint="eastAsia" w:eastAsia="仿宋_GB2312"/>
          <w:color w:val="000000"/>
          <w:sz w:val="30"/>
          <w:szCs w:val="32"/>
        </w:rPr>
        <w:t>1</w:t>
      </w:r>
      <w:r>
        <w:rPr>
          <w:rFonts w:eastAsia="仿宋_GB2312"/>
          <w:color w:val="000000"/>
          <w:sz w:val="30"/>
          <w:szCs w:val="32"/>
        </w:rPr>
        <w:t>）</w:t>
      </w:r>
      <w:r>
        <w:rPr>
          <w:rFonts w:hint="eastAsia" w:eastAsia="仿宋_GB2312"/>
          <w:color w:val="000000"/>
          <w:sz w:val="30"/>
          <w:szCs w:val="32"/>
        </w:rPr>
        <w:t>合同协议书</w:t>
      </w:r>
      <w:r>
        <w:rPr>
          <w:rFonts w:eastAsia="仿宋_GB2312"/>
          <w:color w:val="000000"/>
          <w:sz w:val="30"/>
          <w:szCs w:val="32"/>
        </w:rPr>
        <w:t>；</w:t>
      </w:r>
    </w:p>
    <w:p w14:paraId="3983012F">
      <w:pPr>
        <w:autoSpaceDE w:val="0"/>
        <w:autoSpaceDN w:val="0"/>
        <w:adjustRightInd w:val="0"/>
        <w:spacing w:line="360" w:lineRule="auto"/>
        <w:ind w:firstLine="600" w:firstLineChars="200"/>
        <w:rPr>
          <w:rFonts w:eastAsia="仿宋_GB2312"/>
          <w:color w:val="000000"/>
          <w:sz w:val="30"/>
          <w:szCs w:val="32"/>
        </w:rPr>
      </w:pPr>
      <w:r>
        <w:rPr>
          <w:rFonts w:eastAsia="仿宋_GB2312"/>
          <w:color w:val="000000"/>
          <w:sz w:val="30"/>
          <w:szCs w:val="32"/>
        </w:rPr>
        <w:t>（</w:t>
      </w:r>
      <w:r>
        <w:rPr>
          <w:rFonts w:hint="eastAsia" w:eastAsia="仿宋_GB2312"/>
          <w:color w:val="000000"/>
          <w:sz w:val="30"/>
          <w:szCs w:val="32"/>
        </w:rPr>
        <w:t>2</w:t>
      </w:r>
      <w:r>
        <w:rPr>
          <w:rFonts w:eastAsia="仿宋_GB2312"/>
          <w:color w:val="000000"/>
          <w:sz w:val="30"/>
          <w:szCs w:val="32"/>
        </w:rPr>
        <w:t>）</w:t>
      </w:r>
      <w:r>
        <w:rPr>
          <w:rFonts w:hint="eastAsia" w:eastAsia="仿宋_GB2312" w:cs="仿宋_GB2312"/>
          <w:color w:val="000000"/>
          <w:sz w:val="30"/>
          <w:szCs w:val="32"/>
          <w:lang w:bidi="ar"/>
        </w:rPr>
        <w:t>成交</w:t>
      </w:r>
      <w:r>
        <w:rPr>
          <w:rFonts w:hint="eastAsia" w:eastAsia="仿宋_GB2312"/>
          <w:color w:val="000000"/>
          <w:sz w:val="30"/>
          <w:szCs w:val="32"/>
        </w:rPr>
        <w:t>通知书</w:t>
      </w:r>
      <w:r>
        <w:rPr>
          <w:rFonts w:eastAsia="仿宋_GB2312"/>
          <w:color w:val="000000"/>
          <w:sz w:val="30"/>
          <w:szCs w:val="32"/>
        </w:rPr>
        <w:t>；</w:t>
      </w:r>
    </w:p>
    <w:p w14:paraId="1522C90F">
      <w:pPr>
        <w:autoSpaceDE w:val="0"/>
        <w:autoSpaceDN w:val="0"/>
        <w:adjustRightInd w:val="0"/>
        <w:spacing w:line="360" w:lineRule="auto"/>
        <w:ind w:firstLine="600" w:firstLineChars="200"/>
        <w:rPr>
          <w:rFonts w:eastAsia="仿宋_GB2312"/>
          <w:color w:val="000000"/>
          <w:sz w:val="30"/>
          <w:szCs w:val="32"/>
        </w:rPr>
      </w:pPr>
      <w:r>
        <w:rPr>
          <w:rFonts w:eastAsia="仿宋_GB2312"/>
          <w:color w:val="000000"/>
          <w:sz w:val="30"/>
          <w:szCs w:val="32"/>
        </w:rPr>
        <w:t>（</w:t>
      </w:r>
      <w:r>
        <w:rPr>
          <w:rFonts w:hint="eastAsia" w:eastAsia="仿宋_GB2312"/>
          <w:color w:val="000000"/>
          <w:sz w:val="30"/>
          <w:szCs w:val="32"/>
        </w:rPr>
        <w:t>3</w:t>
      </w:r>
      <w:r>
        <w:rPr>
          <w:rFonts w:eastAsia="仿宋_GB2312"/>
          <w:color w:val="000000"/>
          <w:sz w:val="30"/>
          <w:szCs w:val="32"/>
        </w:rPr>
        <w:t>）</w:t>
      </w:r>
      <w:r>
        <w:rPr>
          <w:rFonts w:hint="eastAsia" w:eastAsia="仿宋_GB2312" w:cs="仿宋_GB2312"/>
          <w:color w:val="000000"/>
          <w:sz w:val="30"/>
          <w:szCs w:val="32"/>
          <w:lang w:bidi="ar"/>
        </w:rPr>
        <w:t>谈判响应书</w:t>
      </w:r>
      <w:r>
        <w:rPr>
          <w:rFonts w:eastAsia="仿宋_GB2312"/>
          <w:color w:val="000000"/>
          <w:sz w:val="30"/>
          <w:szCs w:val="32"/>
        </w:rPr>
        <w:t>；</w:t>
      </w:r>
    </w:p>
    <w:p w14:paraId="629338FF">
      <w:pPr>
        <w:autoSpaceDE w:val="0"/>
        <w:autoSpaceDN w:val="0"/>
        <w:adjustRightInd w:val="0"/>
        <w:spacing w:line="360" w:lineRule="auto"/>
        <w:ind w:firstLine="600" w:firstLineChars="200"/>
        <w:rPr>
          <w:rFonts w:eastAsia="仿宋_GB2312"/>
          <w:color w:val="000000"/>
          <w:sz w:val="30"/>
          <w:szCs w:val="32"/>
        </w:rPr>
      </w:pPr>
      <w:r>
        <w:rPr>
          <w:rFonts w:eastAsia="仿宋_GB2312"/>
          <w:color w:val="000000"/>
          <w:sz w:val="30"/>
          <w:szCs w:val="32"/>
        </w:rPr>
        <w:t>（</w:t>
      </w:r>
      <w:r>
        <w:rPr>
          <w:rFonts w:hint="eastAsia" w:eastAsia="仿宋_GB2312"/>
          <w:color w:val="000000"/>
          <w:sz w:val="30"/>
          <w:szCs w:val="32"/>
        </w:rPr>
        <w:t>4</w:t>
      </w:r>
      <w:r>
        <w:rPr>
          <w:rFonts w:eastAsia="仿宋_GB2312"/>
          <w:color w:val="000000"/>
          <w:sz w:val="30"/>
          <w:szCs w:val="32"/>
        </w:rPr>
        <w:t>）专用合同条款</w:t>
      </w:r>
      <w:r>
        <w:rPr>
          <w:rFonts w:hint="eastAsia" w:eastAsia="仿宋_GB2312"/>
          <w:color w:val="000000"/>
          <w:sz w:val="30"/>
          <w:szCs w:val="32"/>
        </w:rPr>
        <w:t>及其附件</w:t>
      </w:r>
      <w:r>
        <w:rPr>
          <w:rFonts w:eastAsia="仿宋_GB2312"/>
          <w:color w:val="000000"/>
          <w:sz w:val="30"/>
          <w:szCs w:val="32"/>
        </w:rPr>
        <w:t>；</w:t>
      </w:r>
    </w:p>
    <w:p w14:paraId="7FE81952">
      <w:pPr>
        <w:autoSpaceDE w:val="0"/>
        <w:autoSpaceDN w:val="0"/>
        <w:adjustRightInd w:val="0"/>
        <w:spacing w:line="360" w:lineRule="auto"/>
        <w:ind w:firstLine="600" w:firstLineChars="200"/>
        <w:rPr>
          <w:rFonts w:eastAsia="仿宋_GB2312"/>
          <w:color w:val="000000"/>
          <w:sz w:val="30"/>
          <w:szCs w:val="32"/>
        </w:rPr>
      </w:pPr>
      <w:r>
        <w:rPr>
          <w:rFonts w:eastAsia="仿宋_GB2312"/>
          <w:color w:val="000000"/>
          <w:sz w:val="30"/>
          <w:szCs w:val="32"/>
        </w:rPr>
        <w:t>（</w:t>
      </w:r>
      <w:r>
        <w:rPr>
          <w:rFonts w:hint="eastAsia" w:eastAsia="仿宋_GB2312"/>
          <w:color w:val="000000"/>
          <w:sz w:val="30"/>
          <w:szCs w:val="32"/>
        </w:rPr>
        <w:t>5</w:t>
      </w:r>
      <w:r>
        <w:rPr>
          <w:rFonts w:eastAsia="仿宋_GB2312"/>
          <w:color w:val="000000"/>
          <w:sz w:val="30"/>
          <w:szCs w:val="32"/>
        </w:rPr>
        <w:t xml:space="preserve">）通用合同条款； </w:t>
      </w:r>
    </w:p>
    <w:p w14:paraId="501D320D">
      <w:pPr>
        <w:autoSpaceDE w:val="0"/>
        <w:autoSpaceDN w:val="0"/>
        <w:adjustRightInd w:val="0"/>
        <w:spacing w:line="360" w:lineRule="auto"/>
        <w:ind w:firstLine="600" w:firstLineChars="200"/>
        <w:rPr>
          <w:rFonts w:eastAsia="仿宋_GB2312"/>
          <w:color w:val="000000"/>
          <w:sz w:val="30"/>
          <w:szCs w:val="32"/>
        </w:rPr>
      </w:pPr>
      <w:r>
        <w:rPr>
          <w:rFonts w:eastAsia="仿宋_GB2312"/>
          <w:color w:val="000000"/>
          <w:sz w:val="30"/>
          <w:szCs w:val="32"/>
        </w:rPr>
        <w:t>（</w:t>
      </w:r>
      <w:r>
        <w:rPr>
          <w:rFonts w:hint="eastAsia" w:eastAsia="仿宋_GB2312"/>
          <w:color w:val="000000"/>
          <w:sz w:val="30"/>
          <w:szCs w:val="32"/>
        </w:rPr>
        <w:t>6</w:t>
      </w:r>
      <w:r>
        <w:rPr>
          <w:rFonts w:eastAsia="仿宋_GB2312"/>
          <w:color w:val="000000"/>
          <w:sz w:val="30"/>
          <w:szCs w:val="32"/>
        </w:rPr>
        <w:t>）技术标准和要求；</w:t>
      </w:r>
    </w:p>
    <w:p w14:paraId="62DDEE0B">
      <w:pPr>
        <w:autoSpaceDE w:val="0"/>
        <w:autoSpaceDN w:val="0"/>
        <w:adjustRightInd w:val="0"/>
        <w:spacing w:line="360" w:lineRule="auto"/>
        <w:ind w:firstLine="600" w:firstLineChars="200"/>
        <w:rPr>
          <w:rFonts w:eastAsia="仿宋_GB2312"/>
          <w:color w:val="000000"/>
          <w:sz w:val="30"/>
          <w:szCs w:val="32"/>
        </w:rPr>
      </w:pPr>
      <w:r>
        <w:rPr>
          <w:rFonts w:eastAsia="仿宋_GB2312"/>
          <w:color w:val="000000"/>
          <w:sz w:val="30"/>
          <w:szCs w:val="32"/>
        </w:rPr>
        <w:t>（</w:t>
      </w:r>
      <w:r>
        <w:rPr>
          <w:rFonts w:hint="eastAsia" w:eastAsia="仿宋_GB2312"/>
          <w:color w:val="000000"/>
          <w:sz w:val="30"/>
          <w:szCs w:val="32"/>
        </w:rPr>
        <w:t>7</w:t>
      </w:r>
      <w:r>
        <w:rPr>
          <w:rFonts w:eastAsia="仿宋_GB2312"/>
          <w:color w:val="000000"/>
          <w:sz w:val="30"/>
          <w:szCs w:val="32"/>
        </w:rPr>
        <w:t>）图纸</w:t>
      </w:r>
      <w:r>
        <w:rPr>
          <w:rFonts w:hint="eastAsia" w:eastAsia="仿宋_GB2312" w:cs="仿宋_GB2312"/>
          <w:color w:val="000000"/>
          <w:sz w:val="30"/>
          <w:szCs w:val="32"/>
          <w:lang w:bidi="ar"/>
        </w:rPr>
        <w:t>或拆除清单</w:t>
      </w:r>
      <w:r>
        <w:rPr>
          <w:rFonts w:eastAsia="仿宋_GB2312"/>
          <w:color w:val="000000"/>
          <w:sz w:val="30"/>
          <w:szCs w:val="32"/>
        </w:rPr>
        <w:t>；</w:t>
      </w:r>
    </w:p>
    <w:p w14:paraId="10303DB7">
      <w:pPr>
        <w:autoSpaceDE w:val="0"/>
        <w:autoSpaceDN w:val="0"/>
        <w:adjustRightInd w:val="0"/>
        <w:spacing w:line="360" w:lineRule="auto"/>
        <w:ind w:firstLine="600" w:firstLineChars="200"/>
        <w:rPr>
          <w:rFonts w:eastAsia="仿宋_GB2312"/>
          <w:color w:val="000000"/>
          <w:sz w:val="30"/>
          <w:szCs w:val="32"/>
        </w:rPr>
      </w:pPr>
      <w:r>
        <w:rPr>
          <w:rFonts w:eastAsia="仿宋_GB2312"/>
          <w:color w:val="000000"/>
          <w:sz w:val="30"/>
          <w:szCs w:val="32"/>
        </w:rPr>
        <w:t>（</w:t>
      </w:r>
      <w:r>
        <w:rPr>
          <w:rFonts w:hint="eastAsia" w:eastAsia="仿宋_GB2312"/>
          <w:color w:val="000000"/>
          <w:sz w:val="30"/>
          <w:szCs w:val="32"/>
        </w:rPr>
        <w:t>8</w:t>
      </w:r>
      <w:r>
        <w:rPr>
          <w:rFonts w:eastAsia="仿宋_GB2312"/>
          <w:color w:val="000000"/>
          <w:sz w:val="30"/>
          <w:szCs w:val="32"/>
        </w:rPr>
        <w:t>）</w:t>
      </w:r>
      <w:r>
        <w:rPr>
          <w:rFonts w:hint="eastAsia" w:eastAsia="仿宋_GB2312"/>
          <w:color w:val="000000"/>
          <w:sz w:val="30"/>
          <w:szCs w:val="32"/>
        </w:rPr>
        <w:t>谈判采购文件</w:t>
      </w:r>
      <w:r>
        <w:rPr>
          <w:rFonts w:eastAsia="仿宋_GB2312"/>
          <w:color w:val="000000"/>
          <w:sz w:val="30"/>
          <w:szCs w:val="32"/>
        </w:rPr>
        <w:t>；</w:t>
      </w:r>
    </w:p>
    <w:p w14:paraId="2303D800">
      <w:pPr>
        <w:autoSpaceDE w:val="0"/>
        <w:autoSpaceDN w:val="0"/>
        <w:adjustRightInd w:val="0"/>
        <w:spacing w:line="360" w:lineRule="auto"/>
        <w:ind w:firstLine="600" w:firstLineChars="200"/>
        <w:rPr>
          <w:rFonts w:eastAsia="仿宋_GB2312"/>
          <w:color w:val="000000"/>
          <w:sz w:val="30"/>
          <w:szCs w:val="32"/>
        </w:rPr>
      </w:pPr>
      <w:r>
        <w:rPr>
          <w:rFonts w:eastAsia="仿宋_GB2312"/>
          <w:color w:val="000000"/>
          <w:sz w:val="30"/>
          <w:szCs w:val="32"/>
        </w:rPr>
        <w:t>（9）其他合同文件</w:t>
      </w:r>
      <w:r>
        <w:rPr>
          <w:rFonts w:eastAsia="仿宋_GB2312"/>
          <w:color w:val="000000"/>
          <w:sz w:val="30"/>
          <w:szCs w:val="32"/>
        </w:rPr>
        <w:tab/>
      </w:r>
    </w:p>
    <w:p w14:paraId="1F3B4595">
      <w:pPr>
        <w:spacing w:after="120" w:line="360" w:lineRule="auto"/>
        <w:ind w:firstLine="600" w:firstLineChars="200"/>
        <w:outlineLvl w:val="0"/>
        <w:rPr>
          <w:rFonts w:eastAsia="黑体"/>
          <w:color w:val="000000"/>
          <w:sz w:val="30"/>
          <w:szCs w:val="32"/>
        </w:rPr>
      </w:pPr>
      <w:r>
        <w:rPr>
          <w:rFonts w:eastAsia="黑体"/>
          <w:color w:val="000000"/>
          <w:sz w:val="30"/>
          <w:szCs w:val="32"/>
        </w:rPr>
        <w:t>1.6 图纸和承包人文件</w:t>
      </w:r>
      <w:r>
        <w:rPr>
          <w:rFonts w:eastAsia="黑体"/>
          <w:color w:val="000000"/>
          <w:sz w:val="30"/>
          <w:szCs w:val="32"/>
        </w:rPr>
        <w:tab/>
      </w:r>
    </w:p>
    <w:p w14:paraId="148A103A">
      <w:pPr>
        <w:spacing w:line="360" w:lineRule="auto"/>
        <w:ind w:firstLine="600" w:firstLineChars="200"/>
        <w:rPr>
          <w:rFonts w:eastAsia="仿宋_GB2312"/>
          <w:color w:val="000000"/>
          <w:sz w:val="30"/>
          <w:szCs w:val="32"/>
        </w:rPr>
      </w:pPr>
      <w:r>
        <w:rPr>
          <w:rFonts w:eastAsia="仿宋_GB2312"/>
          <w:color w:val="000000"/>
          <w:sz w:val="30"/>
          <w:szCs w:val="32"/>
        </w:rPr>
        <w:t>1.6.1 图纸的提供</w:t>
      </w:r>
    </w:p>
    <w:p w14:paraId="0F8F1034">
      <w:pPr>
        <w:spacing w:line="360" w:lineRule="auto"/>
        <w:ind w:firstLine="600" w:firstLineChars="200"/>
        <w:rPr>
          <w:rFonts w:eastAsia="仿宋_GB2312"/>
          <w:color w:val="000000"/>
          <w:sz w:val="30"/>
          <w:szCs w:val="32"/>
        </w:rPr>
      </w:pPr>
      <w:r>
        <w:rPr>
          <w:rFonts w:eastAsia="仿宋_GB2312"/>
          <w:color w:val="000000"/>
          <w:sz w:val="30"/>
          <w:szCs w:val="32"/>
        </w:rPr>
        <w:t>发包人向承包人提供图纸的期限：</w:t>
      </w:r>
      <w:r>
        <w:rPr>
          <w:rFonts w:hint="eastAsia" w:eastAsia="仿宋_GB2312"/>
          <w:color w:val="000000"/>
          <w:sz w:val="30"/>
          <w:szCs w:val="32"/>
          <w:u w:val="single"/>
        </w:rPr>
        <w:t xml:space="preserve"> 开工前七日内</w:t>
      </w:r>
      <w:r>
        <w:rPr>
          <w:rFonts w:eastAsia="仿宋_GB2312"/>
          <w:color w:val="000000"/>
          <w:sz w:val="30"/>
          <w:szCs w:val="32"/>
          <w:u w:val="single"/>
        </w:rPr>
        <w:t xml:space="preserve">  </w:t>
      </w:r>
      <w:r>
        <w:rPr>
          <w:rFonts w:eastAsia="仿宋_GB2312"/>
          <w:color w:val="000000"/>
          <w:sz w:val="30"/>
          <w:szCs w:val="32"/>
        </w:rPr>
        <w:t>；</w:t>
      </w:r>
    </w:p>
    <w:p w14:paraId="67AA5C8D">
      <w:pPr>
        <w:spacing w:line="360" w:lineRule="auto"/>
        <w:ind w:firstLine="600" w:firstLineChars="200"/>
        <w:rPr>
          <w:rFonts w:eastAsia="仿宋_GB2312"/>
          <w:color w:val="000000"/>
          <w:sz w:val="30"/>
          <w:szCs w:val="32"/>
        </w:rPr>
      </w:pPr>
      <w:r>
        <w:rPr>
          <w:rFonts w:eastAsia="仿宋_GB2312"/>
          <w:color w:val="000000"/>
          <w:sz w:val="30"/>
          <w:szCs w:val="32"/>
        </w:rPr>
        <w:t>发包人向承包人提供图纸的数量：</w:t>
      </w:r>
      <w:r>
        <w:rPr>
          <w:rFonts w:hint="eastAsia" w:eastAsia="仿宋_GB2312"/>
          <w:color w:val="000000"/>
          <w:sz w:val="30"/>
          <w:szCs w:val="32"/>
          <w:u w:val="single"/>
        </w:rPr>
        <w:t>叁套，承包人确需增加图纸套数的，需经发包人同意，所需费用由承包人自行承担</w:t>
      </w:r>
      <w:r>
        <w:rPr>
          <w:rFonts w:eastAsia="仿宋_GB2312"/>
          <w:color w:val="000000"/>
          <w:sz w:val="30"/>
          <w:szCs w:val="32"/>
          <w:u w:val="single"/>
        </w:rPr>
        <w:t xml:space="preserve"> </w:t>
      </w:r>
      <w:r>
        <w:rPr>
          <w:rFonts w:eastAsia="仿宋_GB2312"/>
          <w:color w:val="000000"/>
          <w:sz w:val="30"/>
          <w:szCs w:val="32"/>
        </w:rPr>
        <w:t>；</w:t>
      </w:r>
    </w:p>
    <w:p w14:paraId="2E6A60D7">
      <w:pPr>
        <w:spacing w:line="360" w:lineRule="auto"/>
        <w:ind w:firstLine="600" w:firstLineChars="200"/>
        <w:rPr>
          <w:rFonts w:eastAsia="仿宋_GB2312"/>
          <w:color w:val="000000"/>
          <w:sz w:val="30"/>
          <w:szCs w:val="32"/>
        </w:rPr>
      </w:pPr>
      <w:r>
        <w:rPr>
          <w:rFonts w:hint="eastAsia" w:eastAsia="仿宋_GB2312"/>
          <w:color w:val="000000"/>
          <w:sz w:val="30"/>
          <w:szCs w:val="32"/>
        </w:rPr>
        <w:t>发包人对图纸的保密要求：</w:t>
      </w:r>
      <w:r>
        <w:rPr>
          <w:rFonts w:hint="eastAsia" w:eastAsia="仿宋_GB2312"/>
          <w:color w:val="000000"/>
          <w:sz w:val="30"/>
          <w:szCs w:val="32"/>
          <w:u w:val="single"/>
        </w:rPr>
        <w:t>未经发包人书面同意，施工图纸及资料不得拷贝、复印、转让给第三方。若承包人违反此保密义务，承</w:t>
      </w:r>
      <w:r>
        <w:rPr>
          <w:rFonts w:hint="eastAsia" w:eastAsia="仿宋_GB2312"/>
          <w:sz w:val="30"/>
          <w:szCs w:val="32"/>
          <w:u w:val="single"/>
        </w:rPr>
        <w:t>包人应在发包人追究承包人此违约责任之日起5日内，向发包人支付违约金贰拾万元。逾期支付，承包人应额外向发包人支付未付违约金额0.5‰/天的逾期违约金直至完全支付为止。发包人有权单方解除合同且不承</w:t>
      </w:r>
      <w:r>
        <w:rPr>
          <w:rFonts w:hint="eastAsia" w:eastAsia="仿宋_GB2312"/>
          <w:color w:val="000000"/>
          <w:sz w:val="30"/>
          <w:szCs w:val="32"/>
          <w:u w:val="single"/>
        </w:rPr>
        <w:t>担违约责任。</w:t>
      </w:r>
    </w:p>
    <w:p w14:paraId="17FC4B98">
      <w:pPr>
        <w:spacing w:line="360" w:lineRule="auto"/>
        <w:ind w:firstLine="600" w:firstLineChars="200"/>
        <w:rPr>
          <w:rFonts w:eastAsia="仿宋_GB2312"/>
          <w:color w:val="000000"/>
          <w:sz w:val="30"/>
          <w:szCs w:val="32"/>
        </w:rPr>
      </w:pPr>
      <w:r>
        <w:rPr>
          <w:rFonts w:eastAsia="仿宋_GB2312"/>
          <w:color w:val="000000"/>
          <w:sz w:val="30"/>
          <w:szCs w:val="32"/>
        </w:rPr>
        <w:t>1.6.4 承包人文件</w:t>
      </w:r>
    </w:p>
    <w:p w14:paraId="3830AE17">
      <w:pPr>
        <w:spacing w:line="360" w:lineRule="auto"/>
        <w:ind w:left="596" w:leftChars="284"/>
        <w:jc w:val="left"/>
        <w:rPr>
          <w:rFonts w:eastAsia="仿宋_GB2312"/>
          <w:color w:val="000000"/>
          <w:sz w:val="30"/>
          <w:szCs w:val="32"/>
        </w:rPr>
      </w:pPr>
      <w:r>
        <w:rPr>
          <w:rFonts w:eastAsia="仿宋_GB2312"/>
          <w:color w:val="000000"/>
          <w:sz w:val="30"/>
          <w:szCs w:val="32"/>
        </w:rPr>
        <w:t>需要由承包人提供的文件，包括：</w:t>
      </w:r>
      <w:r>
        <w:rPr>
          <w:rFonts w:hint="eastAsia" w:eastAsia="仿宋_GB2312"/>
          <w:color w:val="000000"/>
          <w:sz w:val="30"/>
          <w:szCs w:val="32"/>
          <w:u w:val="single"/>
        </w:rPr>
        <w:t xml:space="preserve">施工组织设计、专项施工方案、进度计划等 </w:t>
      </w:r>
      <w:r>
        <w:rPr>
          <w:rFonts w:eastAsia="仿宋_GB2312"/>
          <w:color w:val="000000"/>
          <w:sz w:val="30"/>
          <w:szCs w:val="32"/>
        </w:rPr>
        <w:t>；</w:t>
      </w:r>
    </w:p>
    <w:p w14:paraId="0C70E751">
      <w:pPr>
        <w:spacing w:line="360" w:lineRule="auto"/>
        <w:ind w:firstLine="600" w:firstLineChars="200"/>
        <w:rPr>
          <w:rFonts w:eastAsia="仿宋_GB2312"/>
          <w:color w:val="000000"/>
          <w:sz w:val="30"/>
          <w:szCs w:val="32"/>
        </w:rPr>
      </w:pPr>
      <w:r>
        <w:rPr>
          <w:rFonts w:eastAsia="仿宋_GB2312"/>
          <w:color w:val="000000"/>
          <w:sz w:val="30"/>
          <w:szCs w:val="32"/>
        </w:rPr>
        <w:t>承包人提供的文件的期限为：</w:t>
      </w:r>
      <w:r>
        <w:rPr>
          <w:rFonts w:hint="eastAsia" w:eastAsia="仿宋_GB2312"/>
          <w:color w:val="000000"/>
          <w:sz w:val="30"/>
          <w:szCs w:val="32"/>
          <w:u w:val="single"/>
        </w:rPr>
        <w:t>施工组织设计、进度计划在开工前7天，专项施工方案在专项工程实施前7天</w:t>
      </w:r>
      <w:r>
        <w:rPr>
          <w:rFonts w:eastAsia="仿宋_GB2312"/>
          <w:color w:val="000000"/>
          <w:sz w:val="30"/>
          <w:szCs w:val="32"/>
        </w:rPr>
        <w:t>；</w:t>
      </w:r>
    </w:p>
    <w:p w14:paraId="7E6CEF62">
      <w:pPr>
        <w:spacing w:line="360" w:lineRule="auto"/>
        <w:ind w:firstLine="600" w:firstLineChars="200"/>
        <w:rPr>
          <w:rFonts w:eastAsia="仿宋_GB2312"/>
          <w:color w:val="000000"/>
          <w:sz w:val="30"/>
          <w:szCs w:val="32"/>
        </w:rPr>
      </w:pPr>
      <w:r>
        <w:rPr>
          <w:rFonts w:eastAsia="仿宋_GB2312"/>
          <w:color w:val="000000"/>
          <w:sz w:val="30"/>
          <w:szCs w:val="32"/>
        </w:rPr>
        <w:t>承包人提供的文件的数量为：</w:t>
      </w:r>
      <w:r>
        <w:rPr>
          <w:rFonts w:hint="eastAsia" w:eastAsia="仿宋_GB2312"/>
          <w:color w:val="000000"/>
          <w:sz w:val="30"/>
          <w:szCs w:val="32"/>
          <w:u w:val="single"/>
        </w:rPr>
        <w:t xml:space="preserve">三份 </w:t>
      </w:r>
      <w:r>
        <w:rPr>
          <w:rFonts w:eastAsia="仿宋_GB2312"/>
          <w:color w:val="000000"/>
          <w:sz w:val="30"/>
          <w:szCs w:val="32"/>
        </w:rPr>
        <w:t>；</w:t>
      </w:r>
    </w:p>
    <w:p w14:paraId="1039BB65">
      <w:pPr>
        <w:spacing w:line="360" w:lineRule="auto"/>
        <w:ind w:firstLine="600" w:firstLineChars="200"/>
        <w:rPr>
          <w:rFonts w:eastAsia="仿宋_GB2312"/>
          <w:color w:val="000000"/>
          <w:sz w:val="30"/>
          <w:szCs w:val="32"/>
        </w:rPr>
      </w:pPr>
      <w:r>
        <w:rPr>
          <w:rFonts w:eastAsia="仿宋_GB2312"/>
          <w:color w:val="000000"/>
          <w:sz w:val="30"/>
          <w:szCs w:val="32"/>
        </w:rPr>
        <w:t>承包人提供的文件的形式为：</w:t>
      </w:r>
      <w:r>
        <w:rPr>
          <w:rFonts w:hint="eastAsia" w:eastAsia="仿宋_GB2312"/>
          <w:color w:val="000000"/>
          <w:sz w:val="30"/>
          <w:szCs w:val="32"/>
          <w:u w:val="single"/>
        </w:rPr>
        <w:t>正式纸质文件（承包人已完善签字盖章）</w:t>
      </w:r>
      <w:r>
        <w:rPr>
          <w:rFonts w:eastAsia="仿宋_GB2312"/>
          <w:color w:val="000000"/>
          <w:sz w:val="30"/>
          <w:szCs w:val="32"/>
        </w:rPr>
        <w:t>；</w:t>
      </w:r>
    </w:p>
    <w:p w14:paraId="0C18BF48">
      <w:pPr>
        <w:spacing w:line="360" w:lineRule="auto"/>
        <w:ind w:firstLine="600" w:firstLineChars="200"/>
        <w:rPr>
          <w:rFonts w:eastAsia="仿宋_GB2312"/>
          <w:color w:val="000000"/>
          <w:sz w:val="30"/>
          <w:szCs w:val="32"/>
        </w:rPr>
      </w:pPr>
      <w:r>
        <w:rPr>
          <w:rFonts w:eastAsia="仿宋_GB2312"/>
          <w:color w:val="000000"/>
          <w:sz w:val="30"/>
          <w:szCs w:val="32"/>
        </w:rPr>
        <w:t>发包人</w:t>
      </w:r>
      <w:r>
        <w:rPr>
          <w:rFonts w:hint="eastAsia" w:eastAsia="仿宋_GB2312"/>
          <w:color w:val="000000"/>
          <w:sz w:val="30"/>
          <w:szCs w:val="32"/>
        </w:rPr>
        <w:t>审批</w:t>
      </w:r>
      <w:r>
        <w:rPr>
          <w:rFonts w:eastAsia="仿宋_GB2312"/>
          <w:color w:val="000000"/>
          <w:sz w:val="30"/>
          <w:szCs w:val="32"/>
        </w:rPr>
        <w:t>承包人文件的期限：</w:t>
      </w:r>
      <w:r>
        <w:rPr>
          <w:rFonts w:hint="eastAsia" w:eastAsia="仿宋_GB2312"/>
          <w:color w:val="000000"/>
          <w:sz w:val="30"/>
          <w:szCs w:val="32"/>
          <w:u w:val="single"/>
        </w:rPr>
        <w:t>收到文件后7天内审核完毕</w:t>
      </w:r>
      <w:r>
        <w:rPr>
          <w:rFonts w:eastAsia="仿宋_GB2312"/>
          <w:color w:val="000000"/>
          <w:sz w:val="30"/>
          <w:szCs w:val="32"/>
        </w:rPr>
        <w:t>。</w:t>
      </w:r>
    </w:p>
    <w:p w14:paraId="32EEDB72">
      <w:pPr>
        <w:spacing w:after="120" w:line="360" w:lineRule="auto"/>
        <w:ind w:firstLine="600" w:firstLineChars="200"/>
        <w:outlineLvl w:val="0"/>
        <w:rPr>
          <w:rFonts w:eastAsia="黑体"/>
          <w:color w:val="000000"/>
          <w:sz w:val="30"/>
          <w:szCs w:val="32"/>
        </w:rPr>
      </w:pPr>
      <w:r>
        <w:rPr>
          <w:rFonts w:eastAsia="黑体"/>
          <w:color w:val="000000"/>
          <w:sz w:val="30"/>
          <w:szCs w:val="32"/>
        </w:rPr>
        <w:t>1.7 联络</w:t>
      </w:r>
    </w:p>
    <w:p w14:paraId="16AA8490">
      <w:pPr>
        <w:spacing w:line="360" w:lineRule="auto"/>
        <w:ind w:firstLine="600" w:firstLineChars="200"/>
        <w:rPr>
          <w:rFonts w:eastAsia="仿宋_GB2312"/>
          <w:color w:val="000000"/>
          <w:kern w:val="0"/>
          <w:sz w:val="30"/>
          <w:szCs w:val="32"/>
        </w:rPr>
      </w:pPr>
      <w:r>
        <w:rPr>
          <w:rFonts w:eastAsia="仿宋_GB2312"/>
          <w:color w:val="000000"/>
          <w:kern w:val="0"/>
          <w:sz w:val="30"/>
          <w:szCs w:val="32"/>
        </w:rPr>
        <w:t>1.7.1发包人和承包人应当在</w:t>
      </w:r>
      <w:r>
        <w:rPr>
          <w:rFonts w:hint="eastAsia" w:eastAsia="仿宋_GB2312"/>
          <w:color w:val="000000"/>
          <w:kern w:val="0"/>
          <w:sz w:val="30"/>
          <w:szCs w:val="32"/>
        </w:rPr>
        <w:t>事件发生后</w:t>
      </w:r>
      <w:r>
        <w:rPr>
          <w:rFonts w:hint="eastAsia" w:eastAsia="仿宋_GB2312"/>
          <w:color w:val="000000"/>
          <w:kern w:val="0"/>
          <w:sz w:val="30"/>
          <w:szCs w:val="32"/>
          <w:u w:val="single"/>
        </w:rPr>
        <w:t xml:space="preserve"> </w:t>
      </w:r>
      <w:r>
        <w:rPr>
          <w:rFonts w:eastAsia="仿宋_GB2312"/>
          <w:color w:val="000000"/>
          <w:sz w:val="30"/>
          <w:szCs w:val="32"/>
          <w:u w:val="single"/>
        </w:rPr>
        <w:t xml:space="preserve">3 </w:t>
      </w:r>
      <w:r>
        <w:rPr>
          <w:rFonts w:eastAsia="仿宋_GB2312"/>
          <w:color w:val="000000"/>
          <w:kern w:val="0"/>
          <w:sz w:val="30"/>
          <w:szCs w:val="32"/>
        </w:rPr>
        <w:t>天内将与合同有关的通知、批准、证明、证书、指示、指令、要求、请求、同意、意见、确定和决定等书面函件送达对方当事人</w:t>
      </w:r>
      <w:r>
        <w:rPr>
          <w:rFonts w:hint="eastAsia" w:eastAsia="仿宋_GB2312"/>
          <w:color w:val="000000"/>
          <w:kern w:val="0"/>
          <w:sz w:val="30"/>
          <w:szCs w:val="32"/>
        </w:rPr>
        <w:t>。</w:t>
      </w:r>
    </w:p>
    <w:p w14:paraId="3F5A3777">
      <w:pPr>
        <w:spacing w:line="360" w:lineRule="auto"/>
        <w:ind w:firstLine="600" w:firstLineChars="200"/>
        <w:rPr>
          <w:rFonts w:eastAsia="仿宋_GB2312"/>
          <w:color w:val="000000"/>
          <w:kern w:val="0"/>
          <w:sz w:val="30"/>
          <w:szCs w:val="32"/>
        </w:rPr>
      </w:pPr>
      <w:r>
        <w:rPr>
          <w:rFonts w:eastAsia="仿宋_GB2312"/>
          <w:color w:val="000000"/>
          <w:kern w:val="0"/>
          <w:sz w:val="30"/>
          <w:szCs w:val="32"/>
        </w:rPr>
        <w:t>1.7.2 发包人接收文件的地点：</w:t>
      </w:r>
      <w:r>
        <w:rPr>
          <w:rFonts w:eastAsia="仿宋_GB2312"/>
          <w:color w:val="000000"/>
          <w:sz w:val="30"/>
          <w:szCs w:val="30"/>
          <w:u w:val="single"/>
        </w:rPr>
        <w:t xml:space="preserve">                              </w:t>
      </w:r>
      <w:r>
        <w:rPr>
          <w:rFonts w:eastAsia="仿宋_GB2312"/>
          <w:color w:val="000000"/>
          <w:kern w:val="0"/>
          <w:sz w:val="30"/>
          <w:szCs w:val="32"/>
        </w:rPr>
        <w:t>；</w:t>
      </w:r>
    </w:p>
    <w:p w14:paraId="1FF61465">
      <w:pPr>
        <w:spacing w:line="360" w:lineRule="auto"/>
        <w:ind w:firstLine="600" w:firstLineChars="200"/>
        <w:rPr>
          <w:rFonts w:eastAsia="仿宋_GB2312"/>
          <w:color w:val="000000"/>
          <w:kern w:val="0"/>
          <w:sz w:val="30"/>
          <w:szCs w:val="32"/>
        </w:rPr>
      </w:pPr>
      <w:r>
        <w:rPr>
          <w:rFonts w:eastAsia="仿宋_GB2312"/>
          <w:color w:val="000000"/>
          <w:kern w:val="0"/>
          <w:sz w:val="30"/>
          <w:szCs w:val="32"/>
        </w:rPr>
        <w:t>发包人指定的接收人为：</w:t>
      </w:r>
      <w:r>
        <w:rPr>
          <w:rFonts w:eastAsia="仿宋_GB2312"/>
          <w:color w:val="000000"/>
          <w:sz w:val="30"/>
          <w:szCs w:val="30"/>
          <w:u w:val="single"/>
        </w:rPr>
        <w:t xml:space="preserve">                                   </w:t>
      </w:r>
      <w:r>
        <w:rPr>
          <w:rFonts w:eastAsia="仿宋_GB2312"/>
          <w:color w:val="000000"/>
          <w:kern w:val="0"/>
          <w:sz w:val="30"/>
          <w:szCs w:val="32"/>
        </w:rPr>
        <w:t>。</w:t>
      </w:r>
    </w:p>
    <w:p w14:paraId="16876012">
      <w:pPr>
        <w:spacing w:line="360" w:lineRule="auto"/>
        <w:ind w:firstLine="600" w:firstLineChars="200"/>
        <w:rPr>
          <w:rFonts w:eastAsia="仿宋_GB2312"/>
          <w:color w:val="000000"/>
          <w:kern w:val="0"/>
          <w:sz w:val="30"/>
          <w:szCs w:val="32"/>
        </w:rPr>
      </w:pPr>
      <w:r>
        <w:rPr>
          <w:rFonts w:eastAsia="仿宋_GB2312"/>
          <w:color w:val="000000"/>
          <w:kern w:val="0"/>
          <w:sz w:val="30"/>
          <w:szCs w:val="32"/>
        </w:rPr>
        <w:t>承包人接收文件的地点：</w:t>
      </w:r>
      <w:r>
        <w:rPr>
          <w:rFonts w:eastAsia="仿宋_GB2312"/>
          <w:color w:val="000000"/>
          <w:sz w:val="30"/>
          <w:szCs w:val="30"/>
          <w:u w:val="single"/>
        </w:rPr>
        <w:t xml:space="preserve">                                   </w:t>
      </w:r>
      <w:r>
        <w:rPr>
          <w:rFonts w:eastAsia="仿宋_GB2312"/>
          <w:color w:val="000000"/>
          <w:kern w:val="0"/>
          <w:sz w:val="30"/>
          <w:szCs w:val="32"/>
        </w:rPr>
        <w:t>；</w:t>
      </w:r>
    </w:p>
    <w:p w14:paraId="68C5CE71">
      <w:pPr>
        <w:spacing w:line="360" w:lineRule="auto"/>
        <w:ind w:firstLine="600" w:firstLineChars="200"/>
        <w:rPr>
          <w:rFonts w:eastAsia="仿宋_GB2312"/>
          <w:color w:val="000000"/>
          <w:kern w:val="0"/>
          <w:sz w:val="30"/>
          <w:szCs w:val="32"/>
        </w:rPr>
      </w:pPr>
      <w:r>
        <w:rPr>
          <w:rFonts w:eastAsia="仿宋_GB2312"/>
          <w:color w:val="000000"/>
          <w:kern w:val="0"/>
          <w:sz w:val="30"/>
          <w:szCs w:val="32"/>
        </w:rPr>
        <w:t>承包人指定的接收人为：</w:t>
      </w:r>
      <w:r>
        <w:rPr>
          <w:rFonts w:eastAsia="仿宋_GB2312"/>
          <w:color w:val="000000"/>
          <w:sz w:val="30"/>
          <w:szCs w:val="30"/>
          <w:u w:val="single"/>
        </w:rPr>
        <w:t xml:space="preserve">                                   </w:t>
      </w:r>
      <w:r>
        <w:rPr>
          <w:rFonts w:eastAsia="仿宋_GB2312"/>
          <w:color w:val="000000"/>
          <w:kern w:val="0"/>
          <w:sz w:val="30"/>
          <w:szCs w:val="32"/>
        </w:rPr>
        <w:t>。</w:t>
      </w:r>
    </w:p>
    <w:p w14:paraId="2919E936">
      <w:pPr>
        <w:spacing w:after="120" w:line="360" w:lineRule="auto"/>
        <w:ind w:firstLine="600" w:firstLineChars="200"/>
        <w:outlineLvl w:val="0"/>
        <w:rPr>
          <w:rFonts w:eastAsia="黑体"/>
          <w:color w:val="000000"/>
          <w:sz w:val="30"/>
          <w:szCs w:val="32"/>
        </w:rPr>
      </w:pPr>
      <w:r>
        <w:rPr>
          <w:rFonts w:eastAsia="黑体"/>
          <w:color w:val="000000"/>
          <w:sz w:val="30"/>
          <w:szCs w:val="32"/>
        </w:rPr>
        <w:t>1.10 交通运输</w:t>
      </w:r>
    </w:p>
    <w:p w14:paraId="0681A149">
      <w:pPr>
        <w:spacing w:line="360" w:lineRule="auto"/>
        <w:ind w:firstLine="600" w:firstLineChars="200"/>
        <w:jc w:val="left"/>
        <w:outlineLvl w:val="0"/>
        <w:rPr>
          <w:rFonts w:eastAsia="仿宋_GB2312"/>
          <w:sz w:val="30"/>
          <w:szCs w:val="32"/>
        </w:rPr>
      </w:pPr>
      <w:r>
        <w:rPr>
          <w:rFonts w:eastAsia="仿宋_GB2312"/>
          <w:sz w:val="30"/>
          <w:szCs w:val="32"/>
        </w:rPr>
        <w:t>1</w:t>
      </w:r>
      <w:bookmarkStart w:id="118" w:name="_Toc304295522"/>
      <w:bookmarkStart w:id="119" w:name="_Toc303539101"/>
      <w:bookmarkStart w:id="120" w:name="_Toc318581156"/>
      <w:bookmarkStart w:id="121" w:name="_Toc312677987"/>
      <w:bookmarkStart w:id="122" w:name="_Toc300934944"/>
      <w:r>
        <w:rPr>
          <w:rFonts w:eastAsia="仿宋_GB2312"/>
          <w:sz w:val="30"/>
          <w:szCs w:val="32"/>
        </w:rPr>
        <w:t>.10.3 场内交通</w:t>
      </w:r>
    </w:p>
    <w:p w14:paraId="32CC09F2">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关于场外交通和场内交通的边界的约定：</w:t>
      </w:r>
      <w:r>
        <w:rPr>
          <w:rFonts w:hint="eastAsia" w:eastAsia="仿宋_GB2312"/>
          <w:color w:val="000000"/>
          <w:sz w:val="30"/>
          <w:szCs w:val="32"/>
          <w:u w:val="single"/>
        </w:rPr>
        <w:t xml:space="preserve">以发包人厂区外围围墙为边界 </w:t>
      </w:r>
      <w:r>
        <w:rPr>
          <w:rFonts w:eastAsia="仿宋_GB2312"/>
          <w:sz w:val="30"/>
          <w:szCs w:val="32"/>
        </w:rPr>
        <w:t>。</w:t>
      </w:r>
    </w:p>
    <w:p w14:paraId="333B0341">
      <w:pPr>
        <w:spacing w:line="360" w:lineRule="auto"/>
        <w:ind w:firstLine="600" w:firstLineChars="200"/>
        <w:jc w:val="left"/>
        <w:rPr>
          <w:rFonts w:eastAsia="仿宋_GB2312"/>
          <w:sz w:val="30"/>
          <w:szCs w:val="32"/>
        </w:rPr>
      </w:pPr>
      <w:r>
        <w:rPr>
          <w:rFonts w:eastAsia="仿宋_GB2312"/>
          <w:sz w:val="30"/>
          <w:szCs w:val="32"/>
        </w:rPr>
        <w:t>关于发包人向承包人免费提供满足工程施工需要的场内道路和交通设施的约定：</w:t>
      </w:r>
      <w:r>
        <w:rPr>
          <w:rFonts w:hint="eastAsia" w:eastAsia="仿宋_GB2312"/>
          <w:color w:val="000000"/>
          <w:sz w:val="30"/>
          <w:szCs w:val="32"/>
          <w:u w:val="single"/>
        </w:rPr>
        <w:t xml:space="preserve">施工场地与城市公共道路已开通，施工场地内的临时道路由承包人负责，费用由承包人自行承担  </w:t>
      </w:r>
      <w:r>
        <w:rPr>
          <w:rFonts w:eastAsia="仿宋_GB2312"/>
          <w:sz w:val="30"/>
          <w:szCs w:val="32"/>
        </w:rPr>
        <w:t>。</w:t>
      </w:r>
      <w:bookmarkEnd w:id="118"/>
      <w:bookmarkEnd w:id="119"/>
      <w:bookmarkEnd w:id="120"/>
      <w:bookmarkEnd w:id="121"/>
      <w:bookmarkEnd w:id="122"/>
      <w:r>
        <w:rPr>
          <w:rFonts w:eastAsia="仿宋_GB2312"/>
          <w:sz w:val="30"/>
          <w:szCs w:val="32"/>
        </w:rPr>
        <w:t xml:space="preserve">  </w:t>
      </w:r>
      <w:bookmarkStart w:id="123" w:name="_Toc318581157"/>
    </w:p>
    <w:bookmarkEnd w:id="123"/>
    <w:p w14:paraId="4B5F1EE8">
      <w:pPr>
        <w:spacing w:after="120" w:line="360" w:lineRule="auto"/>
        <w:ind w:firstLine="600" w:firstLineChars="200"/>
        <w:outlineLvl w:val="0"/>
        <w:rPr>
          <w:rFonts w:eastAsia="黑体"/>
          <w:color w:val="000000"/>
          <w:sz w:val="30"/>
          <w:szCs w:val="32"/>
        </w:rPr>
      </w:pPr>
      <w:r>
        <w:rPr>
          <w:rFonts w:eastAsia="黑体"/>
          <w:color w:val="000000"/>
          <w:sz w:val="30"/>
          <w:szCs w:val="32"/>
        </w:rPr>
        <w:t>1.11 知识产权</w:t>
      </w:r>
    </w:p>
    <w:p w14:paraId="0306AE67">
      <w:pPr>
        <w:spacing w:line="360" w:lineRule="auto"/>
        <w:ind w:firstLine="600" w:firstLineChars="200"/>
        <w:outlineLvl w:val="0"/>
        <w:rPr>
          <w:rFonts w:eastAsia="仿宋_GB2312"/>
          <w:color w:val="000000"/>
          <w:kern w:val="0"/>
          <w:sz w:val="30"/>
          <w:szCs w:val="32"/>
        </w:rPr>
      </w:pPr>
      <w:r>
        <w:rPr>
          <w:rFonts w:eastAsia="仿宋_GB2312"/>
          <w:color w:val="000000"/>
          <w:sz w:val="30"/>
          <w:szCs w:val="32"/>
        </w:rPr>
        <w:t>1.11.4 承包人在施工过程中所采用的专利、专有技术、技术秘密的使用费的承担方式：</w:t>
      </w:r>
      <w:r>
        <w:rPr>
          <w:rFonts w:hint="eastAsia" w:eastAsia="仿宋_GB2312"/>
          <w:color w:val="000000"/>
          <w:sz w:val="30"/>
          <w:szCs w:val="32"/>
          <w:u w:val="single"/>
        </w:rPr>
        <w:t xml:space="preserve">由承包人承担 </w:t>
      </w:r>
      <w:r>
        <w:rPr>
          <w:rFonts w:eastAsia="仿宋_GB2312"/>
          <w:color w:val="000000"/>
          <w:sz w:val="30"/>
          <w:szCs w:val="32"/>
          <w:u w:val="single"/>
        </w:rPr>
        <w:t xml:space="preserve">  </w:t>
      </w:r>
      <w:r>
        <w:rPr>
          <w:rFonts w:eastAsia="仿宋_GB2312"/>
          <w:color w:val="000000"/>
          <w:kern w:val="0"/>
          <w:sz w:val="30"/>
          <w:szCs w:val="32"/>
        </w:rPr>
        <w:t>。</w:t>
      </w:r>
    </w:p>
    <w:p w14:paraId="5912F2D4">
      <w:pPr>
        <w:spacing w:after="120" w:line="360" w:lineRule="auto"/>
        <w:ind w:firstLine="600" w:firstLineChars="200"/>
        <w:rPr>
          <w:rFonts w:eastAsia="黑体"/>
          <w:color w:val="000000"/>
          <w:sz w:val="30"/>
          <w:szCs w:val="32"/>
        </w:rPr>
      </w:pPr>
      <w:r>
        <w:rPr>
          <w:rFonts w:eastAsia="黑体"/>
          <w:color w:val="000000"/>
          <w:sz w:val="30"/>
          <w:szCs w:val="32"/>
        </w:rPr>
        <w:t>1.13工程量清单错误的修正</w:t>
      </w:r>
    </w:p>
    <w:p w14:paraId="661742A4">
      <w:pPr>
        <w:spacing w:line="360" w:lineRule="auto"/>
        <w:ind w:firstLine="600" w:firstLineChars="200"/>
        <w:rPr>
          <w:rFonts w:eastAsia="仿宋_GB2312"/>
          <w:color w:val="000000"/>
          <w:sz w:val="30"/>
          <w:szCs w:val="32"/>
        </w:rPr>
      </w:pPr>
      <w:r>
        <w:rPr>
          <w:rFonts w:hint="eastAsia" w:eastAsia="仿宋_GB2312"/>
          <w:color w:val="000000"/>
          <w:sz w:val="30"/>
          <w:szCs w:val="32"/>
        </w:rPr>
        <w:t>出现工程量清单错误时，是否调整合同价格：</w:t>
      </w:r>
      <w:r>
        <w:rPr>
          <w:rFonts w:eastAsia="仿宋_GB2312"/>
          <w:color w:val="000000"/>
          <w:sz w:val="30"/>
          <w:szCs w:val="32"/>
          <w:u w:val="single"/>
        </w:rPr>
        <w:t xml:space="preserve"> </w:t>
      </w:r>
      <w:r>
        <w:rPr>
          <w:rFonts w:hint="eastAsia" w:eastAsia="仿宋_GB2312"/>
          <w:color w:val="000000"/>
          <w:sz w:val="30"/>
          <w:szCs w:val="32"/>
          <w:u w:val="single"/>
        </w:rPr>
        <w:t xml:space="preserve"> 是</w:t>
      </w:r>
      <w:r>
        <w:rPr>
          <w:rFonts w:eastAsia="仿宋_GB2312"/>
          <w:color w:val="000000"/>
          <w:sz w:val="30"/>
          <w:szCs w:val="32"/>
          <w:u w:val="single"/>
        </w:rPr>
        <w:t xml:space="preserve"> </w:t>
      </w:r>
      <w:r>
        <w:rPr>
          <w:rFonts w:eastAsia="仿宋_GB2312"/>
          <w:color w:val="000000"/>
          <w:kern w:val="0"/>
          <w:sz w:val="30"/>
          <w:szCs w:val="32"/>
        </w:rPr>
        <w:t>。</w:t>
      </w:r>
    </w:p>
    <w:p w14:paraId="1EF1AA89">
      <w:pPr>
        <w:spacing w:line="360" w:lineRule="auto"/>
        <w:ind w:firstLine="600" w:firstLineChars="200"/>
        <w:rPr>
          <w:rFonts w:eastAsia="仿宋_GB2312"/>
          <w:color w:val="000000"/>
          <w:sz w:val="30"/>
          <w:szCs w:val="32"/>
        </w:rPr>
      </w:pPr>
      <w:r>
        <w:rPr>
          <w:rFonts w:eastAsia="仿宋_GB2312"/>
          <w:color w:val="000000"/>
          <w:sz w:val="30"/>
          <w:szCs w:val="32"/>
        </w:rPr>
        <w:t>允许调整合同价格的工程量偏差范围：</w:t>
      </w:r>
      <w:r>
        <w:rPr>
          <w:rFonts w:eastAsia="仿宋_GB2312"/>
          <w:color w:val="000000"/>
          <w:sz w:val="30"/>
          <w:szCs w:val="32"/>
          <w:u w:val="single"/>
        </w:rPr>
        <w:t xml:space="preserve"> </w:t>
      </w:r>
      <w:r>
        <w:rPr>
          <w:rFonts w:hint="eastAsia" w:eastAsia="仿宋_GB2312"/>
          <w:color w:val="000000"/>
          <w:sz w:val="30"/>
          <w:szCs w:val="32"/>
          <w:u w:val="single"/>
        </w:rPr>
        <w:t>工程量出现偏差不允许调整清单单价</w:t>
      </w:r>
      <w:r>
        <w:rPr>
          <w:rFonts w:eastAsia="仿宋_GB2312"/>
          <w:color w:val="000000"/>
          <w:sz w:val="30"/>
          <w:szCs w:val="32"/>
          <w:u w:val="single"/>
        </w:rPr>
        <w:t xml:space="preserve">  </w:t>
      </w:r>
      <w:r>
        <w:rPr>
          <w:rFonts w:eastAsia="仿宋_GB2312"/>
          <w:color w:val="000000"/>
          <w:kern w:val="0"/>
          <w:sz w:val="30"/>
          <w:szCs w:val="32"/>
        </w:rPr>
        <w:t>。</w:t>
      </w:r>
    </w:p>
    <w:p w14:paraId="1E59C4F7">
      <w:pPr>
        <w:pStyle w:val="5"/>
        <w:spacing w:before="120" w:after="120" w:line="360" w:lineRule="auto"/>
        <w:rPr>
          <w:rFonts w:ascii="Times New Roman" w:hAnsi="Times New Roman" w:eastAsia="黑体"/>
          <w:b w:val="0"/>
          <w:color w:val="000000"/>
          <w:sz w:val="32"/>
          <w:szCs w:val="32"/>
        </w:rPr>
      </w:pPr>
      <w:bookmarkStart w:id="124" w:name="_Toc351203634"/>
      <w:r>
        <w:rPr>
          <w:rFonts w:ascii="Times New Roman" w:hAnsi="Times New Roman" w:eastAsia="黑体"/>
          <w:b w:val="0"/>
          <w:color w:val="000000"/>
          <w:sz w:val="32"/>
          <w:szCs w:val="32"/>
        </w:rPr>
        <w:t>2</w:t>
      </w:r>
      <w:bookmarkStart w:id="125" w:name="_Toc296346658"/>
      <w:bookmarkStart w:id="126" w:name="_Toc296347156"/>
      <w:bookmarkStart w:id="127" w:name="_Toc297120457"/>
      <w:bookmarkStart w:id="128" w:name="_Toc296503157"/>
      <w:bookmarkStart w:id="129" w:name="_Toc292559362"/>
      <w:bookmarkStart w:id="130" w:name="_Toc296944496"/>
      <w:bookmarkStart w:id="131" w:name="_Toc296891197"/>
      <w:bookmarkStart w:id="132" w:name="_Toc297048343"/>
      <w:bookmarkStart w:id="133" w:name="_Toc292559867"/>
      <w:bookmarkStart w:id="134" w:name="_Toc296890985"/>
      <w:r>
        <w:rPr>
          <w:rFonts w:ascii="Times New Roman" w:hAnsi="Times New Roman" w:eastAsia="黑体"/>
          <w:b w:val="0"/>
          <w:color w:val="000000"/>
          <w:sz w:val="32"/>
          <w:szCs w:val="32"/>
        </w:rPr>
        <w:t>. 发包人</w:t>
      </w:r>
      <w:bookmarkEnd w:id="124"/>
    </w:p>
    <w:bookmarkEnd w:id="125"/>
    <w:bookmarkEnd w:id="126"/>
    <w:bookmarkEnd w:id="127"/>
    <w:bookmarkEnd w:id="128"/>
    <w:bookmarkEnd w:id="129"/>
    <w:bookmarkEnd w:id="130"/>
    <w:bookmarkEnd w:id="131"/>
    <w:bookmarkEnd w:id="132"/>
    <w:bookmarkEnd w:id="133"/>
    <w:bookmarkEnd w:id="134"/>
    <w:p w14:paraId="63EA0676">
      <w:pPr>
        <w:spacing w:after="120" w:line="360" w:lineRule="auto"/>
        <w:ind w:firstLine="600" w:firstLineChars="200"/>
        <w:outlineLvl w:val="0"/>
        <w:rPr>
          <w:rFonts w:eastAsia="黑体"/>
          <w:color w:val="000000"/>
          <w:sz w:val="30"/>
          <w:szCs w:val="32"/>
        </w:rPr>
      </w:pPr>
      <w:r>
        <w:rPr>
          <w:rFonts w:eastAsia="黑体"/>
          <w:color w:val="000000"/>
          <w:sz w:val="30"/>
          <w:szCs w:val="32"/>
        </w:rPr>
        <w:t>2.2 发包人代表</w:t>
      </w:r>
    </w:p>
    <w:p w14:paraId="61E3CDD4">
      <w:pPr>
        <w:spacing w:line="360" w:lineRule="auto"/>
        <w:ind w:firstLine="600" w:firstLineChars="200"/>
        <w:rPr>
          <w:rFonts w:eastAsia="仿宋_GB2312"/>
          <w:color w:val="000000"/>
          <w:sz w:val="30"/>
          <w:szCs w:val="32"/>
        </w:rPr>
      </w:pPr>
      <w:r>
        <w:rPr>
          <w:rFonts w:eastAsia="仿宋_GB2312"/>
          <w:color w:val="000000"/>
          <w:sz w:val="30"/>
          <w:szCs w:val="32"/>
        </w:rPr>
        <w:t>发包人代表：</w:t>
      </w:r>
    </w:p>
    <w:p w14:paraId="133A59A7">
      <w:pPr>
        <w:spacing w:line="360" w:lineRule="auto"/>
        <w:ind w:firstLine="600" w:firstLineChars="200"/>
        <w:rPr>
          <w:rFonts w:eastAsia="仿宋_GB2312"/>
          <w:color w:val="000000"/>
          <w:sz w:val="30"/>
          <w:szCs w:val="32"/>
        </w:rPr>
      </w:pPr>
      <w:r>
        <w:rPr>
          <w:rFonts w:eastAsia="仿宋_GB2312"/>
          <w:color w:val="000000"/>
          <w:sz w:val="30"/>
          <w:szCs w:val="32"/>
        </w:rPr>
        <w:t>姓    名：</w:t>
      </w:r>
      <w:r>
        <w:rPr>
          <w:rFonts w:eastAsia="仿宋_GB2312"/>
          <w:color w:val="000000"/>
          <w:sz w:val="30"/>
          <w:szCs w:val="30"/>
          <w:u w:val="single"/>
        </w:rPr>
        <w:t xml:space="preserve">                                   </w:t>
      </w:r>
      <w:r>
        <w:rPr>
          <w:rFonts w:eastAsia="仿宋_GB2312"/>
          <w:color w:val="000000"/>
          <w:sz w:val="30"/>
          <w:szCs w:val="32"/>
        </w:rPr>
        <w:t>；</w:t>
      </w:r>
    </w:p>
    <w:p w14:paraId="2787E106">
      <w:pPr>
        <w:spacing w:line="360" w:lineRule="auto"/>
        <w:ind w:firstLine="600" w:firstLineChars="200"/>
        <w:rPr>
          <w:rFonts w:eastAsia="仿宋_GB2312"/>
          <w:color w:val="000000"/>
          <w:sz w:val="30"/>
          <w:szCs w:val="32"/>
        </w:rPr>
      </w:pPr>
      <w:r>
        <w:rPr>
          <w:rFonts w:eastAsia="仿宋_GB2312"/>
          <w:color w:val="000000"/>
          <w:sz w:val="30"/>
          <w:szCs w:val="32"/>
        </w:rPr>
        <w:t>身份证号：</w:t>
      </w:r>
      <w:r>
        <w:rPr>
          <w:rFonts w:eastAsia="仿宋_GB2312"/>
          <w:color w:val="000000"/>
          <w:sz w:val="30"/>
          <w:szCs w:val="30"/>
          <w:u w:val="single"/>
        </w:rPr>
        <w:t xml:space="preserve">                                   </w:t>
      </w:r>
      <w:r>
        <w:rPr>
          <w:rFonts w:eastAsia="仿宋_GB2312"/>
          <w:color w:val="000000"/>
          <w:sz w:val="30"/>
          <w:szCs w:val="32"/>
        </w:rPr>
        <w:t>；</w:t>
      </w:r>
    </w:p>
    <w:p w14:paraId="23CFF507">
      <w:pPr>
        <w:spacing w:line="360" w:lineRule="auto"/>
        <w:ind w:firstLine="600" w:firstLineChars="200"/>
        <w:rPr>
          <w:rFonts w:eastAsia="仿宋_GB2312"/>
          <w:color w:val="000000"/>
          <w:sz w:val="30"/>
          <w:szCs w:val="32"/>
        </w:rPr>
      </w:pPr>
      <w:r>
        <w:rPr>
          <w:rFonts w:eastAsia="仿宋_GB2312"/>
          <w:color w:val="000000"/>
          <w:sz w:val="30"/>
          <w:szCs w:val="32"/>
        </w:rPr>
        <w:t>职    务：</w:t>
      </w:r>
      <w:r>
        <w:rPr>
          <w:rFonts w:eastAsia="仿宋_GB2312"/>
          <w:color w:val="000000"/>
          <w:sz w:val="30"/>
          <w:szCs w:val="30"/>
          <w:u w:val="single"/>
        </w:rPr>
        <w:t xml:space="preserve">                                   </w:t>
      </w:r>
      <w:r>
        <w:rPr>
          <w:rFonts w:eastAsia="仿宋_GB2312"/>
          <w:color w:val="000000"/>
          <w:sz w:val="30"/>
          <w:szCs w:val="32"/>
        </w:rPr>
        <w:t>；</w:t>
      </w:r>
    </w:p>
    <w:p w14:paraId="389D1726">
      <w:pPr>
        <w:spacing w:line="360" w:lineRule="auto"/>
        <w:ind w:firstLine="600" w:firstLineChars="200"/>
        <w:rPr>
          <w:rFonts w:eastAsia="仿宋_GB2312"/>
          <w:color w:val="000000"/>
          <w:sz w:val="30"/>
          <w:szCs w:val="32"/>
        </w:rPr>
      </w:pPr>
      <w:r>
        <w:rPr>
          <w:rFonts w:eastAsia="仿宋_GB2312"/>
          <w:color w:val="000000"/>
          <w:sz w:val="30"/>
          <w:szCs w:val="32"/>
        </w:rPr>
        <w:t>联系电话：</w:t>
      </w:r>
      <w:r>
        <w:rPr>
          <w:rFonts w:eastAsia="仿宋_GB2312"/>
          <w:color w:val="000000"/>
          <w:sz w:val="30"/>
          <w:szCs w:val="30"/>
          <w:u w:val="single"/>
        </w:rPr>
        <w:t xml:space="preserve">                                   </w:t>
      </w:r>
      <w:r>
        <w:rPr>
          <w:rFonts w:eastAsia="仿宋_GB2312"/>
          <w:color w:val="000000"/>
          <w:sz w:val="30"/>
          <w:szCs w:val="32"/>
        </w:rPr>
        <w:t>；</w:t>
      </w:r>
    </w:p>
    <w:p w14:paraId="2220B79A">
      <w:pPr>
        <w:spacing w:line="360" w:lineRule="auto"/>
        <w:ind w:firstLine="600" w:firstLineChars="200"/>
        <w:rPr>
          <w:rFonts w:eastAsia="仿宋_GB2312"/>
          <w:color w:val="000000"/>
          <w:sz w:val="30"/>
          <w:szCs w:val="32"/>
        </w:rPr>
      </w:pPr>
      <w:r>
        <w:rPr>
          <w:rFonts w:eastAsia="仿宋_GB2312"/>
          <w:color w:val="000000"/>
          <w:sz w:val="30"/>
          <w:szCs w:val="32"/>
        </w:rPr>
        <w:t>电子信箱：</w:t>
      </w:r>
      <w:r>
        <w:rPr>
          <w:rFonts w:eastAsia="仿宋_GB2312"/>
          <w:color w:val="000000"/>
          <w:sz w:val="30"/>
          <w:szCs w:val="30"/>
          <w:u w:val="single"/>
        </w:rPr>
        <w:t xml:space="preserve">                                   </w:t>
      </w:r>
      <w:r>
        <w:rPr>
          <w:rFonts w:eastAsia="仿宋_GB2312"/>
          <w:color w:val="000000"/>
          <w:sz w:val="30"/>
          <w:szCs w:val="32"/>
        </w:rPr>
        <w:t>；</w:t>
      </w:r>
    </w:p>
    <w:p w14:paraId="2E74C951">
      <w:pPr>
        <w:spacing w:line="360" w:lineRule="auto"/>
        <w:ind w:firstLine="600" w:firstLineChars="200"/>
        <w:rPr>
          <w:rFonts w:eastAsia="仿宋_GB2312"/>
          <w:color w:val="000000"/>
          <w:sz w:val="30"/>
          <w:szCs w:val="32"/>
        </w:rPr>
      </w:pPr>
      <w:r>
        <w:rPr>
          <w:rFonts w:eastAsia="仿宋_GB2312"/>
          <w:color w:val="000000"/>
          <w:sz w:val="30"/>
          <w:szCs w:val="32"/>
        </w:rPr>
        <w:t>通信地址：</w:t>
      </w:r>
      <w:r>
        <w:rPr>
          <w:rFonts w:eastAsia="仿宋_GB2312"/>
          <w:color w:val="000000"/>
          <w:sz w:val="30"/>
          <w:szCs w:val="30"/>
          <w:u w:val="single"/>
        </w:rPr>
        <w:t xml:space="preserve">                                   </w:t>
      </w:r>
      <w:r>
        <w:rPr>
          <w:rFonts w:eastAsia="仿宋_GB2312"/>
          <w:color w:val="000000"/>
          <w:sz w:val="30"/>
          <w:szCs w:val="32"/>
        </w:rPr>
        <w:t>。</w:t>
      </w:r>
    </w:p>
    <w:p w14:paraId="16245A21">
      <w:pPr>
        <w:spacing w:line="360" w:lineRule="auto"/>
        <w:ind w:firstLine="600" w:firstLineChars="200"/>
        <w:rPr>
          <w:rFonts w:eastAsia="仿宋_GB2312"/>
          <w:b/>
          <w:color w:val="000000"/>
          <w:sz w:val="30"/>
          <w:szCs w:val="32"/>
        </w:rPr>
      </w:pPr>
      <w:r>
        <w:rPr>
          <w:rFonts w:eastAsia="仿宋_GB2312"/>
          <w:color w:val="000000"/>
          <w:sz w:val="30"/>
          <w:szCs w:val="32"/>
        </w:rPr>
        <w:t>发包人对发包人代表的授权范围如下：</w:t>
      </w:r>
      <w:r>
        <w:rPr>
          <w:rFonts w:hint="eastAsia" w:eastAsia="仿宋_GB2312"/>
          <w:color w:val="000000"/>
          <w:sz w:val="30"/>
          <w:szCs w:val="32"/>
          <w:u w:val="single"/>
        </w:rPr>
        <w:t>1、检查和监督承包人执行合同；2、参与工程质量、安全、投资、进度的管理及各有关协作单位的协调；3、参与审核工程进度款的支付；4、发包人代表的指令、通知由其本人及发包人工装工程中心主管/分管领导签字并加盖发包人公章后，以书面形式交给项目经理后生效；5、对工程设计变更的审批权（工程设计变更还须完成发包人内部审批）；6、组织竣工验收</w:t>
      </w:r>
      <w:r>
        <w:rPr>
          <w:rFonts w:eastAsia="仿宋_GB2312"/>
          <w:color w:val="000000"/>
          <w:sz w:val="30"/>
          <w:szCs w:val="32"/>
        </w:rPr>
        <w:t>。</w:t>
      </w:r>
    </w:p>
    <w:p w14:paraId="798D8EE6">
      <w:pPr>
        <w:spacing w:after="120" w:line="360" w:lineRule="auto"/>
        <w:ind w:firstLine="600" w:firstLineChars="200"/>
        <w:outlineLvl w:val="0"/>
        <w:rPr>
          <w:rFonts w:eastAsia="黑体"/>
          <w:color w:val="000000"/>
          <w:sz w:val="30"/>
          <w:szCs w:val="32"/>
        </w:rPr>
      </w:pPr>
      <w:r>
        <w:rPr>
          <w:rFonts w:eastAsia="黑体"/>
          <w:color w:val="000000"/>
          <w:sz w:val="30"/>
          <w:szCs w:val="32"/>
        </w:rPr>
        <w:t>2.4 施工现场、施工条件和基础资料的提供</w:t>
      </w:r>
    </w:p>
    <w:p w14:paraId="4EAA7207">
      <w:pPr>
        <w:spacing w:line="360" w:lineRule="auto"/>
        <w:ind w:firstLine="600" w:firstLineChars="200"/>
        <w:rPr>
          <w:rFonts w:eastAsia="仿宋_GB2312"/>
          <w:color w:val="000000"/>
          <w:sz w:val="30"/>
          <w:szCs w:val="32"/>
        </w:rPr>
      </w:pPr>
      <w:r>
        <w:rPr>
          <w:rFonts w:eastAsia="仿宋_GB2312"/>
          <w:color w:val="000000"/>
          <w:sz w:val="30"/>
          <w:szCs w:val="32"/>
        </w:rPr>
        <w:t>2.4.1 提供施工现场</w:t>
      </w:r>
    </w:p>
    <w:p w14:paraId="6095816F">
      <w:pPr>
        <w:spacing w:line="360" w:lineRule="auto"/>
        <w:ind w:firstLine="600" w:firstLineChars="200"/>
        <w:jc w:val="left"/>
        <w:rPr>
          <w:rFonts w:eastAsia="仿宋_GB2312"/>
          <w:color w:val="000000"/>
          <w:sz w:val="30"/>
          <w:szCs w:val="32"/>
        </w:rPr>
      </w:pPr>
      <w:r>
        <w:rPr>
          <w:rFonts w:eastAsia="仿宋_GB2312"/>
          <w:color w:val="000000"/>
          <w:sz w:val="30"/>
          <w:szCs w:val="32"/>
        </w:rPr>
        <w:t>关于发包人移交施工现场的期限要求：</w:t>
      </w:r>
      <w:r>
        <w:rPr>
          <w:rFonts w:hint="eastAsia" w:eastAsia="仿宋_GB2312"/>
          <w:color w:val="000000"/>
          <w:sz w:val="30"/>
          <w:szCs w:val="32"/>
          <w:u w:val="single"/>
        </w:rPr>
        <w:t>合同签订后至开工报告发出前</w:t>
      </w:r>
      <w:r>
        <w:rPr>
          <w:rFonts w:eastAsia="仿宋_GB2312"/>
          <w:color w:val="000000"/>
          <w:sz w:val="30"/>
          <w:szCs w:val="32"/>
          <w:u w:val="single"/>
        </w:rPr>
        <w:t xml:space="preserve">   </w:t>
      </w:r>
      <w:r>
        <w:rPr>
          <w:rFonts w:eastAsia="仿宋_GB2312"/>
          <w:color w:val="000000"/>
          <w:sz w:val="30"/>
          <w:szCs w:val="32"/>
        </w:rPr>
        <w:t>。</w:t>
      </w:r>
    </w:p>
    <w:p w14:paraId="7976C4F7">
      <w:pPr>
        <w:spacing w:line="360" w:lineRule="auto"/>
        <w:ind w:firstLine="600" w:firstLineChars="200"/>
        <w:rPr>
          <w:rFonts w:eastAsia="仿宋_GB2312"/>
          <w:color w:val="000000"/>
          <w:sz w:val="30"/>
          <w:szCs w:val="32"/>
        </w:rPr>
      </w:pPr>
      <w:r>
        <w:rPr>
          <w:rFonts w:eastAsia="仿宋_GB2312"/>
          <w:color w:val="000000"/>
          <w:sz w:val="30"/>
          <w:szCs w:val="32"/>
        </w:rPr>
        <w:t>2.4.2 提供施工条件</w:t>
      </w:r>
    </w:p>
    <w:p w14:paraId="3922A04A">
      <w:pPr>
        <w:spacing w:line="360" w:lineRule="auto"/>
        <w:ind w:firstLine="600" w:firstLineChars="200"/>
        <w:rPr>
          <w:rFonts w:eastAsia="仿宋_GB2312"/>
          <w:color w:val="000000"/>
          <w:sz w:val="30"/>
          <w:szCs w:val="32"/>
          <w:u w:val="single"/>
        </w:rPr>
      </w:pPr>
      <w:r>
        <w:rPr>
          <w:rFonts w:eastAsia="仿宋_GB2312"/>
          <w:color w:val="000000"/>
          <w:sz w:val="30"/>
          <w:szCs w:val="32"/>
        </w:rPr>
        <w:t>关于发包人应负责提供施工</w:t>
      </w:r>
      <w:r>
        <w:rPr>
          <w:rFonts w:hint="eastAsia" w:eastAsia="仿宋_GB2312"/>
          <w:color w:val="000000"/>
          <w:sz w:val="30"/>
          <w:szCs w:val="32"/>
        </w:rPr>
        <w:t>所需要的条件，</w:t>
      </w:r>
      <w:r>
        <w:rPr>
          <w:rFonts w:eastAsia="仿宋_GB2312"/>
          <w:color w:val="000000"/>
          <w:sz w:val="30"/>
          <w:szCs w:val="32"/>
        </w:rPr>
        <w:t>包括：</w:t>
      </w:r>
      <w:r>
        <w:rPr>
          <w:rFonts w:hint="eastAsia" w:eastAsia="仿宋_GB2312"/>
          <w:color w:val="000000"/>
          <w:sz w:val="30"/>
          <w:szCs w:val="32"/>
          <w:u w:val="single"/>
        </w:rPr>
        <w:t xml:space="preserve">于开工前将施工所需的水、电、电讯线路接至施工场地      </w:t>
      </w:r>
      <w:r>
        <w:rPr>
          <w:rFonts w:eastAsia="仿宋_GB2312"/>
          <w:color w:val="000000"/>
          <w:sz w:val="30"/>
          <w:szCs w:val="32"/>
          <w:u w:val="single"/>
        </w:rPr>
        <w:t xml:space="preserve">   </w:t>
      </w:r>
      <w:r>
        <w:rPr>
          <w:rFonts w:eastAsia="仿宋_GB2312"/>
          <w:color w:val="000000"/>
          <w:sz w:val="30"/>
          <w:szCs w:val="32"/>
        </w:rPr>
        <w:t>。</w:t>
      </w:r>
    </w:p>
    <w:p w14:paraId="407A89D1">
      <w:pPr>
        <w:spacing w:after="120" w:line="360" w:lineRule="auto"/>
        <w:ind w:firstLine="600" w:firstLineChars="200"/>
        <w:outlineLvl w:val="0"/>
        <w:rPr>
          <w:rFonts w:eastAsia="黑体"/>
          <w:color w:val="000000"/>
          <w:sz w:val="30"/>
          <w:szCs w:val="32"/>
        </w:rPr>
      </w:pPr>
      <w:r>
        <w:rPr>
          <w:rFonts w:eastAsia="黑体"/>
          <w:color w:val="000000"/>
          <w:sz w:val="30"/>
          <w:szCs w:val="32"/>
        </w:rPr>
        <w:t>2.5 资金来源证明及支付担保</w:t>
      </w:r>
    </w:p>
    <w:p w14:paraId="78E29985">
      <w:pPr>
        <w:spacing w:line="360" w:lineRule="auto"/>
        <w:ind w:firstLine="600" w:firstLineChars="200"/>
        <w:rPr>
          <w:rFonts w:eastAsia="仿宋_GB2312"/>
          <w:color w:val="000000"/>
          <w:sz w:val="30"/>
          <w:szCs w:val="32"/>
        </w:rPr>
      </w:pPr>
      <w:r>
        <w:rPr>
          <w:rFonts w:eastAsia="仿宋_GB2312"/>
          <w:color w:val="000000"/>
          <w:sz w:val="30"/>
          <w:szCs w:val="32"/>
        </w:rPr>
        <w:t>发包人提供资金来源证明的期限要求：</w:t>
      </w:r>
      <w:r>
        <w:rPr>
          <w:rFonts w:hint="eastAsia" w:eastAsia="仿宋_GB2312"/>
          <w:color w:val="000000"/>
          <w:sz w:val="30"/>
          <w:szCs w:val="32"/>
          <w:u w:val="single"/>
        </w:rPr>
        <w:t xml:space="preserve">不提供 </w:t>
      </w:r>
      <w:r>
        <w:rPr>
          <w:rFonts w:eastAsia="仿宋_GB2312"/>
          <w:color w:val="000000"/>
          <w:sz w:val="30"/>
          <w:szCs w:val="32"/>
          <w:u w:val="single"/>
        </w:rPr>
        <w:t xml:space="preserve">  </w:t>
      </w:r>
      <w:r>
        <w:rPr>
          <w:rFonts w:eastAsia="仿宋_GB2312"/>
          <w:color w:val="000000"/>
          <w:sz w:val="30"/>
          <w:szCs w:val="32"/>
        </w:rPr>
        <w:t>。</w:t>
      </w:r>
    </w:p>
    <w:p w14:paraId="082E58D3">
      <w:pPr>
        <w:spacing w:line="360" w:lineRule="auto"/>
        <w:ind w:firstLine="600" w:firstLineChars="200"/>
        <w:rPr>
          <w:rFonts w:eastAsia="仿宋_GB2312"/>
          <w:color w:val="000000"/>
          <w:sz w:val="30"/>
          <w:szCs w:val="32"/>
        </w:rPr>
      </w:pPr>
      <w:r>
        <w:rPr>
          <w:rFonts w:eastAsia="仿宋_GB2312"/>
          <w:color w:val="000000"/>
          <w:sz w:val="30"/>
          <w:szCs w:val="32"/>
        </w:rPr>
        <w:t>发包人是否提供支付担保：</w:t>
      </w:r>
      <w:r>
        <w:rPr>
          <w:rFonts w:hint="eastAsia" w:eastAsia="仿宋_GB2312"/>
          <w:color w:val="000000"/>
          <w:sz w:val="30"/>
          <w:szCs w:val="32"/>
          <w:u w:val="single"/>
        </w:rPr>
        <w:t>不提供</w:t>
      </w:r>
      <w:r>
        <w:rPr>
          <w:rFonts w:eastAsia="仿宋_GB2312"/>
          <w:color w:val="000000"/>
          <w:sz w:val="30"/>
          <w:szCs w:val="32"/>
          <w:u w:val="single"/>
        </w:rPr>
        <w:t xml:space="preserve">   </w:t>
      </w:r>
      <w:r>
        <w:rPr>
          <w:rFonts w:eastAsia="仿宋_GB2312"/>
          <w:color w:val="000000"/>
          <w:sz w:val="30"/>
          <w:szCs w:val="32"/>
        </w:rPr>
        <w:t>。</w:t>
      </w:r>
    </w:p>
    <w:p w14:paraId="1F20307A">
      <w:pPr>
        <w:pStyle w:val="5"/>
        <w:spacing w:before="120" w:after="120" w:line="360" w:lineRule="auto"/>
        <w:rPr>
          <w:rFonts w:ascii="Times New Roman" w:hAnsi="Times New Roman" w:eastAsia="黑体"/>
          <w:b w:val="0"/>
          <w:color w:val="000000"/>
          <w:sz w:val="32"/>
          <w:szCs w:val="32"/>
        </w:rPr>
      </w:pPr>
      <w:bookmarkStart w:id="135" w:name="_Toc351203635"/>
      <w:r>
        <w:rPr>
          <w:rFonts w:ascii="Times New Roman" w:hAnsi="Times New Roman" w:eastAsia="黑体"/>
          <w:b w:val="0"/>
          <w:color w:val="000000"/>
          <w:sz w:val="32"/>
          <w:szCs w:val="32"/>
        </w:rPr>
        <w:t>3</w:t>
      </w:r>
      <w:bookmarkStart w:id="136" w:name="_Toc292559868"/>
      <w:bookmarkStart w:id="137" w:name="_Toc296503158"/>
      <w:bookmarkStart w:id="138" w:name="_Toc296891198"/>
      <w:bookmarkStart w:id="139" w:name="_Toc296347157"/>
      <w:bookmarkStart w:id="140" w:name="_Toc296890986"/>
      <w:bookmarkStart w:id="141" w:name="_Toc292559363"/>
      <w:bookmarkStart w:id="142" w:name="_Toc296346659"/>
      <w:bookmarkStart w:id="143" w:name="_Toc296944497"/>
      <w:bookmarkStart w:id="144" w:name="_Toc297048344"/>
      <w:bookmarkStart w:id="145" w:name="_Toc297120458"/>
      <w:r>
        <w:rPr>
          <w:rFonts w:ascii="Times New Roman" w:hAnsi="Times New Roman" w:eastAsia="黑体"/>
          <w:b w:val="0"/>
          <w:color w:val="000000"/>
          <w:sz w:val="32"/>
          <w:szCs w:val="32"/>
        </w:rPr>
        <w:t>. 承包人</w:t>
      </w:r>
      <w:bookmarkEnd w:id="135"/>
    </w:p>
    <w:bookmarkEnd w:id="136"/>
    <w:bookmarkEnd w:id="137"/>
    <w:bookmarkEnd w:id="138"/>
    <w:bookmarkEnd w:id="139"/>
    <w:bookmarkEnd w:id="140"/>
    <w:bookmarkEnd w:id="141"/>
    <w:bookmarkEnd w:id="142"/>
    <w:bookmarkEnd w:id="143"/>
    <w:bookmarkEnd w:id="144"/>
    <w:bookmarkEnd w:id="145"/>
    <w:p w14:paraId="02E0A268">
      <w:pPr>
        <w:spacing w:after="120" w:line="360" w:lineRule="auto"/>
        <w:ind w:firstLine="600" w:firstLineChars="200"/>
        <w:rPr>
          <w:rFonts w:eastAsia="黑体"/>
          <w:color w:val="000000"/>
          <w:sz w:val="30"/>
          <w:szCs w:val="32"/>
        </w:rPr>
      </w:pPr>
      <w:r>
        <w:rPr>
          <w:rFonts w:eastAsia="黑体"/>
          <w:color w:val="000000"/>
          <w:sz w:val="30"/>
          <w:szCs w:val="32"/>
        </w:rPr>
        <w:t>3.1 承包人的一般义务</w:t>
      </w:r>
    </w:p>
    <w:p w14:paraId="58B8B282">
      <w:pPr>
        <w:spacing w:line="360" w:lineRule="auto"/>
        <w:ind w:firstLine="600" w:firstLineChars="200"/>
        <w:jc w:val="left"/>
        <w:rPr>
          <w:rFonts w:eastAsia="仿宋_GB2312"/>
          <w:color w:val="000000"/>
          <w:sz w:val="30"/>
          <w:szCs w:val="32"/>
        </w:rPr>
      </w:pPr>
      <w:r>
        <w:rPr>
          <w:rFonts w:eastAsia="仿宋_GB2312"/>
          <w:color w:val="000000"/>
          <w:kern w:val="0"/>
          <w:sz w:val="30"/>
          <w:szCs w:val="32"/>
        </w:rPr>
        <w:t>（</w:t>
      </w:r>
      <w:r>
        <w:rPr>
          <w:rFonts w:hint="eastAsia" w:eastAsia="仿宋_GB2312"/>
          <w:color w:val="000000"/>
          <w:kern w:val="0"/>
          <w:sz w:val="30"/>
          <w:szCs w:val="32"/>
        </w:rPr>
        <w:t>9</w:t>
      </w:r>
      <w:r>
        <w:rPr>
          <w:rFonts w:eastAsia="仿宋_GB2312"/>
          <w:color w:val="000000"/>
          <w:kern w:val="0"/>
          <w:sz w:val="30"/>
          <w:szCs w:val="32"/>
        </w:rPr>
        <w:t>）</w:t>
      </w:r>
      <w:r>
        <w:rPr>
          <w:rFonts w:eastAsia="仿宋_GB2312"/>
          <w:color w:val="000000"/>
          <w:sz w:val="30"/>
          <w:szCs w:val="32"/>
        </w:rPr>
        <w:t>承包人提交的竣工资料的内容：</w:t>
      </w:r>
      <w:r>
        <w:rPr>
          <w:rFonts w:hint="eastAsia" w:eastAsia="仿宋_GB2312"/>
          <w:color w:val="000000"/>
          <w:sz w:val="30"/>
          <w:szCs w:val="32"/>
          <w:u w:val="single"/>
        </w:rPr>
        <w:t>经验收合格的完整的竣工图和工程竣工技术档案资料并满足建设工程档案验收所需的所有资料的要求（包括但不限于开工报告、技术交底、施工试验记录、测量记录、隐蔽工程验收记录、材料设备进场报验、施工验收记录、质量检查记录、工程联系单、设计变更单、竣工报告、影像资料等）</w:t>
      </w:r>
      <w:r>
        <w:rPr>
          <w:rFonts w:eastAsia="仿宋_GB2312"/>
          <w:color w:val="000000"/>
          <w:sz w:val="30"/>
          <w:szCs w:val="32"/>
          <w:u w:val="single"/>
        </w:rPr>
        <w:t xml:space="preserve">    </w:t>
      </w:r>
      <w:r>
        <w:rPr>
          <w:rFonts w:eastAsia="仿宋_GB2312"/>
          <w:color w:val="000000"/>
          <w:sz w:val="30"/>
          <w:szCs w:val="32"/>
        </w:rPr>
        <w:t>。</w:t>
      </w:r>
    </w:p>
    <w:p w14:paraId="06D6DEC0">
      <w:pPr>
        <w:spacing w:line="360" w:lineRule="auto"/>
        <w:ind w:firstLine="600" w:firstLineChars="200"/>
        <w:jc w:val="left"/>
        <w:rPr>
          <w:rFonts w:eastAsia="仿宋_GB2312"/>
          <w:color w:val="000000"/>
          <w:sz w:val="30"/>
          <w:szCs w:val="32"/>
        </w:rPr>
      </w:pPr>
      <w:r>
        <w:rPr>
          <w:rFonts w:eastAsia="仿宋_GB2312"/>
          <w:color w:val="000000"/>
          <w:sz w:val="30"/>
          <w:szCs w:val="32"/>
        </w:rPr>
        <w:t>承包人需要提交的竣工资料套数：</w:t>
      </w:r>
      <w:r>
        <w:rPr>
          <w:rFonts w:eastAsia="仿宋_GB2312"/>
          <w:color w:val="000000"/>
          <w:sz w:val="30"/>
          <w:szCs w:val="32"/>
          <w:u w:val="single"/>
        </w:rPr>
        <w:t xml:space="preserve">   </w:t>
      </w:r>
      <w:r>
        <w:rPr>
          <w:rFonts w:hint="eastAsia" w:eastAsia="仿宋_GB2312"/>
          <w:color w:val="000000"/>
          <w:sz w:val="30"/>
          <w:szCs w:val="32"/>
          <w:u w:val="single"/>
        </w:rPr>
        <w:t xml:space="preserve">叁套   </w:t>
      </w: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eastAsia="仿宋_GB2312"/>
          <w:color w:val="000000"/>
          <w:sz w:val="30"/>
          <w:szCs w:val="32"/>
        </w:rPr>
        <w:t>。</w:t>
      </w:r>
    </w:p>
    <w:p w14:paraId="248A7D93">
      <w:pPr>
        <w:spacing w:line="360" w:lineRule="auto"/>
        <w:ind w:left="638" w:leftChars="304"/>
        <w:jc w:val="left"/>
        <w:rPr>
          <w:rFonts w:eastAsia="仿宋_GB2312"/>
          <w:color w:val="000000"/>
          <w:sz w:val="30"/>
          <w:szCs w:val="32"/>
        </w:rPr>
      </w:pPr>
      <w:r>
        <w:rPr>
          <w:rFonts w:eastAsia="仿宋_GB2312"/>
          <w:color w:val="000000"/>
          <w:sz w:val="30"/>
          <w:szCs w:val="32"/>
        </w:rPr>
        <w:t>承包人提交的竣工资料的费用承担：</w:t>
      </w:r>
      <w:r>
        <w:rPr>
          <w:rFonts w:eastAsia="仿宋_GB2312"/>
          <w:color w:val="000000"/>
          <w:sz w:val="30"/>
          <w:szCs w:val="32"/>
          <w:u w:val="single"/>
        </w:rPr>
        <w:t xml:space="preserve">   </w:t>
      </w:r>
      <w:r>
        <w:rPr>
          <w:rFonts w:hint="eastAsia" w:eastAsia="仿宋_GB2312"/>
          <w:color w:val="000000"/>
          <w:sz w:val="30"/>
          <w:szCs w:val="32"/>
          <w:u w:val="single"/>
        </w:rPr>
        <w:t>由承包人承担</w:t>
      </w: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eastAsia="仿宋_GB2312"/>
          <w:color w:val="000000"/>
          <w:sz w:val="30"/>
          <w:szCs w:val="32"/>
          <w:u w:val="single"/>
        </w:rPr>
        <w:t xml:space="preserve">    </w:t>
      </w:r>
      <w:r>
        <w:rPr>
          <w:rFonts w:eastAsia="仿宋_GB2312"/>
          <w:color w:val="000000"/>
          <w:sz w:val="30"/>
          <w:szCs w:val="32"/>
        </w:rPr>
        <w:t>。</w:t>
      </w:r>
    </w:p>
    <w:p w14:paraId="5B532554">
      <w:pPr>
        <w:spacing w:line="360" w:lineRule="auto"/>
        <w:ind w:left="638" w:leftChars="304"/>
        <w:jc w:val="left"/>
        <w:rPr>
          <w:rFonts w:eastAsia="仿宋_GB2312"/>
          <w:color w:val="000000"/>
          <w:sz w:val="30"/>
          <w:szCs w:val="32"/>
        </w:rPr>
      </w:pPr>
      <w:r>
        <w:rPr>
          <w:rFonts w:eastAsia="仿宋_GB2312"/>
          <w:color w:val="000000"/>
          <w:sz w:val="30"/>
          <w:szCs w:val="32"/>
        </w:rPr>
        <w:t>承包人提交的竣工资料移交时间：</w:t>
      </w:r>
      <w:r>
        <w:rPr>
          <w:rFonts w:eastAsia="仿宋_GB2312"/>
          <w:color w:val="000000"/>
          <w:sz w:val="30"/>
          <w:szCs w:val="32"/>
          <w:u w:val="single"/>
        </w:rPr>
        <w:t xml:space="preserve">  </w:t>
      </w:r>
      <w:r>
        <w:rPr>
          <w:rFonts w:hint="eastAsia" w:eastAsia="仿宋_GB2312"/>
          <w:color w:val="000000"/>
          <w:sz w:val="30"/>
          <w:szCs w:val="32"/>
          <w:u w:val="single"/>
        </w:rPr>
        <w:t xml:space="preserve">工程竣工验收合格后1个月内移交给发包人  </w:t>
      </w:r>
      <w:r>
        <w:rPr>
          <w:rFonts w:eastAsia="仿宋_GB2312"/>
          <w:color w:val="000000"/>
          <w:sz w:val="30"/>
          <w:szCs w:val="32"/>
          <w:u w:val="single"/>
        </w:rPr>
        <w:t xml:space="preserve"> </w:t>
      </w:r>
      <w:r>
        <w:rPr>
          <w:rFonts w:eastAsia="仿宋_GB2312"/>
          <w:color w:val="000000"/>
          <w:sz w:val="30"/>
          <w:szCs w:val="32"/>
        </w:rPr>
        <w:t>。</w:t>
      </w:r>
    </w:p>
    <w:p w14:paraId="0F482C4F">
      <w:pPr>
        <w:spacing w:line="360" w:lineRule="auto"/>
        <w:ind w:firstLine="600" w:firstLineChars="200"/>
        <w:rPr>
          <w:rFonts w:eastAsia="仿宋_GB2312"/>
          <w:color w:val="000000"/>
          <w:sz w:val="30"/>
          <w:szCs w:val="32"/>
        </w:rPr>
      </w:pPr>
      <w:r>
        <w:rPr>
          <w:rFonts w:eastAsia="仿宋_GB2312"/>
          <w:color w:val="000000"/>
          <w:kern w:val="0"/>
          <w:sz w:val="30"/>
          <w:szCs w:val="32"/>
        </w:rPr>
        <w:t>（</w:t>
      </w:r>
      <w:r>
        <w:rPr>
          <w:rFonts w:hint="eastAsia" w:eastAsia="仿宋_GB2312"/>
          <w:color w:val="000000"/>
          <w:kern w:val="0"/>
          <w:sz w:val="30"/>
          <w:szCs w:val="32"/>
        </w:rPr>
        <w:t>10</w:t>
      </w:r>
      <w:r>
        <w:rPr>
          <w:rFonts w:eastAsia="仿宋_GB2312"/>
          <w:color w:val="000000"/>
          <w:kern w:val="0"/>
          <w:sz w:val="30"/>
          <w:szCs w:val="32"/>
        </w:rPr>
        <w:t>）承包人应履行的其他义务</w:t>
      </w:r>
      <w:r>
        <w:rPr>
          <w:rFonts w:hint="eastAsia" w:eastAsia="仿宋_GB2312"/>
          <w:color w:val="000000"/>
          <w:kern w:val="0"/>
          <w:sz w:val="30"/>
          <w:szCs w:val="32"/>
        </w:rPr>
        <w:t>包含但不限于</w:t>
      </w:r>
      <w:r>
        <w:rPr>
          <w:rFonts w:eastAsia="仿宋_GB2312"/>
          <w:color w:val="000000"/>
          <w:sz w:val="30"/>
          <w:szCs w:val="32"/>
        </w:rPr>
        <w:t>：</w:t>
      </w:r>
    </w:p>
    <w:p w14:paraId="11C2C4D0">
      <w:pPr>
        <w:spacing w:line="360" w:lineRule="auto"/>
        <w:ind w:firstLine="600" w:firstLineChars="200"/>
        <w:rPr>
          <w:rFonts w:eastAsia="仿宋_GB2312"/>
          <w:color w:val="000000"/>
          <w:sz w:val="30"/>
          <w:szCs w:val="32"/>
          <w:u w:val="single"/>
        </w:rPr>
      </w:pPr>
      <w:r>
        <w:rPr>
          <w:rFonts w:hint="eastAsia" w:eastAsia="仿宋_GB2312"/>
          <w:color w:val="000000"/>
          <w:sz w:val="30"/>
          <w:szCs w:val="32"/>
          <w:u w:val="single"/>
        </w:rPr>
        <w:t xml:space="preserve">1、承包人只能在发包人提供的施工场地范围内布置、安排和组织施工。承包人如需占用发包人提供的场地范围以外的场地，须自行办理有关手续及支付相关费用。便道措施费由承包人自行承担  </w:t>
      </w:r>
    </w:p>
    <w:p w14:paraId="412922E8">
      <w:pPr>
        <w:spacing w:line="360" w:lineRule="auto"/>
        <w:ind w:firstLine="600" w:firstLineChars="200"/>
        <w:rPr>
          <w:rFonts w:eastAsia="仿宋_GB2312"/>
          <w:color w:val="000000"/>
          <w:sz w:val="30"/>
          <w:szCs w:val="32"/>
          <w:u w:val="single"/>
        </w:rPr>
      </w:pPr>
      <w:r>
        <w:rPr>
          <w:rFonts w:hint="eastAsia" w:eastAsia="仿宋_GB2312"/>
          <w:color w:val="000000"/>
          <w:sz w:val="30"/>
          <w:szCs w:val="32"/>
          <w:u w:val="single"/>
        </w:rPr>
        <w:t>2、承包人的报价已充分考虑地下管线、交通条件、水电条件、施工场地障碍条件和现场各种不利条件发生可能带来的风险及增加费用，发包人不再对因以上原因引起费用增加支付任何费用；</w:t>
      </w:r>
    </w:p>
    <w:p w14:paraId="1209A006">
      <w:pPr>
        <w:spacing w:line="360" w:lineRule="auto"/>
        <w:ind w:firstLine="600" w:firstLineChars="200"/>
        <w:rPr>
          <w:rFonts w:eastAsia="仿宋_GB2312"/>
          <w:color w:val="000000"/>
          <w:sz w:val="30"/>
          <w:szCs w:val="32"/>
          <w:u w:val="single"/>
        </w:rPr>
      </w:pPr>
      <w:r>
        <w:rPr>
          <w:rFonts w:hint="eastAsia" w:eastAsia="仿宋_GB2312"/>
          <w:color w:val="000000"/>
          <w:sz w:val="30"/>
          <w:szCs w:val="32"/>
          <w:u w:val="single"/>
        </w:rPr>
        <w:t>3、承包人应采取安全防护措施，避免施工活动对周边的建筑物和构筑物造成损害。施工期间，负责对施工范围内及附近的居民、商业用房、厂房等建筑物和构筑物应采取措施进行保护和受损后的修复；应保证施工现场及周边居民生活、工厂生产作业等出入交通不受影响。发生的费用由承包人承担。同时，由此导致的工期延误及相关责任由承包人承担；</w:t>
      </w:r>
    </w:p>
    <w:p w14:paraId="172A2957">
      <w:pPr>
        <w:spacing w:line="360" w:lineRule="auto"/>
        <w:ind w:firstLine="600" w:firstLineChars="200"/>
        <w:rPr>
          <w:rFonts w:eastAsia="仿宋_GB2312"/>
          <w:color w:val="000000"/>
          <w:sz w:val="30"/>
          <w:szCs w:val="32"/>
          <w:u w:val="single"/>
        </w:rPr>
      </w:pPr>
      <w:r>
        <w:rPr>
          <w:rFonts w:hint="eastAsia" w:eastAsia="仿宋_GB2312"/>
          <w:color w:val="000000"/>
          <w:sz w:val="30"/>
          <w:szCs w:val="32"/>
          <w:u w:val="single"/>
        </w:rPr>
        <w:t>4、在工程竣工验收前，承包人应对已完工的工程进行保护，其费用由承包人承担；</w:t>
      </w:r>
    </w:p>
    <w:p w14:paraId="44FC551C">
      <w:pPr>
        <w:spacing w:line="360" w:lineRule="auto"/>
        <w:ind w:firstLine="600" w:firstLineChars="200"/>
        <w:rPr>
          <w:rFonts w:eastAsia="仿宋_GB2312"/>
          <w:color w:val="000000"/>
          <w:sz w:val="30"/>
          <w:szCs w:val="32"/>
          <w:u w:val="single"/>
        </w:rPr>
      </w:pPr>
      <w:r>
        <w:rPr>
          <w:rFonts w:hint="eastAsia" w:eastAsia="仿宋_GB2312"/>
          <w:color w:val="000000"/>
          <w:sz w:val="30"/>
          <w:szCs w:val="32"/>
          <w:u w:val="single"/>
        </w:rPr>
        <w:t>5、承包人应清楚地预计到施工期间对外界可能产生的不可避免的干扰，并为此保证主动努力减少这些干扰对外界的影响，且应当积极主动和外界进行协调，因此产生的费用和对发包人造成的损失由承包人承担；</w:t>
      </w:r>
    </w:p>
    <w:p w14:paraId="265FDA47">
      <w:pPr>
        <w:spacing w:line="360" w:lineRule="auto"/>
        <w:ind w:firstLine="600" w:firstLineChars="200"/>
        <w:rPr>
          <w:rFonts w:eastAsia="仿宋_GB2312"/>
          <w:color w:val="000000"/>
          <w:sz w:val="30"/>
          <w:szCs w:val="32"/>
          <w:u w:val="single"/>
        </w:rPr>
      </w:pPr>
      <w:r>
        <w:rPr>
          <w:rFonts w:hint="eastAsia" w:eastAsia="仿宋_GB2312"/>
          <w:color w:val="000000"/>
          <w:sz w:val="30"/>
          <w:szCs w:val="32"/>
          <w:u w:val="single"/>
        </w:rPr>
        <w:t>6、承包人应负责现场全部作业的安全，在工程施工、完工及修补缺陷的整个工程期限内，全面负责所有留在现场的人员的安全，保护其管辖范围的现场(包括尚未完工和发包人尚未接管得工程)处于有条不紊和良好的状态。</w:t>
      </w:r>
    </w:p>
    <w:p w14:paraId="26A9F814">
      <w:pPr>
        <w:spacing w:line="360" w:lineRule="auto"/>
        <w:ind w:firstLine="600" w:firstLineChars="200"/>
        <w:rPr>
          <w:rFonts w:eastAsia="仿宋_GB2312"/>
          <w:color w:val="000000"/>
          <w:sz w:val="30"/>
          <w:szCs w:val="32"/>
          <w:u w:val="single"/>
        </w:rPr>
      </w:pPr>
      <w:r>
        <w:rPr>
          <w:rFonts w:hint="eastAsia" w:eastAsia="仿宋_GB2312"/>
          <w:color w:val="000000"/>
          <w:sz w:val="30"/>
          <w:szCs w:val="32"/>
          <w:u w:val="single"/>
        </w:rPr>
        <w:t>7、承包人在工程施工过程中，必须严格按照发包人审定的施工组织设计组织施工，严禁野蛮施工。承包人应承担的责任包括但不限于：因承包人施工造成的塌方、四周地面塌陷、房屋开裂、垮塌等质量、安全事故由承包人承担责任，负责赔偿，并承担由此给发包人和第三方造成的相应损失；</w:t>
      </w:r>
    </w:p>
    <w:p w14:paraId="222589DF">
      <w:pPr>
        <w:spacing w:line="360" w:lineRule="auto"/>
        <w:ind w:firstLine="600" w:firstLineChars="200"/>
        <w:rPr>
          <w:rFonts w:eastAsia="仿宋_GB2312"/>
          <w:color w:val="000000"/>
          <w:sz w:val="30"/>
          <w:szCs w:val="32"/>
          <w:u w:val="single"/>
        </w:rPr>
      </w:pPr>
      <w:r>
        <w:rPr>
          <w:rFonts w:hint="eastAsia" w:eastAsia="仿宋_GB2312"/>
          <w:color w:val="000000"/>
          <w:sz w:val="30"/>
          <w:szCs w:val="32"/>
          <w:u w:val="single"/>
        </w:rPr>
        <w:t>8、半成品、成品材料的进场和堆放应按进度计划进行，并须事先取得发包人的同意；</w:t>
      </w:r>
    </w:p>
    <w:p w14:paraId="488D9996">
      <w:pPr>
        <w:spacing w:line="360" w:lineRule="auto"/>
        <w:ind w:firstLine="600" w:firstLineChars="200"/>
        <w:rPr>
          <w:rFonts w:eastAsia="仿宋_GB2312"/>
          <w:color w:val="000000"/>
          <w:sz w:val="30"/>
          <w:szCs w:val="32"/>
          <w:u w:val="single"/>
        </w:rPr>
      </w:pPr>
      <w:r>
        <w:rPr>
          <w:rFonts w:hint="eastAsia" w:eastAsia="仿宋_GB2312"/>
          <w:color w:val="000000"/>
          <w:sz w:val="30"/>
          <w:szCs w:val="32"/>
          <w:u w:val="single"/>
        </w:rPr>
        <w:t>9、承包人应负责协调施工期间外界的各种干扰，协调不果，方可书面要求发包人出面协调；</w:t>
      </w:r>
    </w:p>
    <w:p w14:paraId="7BA65CD1">
      <w:pPr>
        <w:spacing w:line="360" w:lineRule="auto"/>
        <w:ind w:firstLine="600" w:firstLineChars="200"/>
        <w:rPr>
          <w:rFonts w:eastAsia="仿宋_GB2312"/>
          <w:color w:val="000000"/>
          <w:sz w:val="30"/>
          <w:szCs w:val="32"/>
        </w:rPr>
      </w:pPr>
      <w:r>
        <w:rPr>
          <w:rFonts w:hint="eastAsia" w:eastAsia="仿宋_GB2312"/>
          <w:color w:val="000000"/>
          <w:sz w:val="30"/>
          <w:szCs w:val="32"/>
          <w:u w:val="single"/>
        </w:rPr>
        <w:t>10、承包人在进场施工前，须将投标文件中的相关项目管理人员的从业资质证书交发包人保管至工程竣工。项目管理人员未经发包人书面同意不得擅自更换；</w:t>
      </w:r>
    </w:p>
    <w:p w14:paraId="15B6FC34">
      <w:pPr>
        <w:spacing w:line="360" w:lineRule="auto"/>
        <w:ind w:firstLine="600" w:firstLineChars="200"/>
        <w:rPr>
          <w:rFonts w:eastAsia="仿宋_GB2312"/>
          <w:color w:val="000000"/>
          <w:sz w:val="30"/>
          <w:szCs w:val="32"/>
          <w:u w:val="single"/>
        </w:rPr>
      </w:pPr>
      <w:r>
        <w:rPr>
          <w:rFonts w:eastAsia="仿宋_GB2312"/>
          <w:color w:val="000000"/>
          <w:sz w:val="30"/>
          <w:szCs w:val="32"/>
          <w:u w:val="single"/>
        </w:rPr>
        <w:t>11、</w:t>
      </w:r>
      <w:r>
        <w:rPr>
          <w:rFonts w:hint="eastAsia" w:eastAsia="仿宋_GB2312"/>
          <w:color w:val="000000"/>
          <w:sz w:val="30"/>
          <w:szCs w:val="32"/>
          <w:u w:val="single"/>
        </w:rPr>
        <w:t>在测绘仪器使用上为发包人、监理人员提供方便。</w:t>
      </w:r>
    </w:p>
    <w:p w14:paraId="2A6A6986">
      <w:pPr>
        <w:spacing w:line="360" w:lineRule="auto"/>
        <w:ind w:firstLine="600" w:firstLineChars="200"/>
        <w:rPr>
          <w:rFonts w:eastAsia="仿宋_GB2312"/>
          <w:color w:val="000000"/>
          <w:sz w:val="30"/>
          <w:szCs w:val="32"/>
          <w:u w:val="single"/>
        </w:rPr>
      </w:pPr>
      <w:r>
        <w:rPr>
          <w:rFonts w:eastAsia="仿宋_GB2312"/>
          <w:color w:val="000000"/>
          <w:sz w:val="30"/>
          <w:szCs w:val="32"/>
          <w:u w:val="single"/>
        </w:rPr>
        <w:t>12、</w:t>
      </w:r>
      <w:r>
        <w:rPr>
          <w:rFonts w:hint="eastAsia" w:eastAsia="仿宋_GB2312"/>
          <w:color w:val="000000"/>
          <w:sz w:val="30"/>
          <w:szCs w:val="32"/>
          <w:u w:val="single"/>
        </w:rPr>
        <w:t>承包人不得以任何理由和借口拖工窝工停工、拖欠农民工工资、发生农民工聚众闹事。如有上述情况发生，发包人有权立即终止合同，承包人履约保证金将不予退还，对此给发包人造成的损失由承包人全额赔偿。</w:t>
      </w:r>
    </w:p>
    <w:p w14:paraId="6D8732D5">
      <w:pPr>
        <w:spacing w:line="360" w:lineRule="auto"/>
        <w:ind w:firstLine="600" w:firstLineChars="200"/>
        <w:rPr>
          <w:rFonts w:eastAsia="仿宋_GB2312"/>
          <w:color w:val="000000"/>
          <w:sz w:val="30"/>
          <w:szCs w:val="32"/>
          <w:u w:val="single"/>
        </w:rPr>
      </w:pPr>
      <w:r>
        <w:rPr>
          <w:rFonts w:eastAsia="仿宋_GB2312"/>
          <w:color w:val="000000"/>
          <w:sz w:val="30"/>
          <w:szCs w:val="32"/>
          <w:u w:val="single"/>
        </w:rPr>
        <w:t>13、</w:t>
      </w:r>
      <w:r>
        <w:rPr>
          <w:rFonts w:hint="eastAsia" w:eastAsia="仿宋_GB2312"/>
          <w:color w:val="000000"/>
          <w:sz w:val="30"/>
          <w:szCs w:val="32"/>
          <w:u w:val="single"/>
        </w:rPr>
        <w:t>承包人应在合同签订后7日内将办理施工许可证所需施工单位提交的全套完善资料移交发包人，逾期移交则向发包人支付违约金三万元/日历天。</w:t>
      </w:r>
    </w:p>
    <w:p w14:paraId="2B22F97B">
      <w:pPr>
        <w:pStyle w:val="8"/>
        <w:ind w:left="63" w:right="63" w:firstLine="600" w:firstLineChars="200"/>
        <w:rPr>
          <w:rFonts w:eastAsia="仿宋_GB2312"/>
          <w:color w:val="000000"/>
          <w:sz w:val="30"/>
          <w:szCs w:val="32"/>
          <w:u w:val="single"/>
        </w:rPr>
      </w:pPr>
      <w:r>
        <w:rPr>
          <w:rFonts w:eastAsia="仿宋_GB2312"/>
          <w:color w:val="000000"/>
          <w:sz w:val="30"/>
          <w:szCs w:val="32"/>
          <w:u w:val="single"/>
        </w:rPr>
        <w:t>14、</w:t>
      </w:r>
      <w:r>
        <w:rPr>
          <w:rFonts w:hint="eastAsia" w:eastAsia="仿宋_GB2312"/>
          <w:color w:val="000000"/>
          <w:sz w:val="30"/>
          <w:szCs w:val="32"/>
          <w:u w:val="single"/>
        </w:rPr>
        <w:t>承包人按月考核农民工完成工作量编制“农民工工资支付表”，经由农民工本人签字确认后在建筑工地醒目位置予以公示，公示期不得少于5日；银行代发工资结束后，承包人应在建筑工地醒目位置张贴农民工工资已发放公告，公告期不得少于5日。</w:t>
      </w:r>
    </w:p>
    <w:p w14:paraId="182DDC0D">
      <w:pPr>
        <w:pStyle w:val="8"/>
        <w:spacing w:line="360" w:lineRule="auto"/>
        <w:ind w:left="63" w:right="63" w:firstLine="420" w:firstLineChars="200"/>
        <w:rPr>
          <w:rFonts w:eastAsia="仿宋_GB2312"/>
          <w:color w:val="000000"/>
          <w:sz w:val="30"/>
          <w:szCs w:val="32"/>
          <w:u w:val="single"/>
        </w:rPr>
      </w:pPr>
      <w:r>
        <w:rPr>
          <w:rFonts w:hint="eastAsia"/>
        </w:rPr>
        <w:t xml:space="preserve"> </w:t>
      </w:r>
      <w:r>
        <w:t xml:space="preserve"> </w:t>
      </w:r>
      <w:r>
        <w:rPr>
          <w:rFonts w:hint="eastAsia" w:eastAsia="仿宋_GB2312"/>
          <w:color w:val="000000"/>
          <w:sz w:val="30"/>
          <w:szCs w:val="32"/>
          <w:u w:val="single"/>
        </w:rPr>
        <w:t>1</w:t>
      </w:r>
      <w:r>
        <w:rPr>
          <w:rFonts w:eastAsia="仿宋_GB2312"/>
          <w:color w:val="000000"/>
          <w:sz w:val="30"/>
          <w:szCs w:val="32"/>
          <w:u w:val="single"/>
        </w:rPr>
        <w:t>5</w:t>
      </w:r>
      <w:r>
        <w:rPr>
          <w:rFonts w:hint="eastAsia" w:eastAsia="仿宋_GB2312"/>
          <w:color w:val="000000"/>
          <w:sz w:val="30"/>
          <w:szCs w:val="32"/>
          <w:u w:val="single"/>
        </w:rPr>
        <w:t>、凡已移交、具备施工工作面的作业区域，承包人须足额配置作业人员持续开展施工作业，不得出现工作面闲置、施工人员不足的情形。出现工作面闲置、施工人员不足情形，视为承包人违约，承包人应承担违约金五万元/次并继续履行合同；在指定期限内拒不整改的，发包人有权解除合同，不承担违约责任。承包人应于发包人解除合同之日起5日内向发包人支付违约金五十万元。逾期支付，承包人应额外向发包人支付未付金额0.5‰/天的逾期违约金直至完全支付时。</w:t>
      </w:r>
    </w:p>
    <w:p w14:paraId="73CEF892">
      <w:pPr>
        <w:pStyle w:val="8"/>
        <w:spacing w:line="360" w:lineRule="auto"/>
        <w:ind w:left="63" w:right="63" w:firstLine="600" w:firstLineChars="200"/>
        <w:rPr>
          <w:rFonts w:eastAsia="仿宋_GB2312"/>
          <w:color w:val="000000"/>
          <w:sz w:val="30"/>
          <w:szCs w:val="32"/>
          <w:u w:val="single"/>
        </w:rPr>
      </w:pPr>
      <w:r>
        <w:rPr>
          <w:rFonts w:eastAsia="仿宋_GB2312"/>
          <w:color w:val="000000"/>
          <w:sz w:val="30"/>
          <w:szCs w:val="32"/>
          <w:u w:val="single"/>
        </w:rPr>
        <w:t>16</w:t>
      </w:r>
      <w:r>
        <w:rPr>
          <w:rFonts w:hint="eastAsia" w:eastAsia="仿宋_GB2312"/>
          <w:color w:val="000000"/>
          <w:sz w:val="30"/>
          <w:szCs w:val="32"/>
          <w:u w:val="single"/>
        </w:rPr>
        <w:t>、承包人投入本项目的本公司自有工人数量占现场总作业人员的比例不得低于【______%】，承包人应建立人员台账供发包人核查，未达到该人员配置比例要求的，视为承包人违约，承包人应承担违约金五万元/天并继续履行合同；在指定期限内拒不整改的，发包人有权解除合同，不承担违约责任。承包人应于发包人解除合同之日起5日内向发包人支付违约金五十万元。逾期支付，承包人应额外向发包人支付未付金额0.5‰/天的逾期违约金直至完全支付时。</w:t>
      </w:r>
    </w:p>
    <w:p w14:paraId="660E10D4">
      <w:pPr>
        <w:pStyle w:val="8"/>
        <w:spacing w:line="360" w:lineRule="auto"/>
        <w:ind w:left="63" w:right="63" w:firstLine="600" w:firstLineChars="200"/>
        <w:rPr>
          <w:rFonts w:eastAsia="仿宋_GB2312"/>
          <w:color w:val="000000"/>
          <w:sz w:val="30"/>
          <w:szCs w:val="32"/>
          <w:u w:val="single"/>
        </w:rPr>
      </w:pPr>
      <w:r>
        <w:rPr>
          <w:rFonts w:eastAsia="仿宋_GB2312"/>
          <w:color w:val="000000"/>
          <w:sz w:val="30"/>
          <w:szCs w:val="32"/>
          <w:u w:val="single"/>
        </w:rPr>
        <w:t>17</w:t>
      </w:r>
      <w:r>
        <w:rPr>
          <w:rFonts w:hint="eastAsia" w:eastAsia="仿宋_GB2312"/>
          <w:color w:val="000000"/>
          <w:sz w:val="30"/>
          <w:szCs w:val="32"/>
          <w:u w:val="single"/>
        </w:rPr>
        <w:t xml:space="preserve">、承包人现场每日在岗施工作业人员总数须达到经发包人审批的施工组织设计的用工计划人数（实名制现场打卡记录为核定依据）；且承包人须按工程工期要求组织 24 小时连续不间断施工，夜间施工作业饱和度应与日间保持一致，任一统计时段现场在岗人员数量未达到前述标准的，视为承包人违约，承包人应承担违约金两千元/人次并继续履行合同；在指定期限内拒不整改的，发包人有权解除合同，不承担违约责任。承包人应于发包人解除合同之日起5日内向发包人支付违约金五十万元。逾期支付，承包人应额外向发包人支付未付金额0.5‰/天的逾期违约金直至完全支付时。   </w:t>
      </w:r>
    </w:p>
    <w:p w14:paraId="061F21FB">
      <w:pPr>
        <w:pStyle w:val="8"/>
        <w:spacing w:line="360" w:lineRule="auto"/>
        <w:ind w:left="63" w:right="63" w:firstLine="600" w:firstLineChars="200"/>
        <w:rPr>
          <w:rFonts w:eastAsia="仿宋_GB2312"/>
          <w:color w:val="000000"/>
          <w:sz w:val="30"/>
          <w:szCs w:val="32"/>
          <w:u w:val="single"/>
        </w:rPr>
      </w:pPr>
      <w:r>
        <w:rPr>
          <w:rFonts w:eastAsia="仿宋_GB2312"/>
          <w:color w:val="000000"/>
          <w:sz w:val="30"/>
          <w:szCs w:val="32"/>
          <w:u w:val="single"/>
        </w:rPr>
        <w:t>18</w:t>
      </w:r>
      <w:r>
        <w:rPr>
          <w:rFonts w:hint="eastAsia" w:eastAsia="仿宋_GB2312"/>
          <w:color w:val="000000"/>
          <w:sz w:val="30"/>
          <w:szCs w:val="32"/>
          <w:u w:val="single"/>
        </w:rPr>
        <w:t>、因施工现场存在多方交叉作业，造成材料需多次转运时，承包人应服从发包人现场管理调度安排。若承包人拒不服从发包人合理调度安排，视为承包人违约，承包人应承担违约金五万元/次并继续履行合同；在指定期限内拒不整改的，发包人有权解除合同，不承担违约责任。承包人应于发包人解除合同之日起5日内向发包人支付违约金五十万元。</w:t>
      </w:r>
    </w:p>
    <w:p w14:paraId="42BBA10D">
      <w:pPr>
        <w:pStyle w:val="8"/>
        <w:spacing w:line="360" w:lineRule="auto"/>
        <w:ind w:left="63" w:right="63" w:firstLine="600" w:firstLineChars="200"/>
        <w:rPr>
          <w:rFonts w:eastAsia="仿宋_GB2312"/>
          <w:color w:val="000000"/>
          <w:sz w:val="30"/>
          <w:szCs w:val="32"/>
          <w:u w:val="single"/>
        </w:rPr>
      </w:pPr>
      <w:r>
        <w:rPr>
          <w:rFonts w:eastAsia="仿宋_GB2312"/>
          <w:color w:val="000000"/>
          <w:sz w:val="30"/>
          <w:szCs w:val="32"/>
          <w:u w:val="single"/>
        </w:rPr>
        <w:t>19</w:t>
      </w:r>
      <w:r>
        <w:rPr>
          <w:rFonts w:hint="eastAsia" w:eastAsia="仿宋_GB2312"/>
          <w:color w:val="000000"/>
          <w:sz w:val="30"/>
          <w:szCs w:val="32"/>
          <w:u w:val="single"/>
        </w:rPr>
        <w:t>、若点火工期目标未达成，过程管控中承包人在工期或人员方面的考核一律不予豁免。若点火工期目标达成，则可依据工期的节约及实际达成情况，对过程管控中承包人在工期或人员方面的相关考核给予适当豁免。</w:t>
      </w:r>
    </w:p>
    <w:p w14:paraId="74ABB1E3">
      <w:pPr>
        <w:spacing w:after="120" w:line="360" w:lineRule="auto"/>
        <w:ind w:firstLine="600" w:firstLineChars="200"/>
        <w:rPr>
          <w:rFonts w:eastAsia="黑体"/>
          <w:color w:val="000000"/>
          <w:sz w:val="30"/>
          <w:szCs w:val="32"/>
        </w:rPr>
      </w:pPr>
      <w:r>
        <w:rPr>
          <w:rFonts w:eastAsia="黑体"/>
          <w:color w:val="000000"/>
          <w:sz w:val="30"/>
          <w:szCs w:val="32"/>
        </w:rPr>
        <w:t>3.2 项目经理</w:t>
      </w:r>
    </w:p>
    <w:p w14:paraId="74406BF7">
      <w:pPr>
        <w:spacing w:line="360" w:lineRule="auto"/>
        <w:ind w:firstLine="600" w:firstLineChars="200"/>
        <w:rPr>
          <w:rFonts w:eastAsia="仿宋_GB2312"/>
          <w:color w:val="000000"/>
          <w:sz w:val="30"/>
          <w:szCs w:val="32"/>
        </w:rPr>
      </w:pPr>
      <w:r>
        <w:rPr>
          <w:rFonts w:eastAsia="仿宋_GB2312"/>
          <w:color w:val="000000"/>
          <w:kern w:val="0"/>
          <w:sz w:val="30"/>
          <w:szCs w:val="32"/>
        </w:rPr>
        <w:t xml:space="preserve">3.2.1 </w:t>
      </w:r>
      <w:r>
        <w:rPr>
          <w:rFonts w:eastAsia="仿宋_GB2312"/>
          <w:color w:val="000000"/>
          <w:sz w:val="30"/>
          <w:szCs w:val="32"/>
        </w:rPr>
        <w:t>项目经理：</w:t>
      </w:r>
    </w:p>
    <w:p w14:paraId="2BD4F448">
      <w:pPr>
        <w:spacing w:line="360" w:lineRule="auto"/>
        <w:ind w:firstLine="600" w:firstLineChars="200"/>
        <w:rPr>
          <w:rFonts w:eastAsia="仿宋_GB2312"/>
          <w:color w:val="000000"/>
          <w:sz w:val="30"/>
          <w:szCs w:val="32"/>
        </w:rPr>
      </w:pPr>
      <w:r>
        <w:rPr>
          <w:rFonts w:eastAsia="仿宋_GB2312"/>
          <w:color w:val="000000"/>
          <w:sz w:val="30"/>
          <w:szCs w:val="32"/>
        </w:rPr>
        <w:t>姓    名：</w:t>
      </w:r>
      <w:r>
        <w:rPr>
          <w:rFonts w:eastAsia="仿宋_GB2312"/>
          <w:color w:val="000000"/>
          <w:sz w:val="30"/>
          <w:szCs w:val="30"/>
          <w:u w:val="single"/>
        </w:rPr>
        <w:t xml:space="preserve">                                   </w:t>
      </w:r>
      <w:r>
        <w:rPr>
          <w:rFonts w:eastAsia="仿宋_GB2312"/>
          <w:color w:val="000000"/>
          <w:sz w:val="30"/>
          <w:szCs w:val="32"/>
        </w:rPr>
        <w:t>；</w:t>
      </w:r>
    </w:p>
    <w:p w14:paraId="5ACD61B5">
      <w:pPr>
        <w:spacing w:line="360" w:lineRule="auto"/>
        <w:ind w:firstLine="600" w:firstLineChars="200"/>
        <w:rPr>
          <w:rFonts w:eastAsia="仿宋_GB2312"/>
          <w:color w:val="000000"/>
          <w:sz w:val="30"/>
          <w:szCs w:val="32"/>
        </w:rPr>
      </w:pPr>
      <w:r>
        <w:rPr>
          <w:rFonts w:eastAsia="仿宋_GB2312"/>
          <w:color w:val="000000"/>
          <w:sz w:val="30"/>
          <w:szCs w:val="32"/>
        </w:rPr>
        <w:t>身份证号：</w:t>
      </w:r>
      <w:r>
        <w:rPr>
          <w:rFonts w:eastAsia="仿宋_GB2312"/>
          <w:color w:val="000000"/>
          <w:sz w:val="30"/>
          <w:szCs w:val="30"/>
          <w:u w:val="single"/>
        </w:rPr>
        <w:t xml:space="preserve">                                   </w:t>
      </w:r>
      <w:r>
        <w:rPr>
          <w:rFonts w:eastAsia="仿宋_GB2312"/>
          <w:color w:val="000000"/>
          <w:sz w:val="30"/>
          <w:szCs w:val="32"/>
        </w:rPr>
        <w:t>；</w:t>
      </w:r>
    </w:p>
    <w:p w14:paraId="4A1E9AC5">
      <w:pPr>
        <w:spacing w:line="360" w:lineRule="auto"/>
        <w:ind w:firstLine="600" w:firstLineChars="200"/>
        <w:rPr>
          <w:rFonts w:eastAsia="仿宋_GB2312"/>
          <w:color w:val="000000"/>
          <w:sz w:val="30"/>
          <w:szCs w:val="32"/>
        </w:rPr>
      </w:pPr>
      <w:r>
        <w:rPr>
          <w:rFonts w:eastAsia="仿宋_GB2312"/>
          <w:color w:val="000000"/>
          <w:sz w:val="30"/>
          <w:szCs w:val="32"/>
        </w:rPr>
        <w:t>建造师执业资格等级：</w:t>
      </w:r>
      <w:r>
        <w:rPr>
          <w:rFonts w:eastAsia="仿宋_GB2312"/>
          <w:color w:val="000000"/>
          <w:sz w:val="30"/>
          <w:szCs w:val="30"/>
          <w:u w:val="single"/>
        </w:rPr>
        <w:t xml:space="preserve">                         </w:t>
      </w:r>
      <w:r>
        <w:rPr>
          <w:rFonts w:eastAsia="仿宋_GB2312"/>
          <w:color w:val="000000"/>
          <w:sz w:val="30"/>
          <w:szCs w:val="32"/>
        </w:rPr>
        <w:t>；</w:t>
      </w:r>
    </w:p>
    <w:p w14:paraId="707F7949">
      <w:pPr>
        <w:spacing w:line="360" w:lineRule="auto"/>
        <w:ind w:firstLine="600" w:firstLineChars="200"/>
        <w:rPr>
          <w:rFonts w:eastAsia="仿宋_GB2312"/>
          <w:color w:val="000000"/>
          <w:sz w:val="30"/>
          <w:szCs w:val="32"/>
        </w:rPr>
      </w:pPr>
      <w:r>
        <w:rPr>
          <w:rFonts w:eastAsia="仿宋_GB2312"/>
          <w:color w:val="000000"/>
          <w:sz w:val="30"/>
          <w:szCs w:val="32"/>
        </w:rPr>
        <w:t>建造师注册证书号：</w:t>
      </w:r>
      <w:r>
        <w:rPr>
          <w:rFonts w:eastAsia="仿宋_GB2312"/>
          <w:color w:val="000000"/>
          <w:sz w:val="30"/>
          <w:szCs w:val="30"/>
          <w:u w:val="single"/>
        </w:rPr>
        <w:t xml:space="preserve">                                   </w:t>
      </w:r>
      <w:r>
        <w:rPr>
          <w:rFonts w:eastAsia="仿宋_GB2312"/>
          <w:color w:val="000000"/>
          <w:sz w:val="30"/>
          <w:szCs w:val="32"/>
        </w:rPr>
        <w:t>；</w:t>
      </w:r>
    </w:p>
    <w:p w14:paraId="47E65125">
      <w:pPr>
        <w:spacing w:line="360" w:lineRule="auto"/>
        <w:ind w:firstLine="600" w:firstLineChars="200"/>
        <w:rPr>
          <w:rFonts w:eastAsia="仿宋_GB2312"/>
          <w:color w:val="000000"/>
          <w:sz w:val="30"/>
          <w:szCs w:val="32"/>
        </w:rPr>
      </w:pPr>
      <w:r>
        <w:rPr>
          <w:rFonts w:eastAsia="仿宋_GB2312"/>
          <w:color w:val="000000"/>
          <w:sz w:val="30"/>
          <w:szCs w:val="32"/>
        </w:rPr>
        <w:t>建造师执业印章号：</w:t>
      </w:r>
      <w:r>
        <w:rPr>
          <w:rFonts w:eastAsia="仿宋_GB2312"/>
          <w:color w:val="000000"/>
          <w:sz w:val="30"/>
          <w:szCs w:val="30"/>
          <w:u w:val="single"/>
        </w:rPr>
        <w:t xml:space="preserve">                                   </w:t>
      </w:r>
      <w:r>
        <w:rPr>
          <w:rFonts w:eastAsia="仿宋_GB2312"/>
          <w:color w:val="000000"/>
          <w:sz w:val="30"/>
          <w:szCs w:val="32"/>
        </w:rPr>
        <w:t>；</w:t>
      </w:r>
    </w:p>
    <w:p w14:paraId="2AF23186">
      <w:pPr>
        <w:spacing w:line="360" w:lineRule="auto"/>
        <w:ind w:firstLine="600" w:firstLineChars="200"/>
        <w:rPr>
          <w:rFonts w:eastAsia="仿宋_GB2312"/>
          <w:color w:val="000000"/>
          <w:sz w:val="30"/>
          <w:szCs w:val="32"/>
        </w:rPr>
      </w:pPr>
      <w:r>
        <w:rPr>
          <w:rFonts w:eastAsia="仿宋_GB2312"/>
          <w:color w:val="000000"/>
          <w:sz w:val="30"/>
          <w:szCs w:val="32"/>
        </w:rPr>
        <w:t>安全生产考核合格证书号：</w:t>
      </w:r>
      <w:r>
        <w:rPr>
          <w:rFonts w:eastAsia="仿宋_GB2312"/>
          <w:color w:val="000000"/>
          <w:sz w:val="30"/>
          <w:szCs w:val="30"/>
          <w:u w:val="single"/>
        </w:rPr>
        <w:t xml:space="preserve">                             </w:t>
      </w:r>
      <w:r>
        <w:rPr>
          <w:rFonts w:eastAsia="仿宋_GB2312"/>
          <w:color w:val="000000"/>
          <w:sz w:val="30"/>
          <w:szCs w:val="32"/>
        </w:rPr>
        <w:t>；</w:t>
      </w:r>
    </w:p>
    <w:p w14:paraId="218B9A07">
      <w:pPr>
        <w:spacing w:line="360" w:lineRule="auto"/>
        <w:ind w:firstLine="600" w:firstLineChars="200"/>
        <w:rPr>
          <w:rFonts w:eastAsia="仿宋_GB2312"/>
          <w:color w:val="000000"/>
          <w:sz w:val="30"/>
          <w:szCs w:val="32"/>
        </w:rPr>
      </w:pPr>
      <w:r>
        <w:rPr>
          <w:rFonts w:eastAsia="仿宋_GB2312"/>
          <w:color w:val="000000"/>
          <w:sz w:val="30"/>
          <w:szCs w:val="32"/>
        </w:rPr>
        <w:t>联系电话：</w:t>
      </w:r>
      <w:r>
        <w:rPr>
          <w:rFonts w:eastAsia="仿宋_GB2312"/>
          <w:color w:val="000000"/>
          <w:sz w:val="30"/>
          <w:szCs w:val="30"/>
          <w:u w:val="single"/>
        </w:rPr>
        <w:t xml:space="preserve">                                   </w:t>
      </w:r>
      <w:r>
        <w:rPr>
          <w:rFonts w:eastAsia="仿宋_GB2312"/>
          <w:color w:val="000000"/>
          <w:sz w:val="30"/>
          <w:szCs w:val="32"/>
        </w:rPr>
        <w:t>；</w:t>
      </w:r>
    </w:p>
    <w:p w14:paraId="3B8350E3">
      <w:pPr>
        <w:spacing w:line="360" w:lineRule="auto"/>
        <w:ind w:firstLine="600" w:firstLineChars="200"/>
        <w:rPr>
          <w:rFonts w:eastAsia="仿宋_GB2312"/>
          <w:color w:val="000000"/>
          <w:sz w:val="30"/>
          <w:szCs w:val="32"/>
        </w:rPr>
      </w:pPr>
      <w:r>
        <w:rPr>
          <w:rFonts w:eastAsia="仿宋_GB2312"/>
          <w:color w:val="000000"/>
          <w:sz w:val="30"/>
          <w:szCs w:val="32"/>
        </w:rPr>
        <w:t>电子信箱：</w:t>
      </w:r>
      <w:r>
        <w:rPr>
          <w:rFonts w:eastAsia="仿宋_GB2312"/>
          <w:color w:val="000000"/>
          <w:sz w:val="30"/>
          <w:szCs w:val="30"/>
          <w:u w:val="single"/>
        </w:rPr>
        <w:t xml:space="preserve">                                   </w:t>
      </w:r>
      <w:r>
        <w:rPr>
          <w:rFonts w:eastAsia="仿宋_GB2312"/>
          <w:color w:val="000000"/>
          <w:sz w:val="30"/>
          <w:szCs w:val="32"/>
        </w:rPr>
        <w:t>；</w:t>
      </w:r>
    </w:p>
    <w:p w14:paraId="313E9FE8">
      <w:pPr>
        <w:spacing w:line="360" w:lineRule="auto"/>
        <w:ind w:firstLine="600" w:firstLineChars="200"/>
        <w:rPr>
          <w:rFonts w:eastAsia="仿宋_GB2312"/>
          <w:color w:val="000000"/>
          <w:sz w:val="30"/>
          <w:szCs w:val="32"/>
        </w:rPr>
      </w:pPr>
      <w:r>
        <w:rPr>
          <w:rFonts w:eastAsia="仿宋_GB2312"/>
          <w:color w:val="000000"/>
          <w:sz w:val="30"/>
          <w:szCs w:val="32"/>
        </w:rPr>
        <w:t>通信地址：</w:t>
      </w:r>
      <w:r>
        <w:rPr>
          <w:rFonts w:eastAsia="仿宋_GB2312"/>
          <w:color w:val="000000"/>
          <w:sz w:val="30"/>
          <w:szCs w:val="30"/>
          <w:u w:val="single"/>
        </w:rPr>
        <w:t xml:space="preserve">                                   </w:t>
      </w:r>
      <w:r>
        <w:rPr>
          <w:rFonts w:eastAsia="仿宋_GB2312"/>
          <w:color w:val="000000"/>
          <w:sz w:val="30"/>
          <w:szCs w:val="32"/>
        </w:rPr>
        <w:t>；</w:t>
      </w:r>
    </w:p>
    <w:p w14:paraId="14CD1DBE">
      <w:pPr>
        <w:spacing w:line="360" w:lineRule="auto"/>
        <w:ind w:firstLine="600" w:firstLineChars="200"/>
        <w:rPr>
          <w:rFonts w:eastAsia="仿宋_GB2312"/>
          <w:color w:val="000000"/>
          <w:sz w:val="30"/>
          <w:szCs w:val="32"/>
        </w:rPr>
      </w:pPr>
      <w:r>
        <w:rPr>
          <w:rFonts w:eastAsia="仿宋_GB2312"/>
          <w:color w:val="000000"/>
          <w:sz w:val="30"/>
          <w:szCs w:val="32"/>
        </w:rPr>
        <w:t>承包人对项目经理的授权范围如下：</w:t>
      </w:r>
      <w:r>
        <w:rPr>
          <w:rFonts w:hint="eastAsia" w:eastAsia="仿宋_GB2312"/>
          <w:color w:val="000000"/>
          <w:sz w:val="30"/>
          <w:szCs w:val="32"/>
          <w:u w:val="single"/>
        </w:rPr>
        <w:t xml:space="preserve">授权项目经理处理与项目有关的业务，全权代表承包人行使合同约定的权利，履行合同约定的职责。项目经理签署的任何文件均视为承包人确认并生效的文件。承包人的相关请求、通知、计划、报表等和其它需报送发包人的资料，均以书面形式由项目经理签字并加盖承包人公章或项目章（承包人项目经理、项目章须经承包人授权并送发包人备案）后递交发包人    </w:t>
      </w:r>
      <w:r>
        <w:rPr>
          <w:rFonts w:eastAsia="仿宋_GB2312"/>
          <w:color w:val="000000"/>
          <w:sz w:val="30"/>
          <w:szCs w:val="32"/>
        </w:rPr>
        <w:t>。</w:t>
      </w:r>
    </w:p>
    <w:p w14:paraId="07DDD93B">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关于项目经理每</w:t>
      </w:r>
      <w:r>
        <w:rPr>
          <w:rFonts w:hint="eastAsia" w:eastAsia="仿宋_GB2312"/>
          <w:color w:val="000000"/>
          <w:kern w:val="0"/>
          <w:sz w:val="30"/>
          <w:szCs w:val="32"/>
        </w:rPr>
        <w:t>周</w:t>
      </w:r>
      <w:r>
        <w:rPr>
          <w:rFonts w:eastAsia="仿宋_GB2312"/>
          <w:color w:val="000000"/>
          <w:kern w:val="0"/>
          <w:sz w:val="30"/>
          <w:szCs w:val="32"/>
        </w:rPr>
        <w:t>在施工现场的时间要求：</w:t>
      </w:r>
      <w:r>
        <w:rPr>
          <w:rFonts w:hint="eastAsia" w:eastAsia="仿宋_GB2312"/>
          <w:color w:val="000000"/>
          <w:sz w:val="30"/>
          <w:szCs w:val="32"/>
          <w:u w:val="single"/>
        </w:rPr>
        <w:t xml:space="preserve">不得少于6天    </w:t>
      </w:r>
      <w:r>
        <w:rPr>
          <w:rFonts w:eastAsia="仿宋_GB2312"/>
          <w:color w:val="000000"/>
          <w:sz w:val="30"/>
          <w:szCs w:val="32"/>
        </w:rPr>
        <w:t>。</w:t>
      </w:r>
    </w:p>
    <w:p w14:paraId="042D63F7">
      <w:pPr>
        <w:spacing w:line="360" w:lineRule="auto"/>
        <w:ind w:firstLine="600" w:firstLineChars="200"/>
        <w:rPr>
          <w:rFonts w:eastAsia="仿宋_GB2312"/>
          <w:color w:val="000000"/>
          <w:kern w:val="0"/>
          <w:sz w:val="30"/>
          <w:szCs w:val="32"/>
        </w:rPr>
      </w:pPr>
      <w:r>
        <w:rPr>
          <w:rFonts w:eastAsia="仿宋_GB2312"/>
          <w:color w:val="000000"/>
          <w:kern w:val="0"/>
          <w:sz w:val="30"/>
          <w:szCs w:val="32"/>
        </w:rPr>
        <w:t>承包人未提交劳动合同，以及没有为项目经理缴纳社会保险证明的违约责任：</w:t>
      </w:r>
      <w:r>
        <w:rPr>
          <w:rFonts w:hint="eastAsia" w:eastAsia="仿宋_GB2312"/>
          <w:color w:val="000000"/>
          <w:sz w:val="30"/>
          <w:szCs w:val="32"/>
          <w:u w:val="single"/>
        </w:rPr>
        <w:t xml:space="preserve">先处以每人次五万元的违约金，并限期予以纠正；逾期不纠正，发包人有权单方解除合同，不承担违约责任。承包人应于发包人解除合同之日起5日内向发包人支付违约金二十万元。逾期支付，承包人应额外向发包人支付未付金额0.5‰/天的逾期违约金直至完全支付时     </w:t>
      </w:r>
      <w:r>
        <w:rPr>
          <w:rFonts w:eastAsia="仿宋_GB2312"/>
          <w:color w:val="000000"/>
          <w:sz w:val="30"/>
          <w:szCs w:val="32"/>
        </w:rPr>
        <w:t>。</w:t>
      </w:r>
    </w:p>
    <w:p w14:paraId="240012A9">
      <w:pPr>
        <w:spacing w:line="360" w:lineRule="auto"/>
        <w:outlineLvl w:val="0"/>
        <w:rPr>
          <w:rFonts w:eastAsia="仿宋_GB2312"/>
          <w:color w:val="000000"/>
          <w:sz w:val="30"/>
          <w:szCs w:val="32"/>
        </w:rPr>
      </w:pPr>
      <w:r>
        <w:rPr>
          <w:rFonts w:eastAsia="仿宋_GB2312"/>
          <w:color w:val="000000"/>
          <w:sz w:val="30"/>
          <w:szCs w:val="32"/>
        </w:rPr>
        <w:t xml:space="preserve">    3.2.4 承包人无正当理由拒绝更换项目经理的违约责任：</w:t>
      </w:r>
      <w:r>
        <w:rPr>
          <w:rFonts w:hint="eastAsia" w:eastAsia="仿宋_GB2312"/>
          <w:color w:val="000000"/>
          <w:sz w:val="30"/>
          <w:szCs w:val="32"/>
          <w:u w:val="single"/>
        </w:rPr>
        <w:t xml:space="preserve">先处以每人次五万元的违约金，并限期予以纠正；逾期不纠正，发包人有权单方解除合同，不承担违约责任。承包人应于发包人解除合同之日起5日内向发包人支付违约金二十万元。逾期支付，承包人应额外向发包人支付未付金额0.5‰/天的逾期违约金直至完全支付时  </w:t>
      </w:r>
      <w:r>
        <w:rPr>
          <w:rFonts w:eastAsia="仿宋_GB2312"/>
          <w:color w:val="000000"/>
          <w:sz w:val="30"/>
          <w:szCs w:val="32"/>
        </w:rPr>
        <w:t>。</w:t>
      </w:r>
    </w:p>
    <w:p w14:paraId="44000F6E">
      <w:pPr>
        <w:spacing w:after="120" w:line="360" w:lineRule="auto"/>
        <w:ind w:firstLine="600" w:firstLineChars="200"/>
        <w:rPr>
          <w:rFonts w:eastAsia="黑体"/>
          <w:color w:val="000000"/>
          <w:sz w:val="30"/>
          <w:szCs w:val="32"/>
        </w:rPr>
      </w:pPr>
      <w:r>
        <w:rPr>
          <w:rFonts w:eastAsia="黑体"/>
          <w:color w:val="000000"/>
          <w:sz w:val="30"/>
          <w:szCs w:val="32"/>
        </w:rPr>
        <w:t>3.3 承包人人员</w:t>
      </w:r>
    </w:p>
    <w:p w14:paraId="1C235D9F">
      <w:pPr>
        <w:spacing w:line="360" w:lineRule="auto"/>
        <w:ind w:firstLine="600" w:firstLineChars="200"/>
        <w:rPr>
          <w:rFonts w:eastAsia="仿宋_GB2312"/>
          <w:color w:val="000000"/>
          <w:sz w:val="30"/>
          <w:szCs w:val="32"/>
        </w:rPr>
      </w:pPr>
      <w:r>
        <w:rPr>
          <w:rFonts w:eastAsia="仿宋_GB2312"/>
          <w:color w:val="000000"/>
          <w:sz w:val="30"/>
          <w:szCs w:val="32"/>
        </w:rPr>
        <w:t>3.3.1 承包人提交项目管理机构及施工现场管理人员安排报告的期限：</w:t>
      </w:r>
      <w:r>
        <w:rPr>
          <w:rFonts w:eastAsia="仿宋_GB2312"/>
          <w:color w:val="000000"/>
          <w:sz w:val="30"/>
          <w:szCs w:val="32"/>
          <w:u w:val="single"/>
        </w:rPr>
        <w:t xml:space="preserve">   </w:t>
      </w:r>
      <w:r>
        <w:rPr>
          <w:rFonts w:hint="eastAsia" w:eastAsia="仿宋_GB2312"/>
          <w:color w:val="000000"/>
          <w:sz w:val="30"/>
          <w:szCs w:val="32"/>
          <w:u w:val="single"/>
        </w:rPr>
        <w:t>合同签订后3日内</w:t>
      </w:r>
      <w:r>
        <w:rPr>
          <w:rFonts w:eastAsia="仿宋_GB2312"/>
          <w:color w:val="000000"/>
          <w:sz w:val="30"/>
          <w:szCs w:val="32"/>
          <w:u w:val="single"/>
        </w:rPr>
        <w:t xml:space="preserve">   </w:t>
      </w:r>
      <w:r>
        <w:rPr>
          <w:rFonts w:eastAsia="仿宋_GB2312"/>
          <w:color w:val="000000"/>
          <w:sz w:val="30"/>
          <w:szCs w:val="32"/>
        </w:rPr>
        <w:t>。</w:t>
      </w:r>
    </w:p>
    <w:p w14:paraId="56BA4E48">
      <w:pPr>
        <w:spacing w:line="360" w:lineRule="auto"/>
        <w:ind w:firstLine="600" w:firstLineChars="200"/>
        <w:rPr>
          <w:rFonts w:eastAsia="仿宋_GB2312"/>
          <w:color w:val="000000"/>
          <w:sz w:val="30"/>
          <w:szCs w:val="32"/>
        </w:rPr>
      </w:pPr>
      <w:r>
        <w:rPr>
          <w:rFonts w:eastAsia="仿宋_GB2312"/>
          <w:color w:val="000000"/>
          <w:sz w:val="30"/>
          <w:szCs w:val="32"/>
        </w:rPr>
        <w:t>3.3.3 承包人无正当理由拒绝撤换主要施工管理人员的违约责任：</w:t>
      </w:r>
      <w:r>
        <w:rPr>
          <w:rFonts w:hint="eastAsia" w:eastAsia="仿宋_GB2312"/>
          <w:color w:val="000000"/>
          <w:sz w:val="30"/>
          <w:szCs w:val="32"/>
          <w:u w:val="single"/>
        </w:rPr>
        <w:t xml:space="preserve">先处以每人次一万元的违约金，并限期予以纠正；逾期不纠正，发包人有权单方解除合同，不承担违约责任。承包人应于发包人解除合同之日起5日内向发包人支付违约金五万元。逾期支付，承包人应额外向发包人支付未付金额0.5‰/天的逾期违约金直至完全支付时  </w:t>
      </w:r>
      <w:r>
        <w:rPr>
          <w:rFonts w:eastAsia="仿宋_GB2312"/>
          <w:color w:val="000000"/>
          <w:sz w:val="30"/>
          <w:szCs w:val="32"/>
        </w:rPr>
        <w:t>。</w:t>
      </w:r>
    </w:p>
    <w:p w14:paraId="77848BF9">
      <w:pPr>
        <w:spacing w:line="360" w:lineRule="auto"/>
        <w:ind w:firstLine="600" w:firstLineChars="200"/>
        <w:rPr>
          <w:rFonts w:eastAsia="仿宋_GB2312"/>
          <w:color w:val="000000"/>
          <w:sz w:val="30"/>
          <w:szCs w:val="32"/>
        </w:rPr>
      </w:pPr>
      <w:r>
        <w:rPr>
          <w:rFonts w:eastAsia="仿宋_GB2312"/>
          <w:color w:val="000000"/>
          <w:sz w:val="30"/>
          <w:szCs w:val="32"/>
        </w:rPr>
        <w:t>3.3.4 承包人主要施工管理人员离开施工现场的批准要求：</w:t>
      </w:r>
      <w:r>
        <w:rPr>
          <w:rFonts w:hint="eastAsia" w:eastAsia="仿宋_GB2312"/>
          <w:color w:val="000000"/>
          <w:sz w:val="30"/>
          <w:szCs w:val="32"/>
          <w:u w:val="single"/>
        </w:rPr>
        <w:t xml:space="preserve">需发包人现场代表书面批准后  </w:t>
      </w:r>
      <w:r>
        <w:rPr>
          <w:rFonts w:eastAsia="仿宋_GB2312"/>
          <w:color w:val="000000"/>
          <w:sz w:val="30"/>
          <w:szCs w:val="32"/>
          <w:u w:val="single"/>
        </w:rPr>
        <w:t xml:space="preserve">   </w:t>
      </w:r>
      <w:r>
        <w:rPr>
          <w:rFonts w:eastAsia="仿宋_GB2312"/>
          <w:color w:val="000000"/>
          <w:sz w:val="30"/>
          <w:szCs w:val="32"/>
        </w:rPr>
        <w:t>。</w:t>
      </w:r>
    </w:p>
    <w:p w14:paraId="60F51472">
      <w:pPr>
        <w:spacing w:after="120" w:line="360" w:lineRule="auto"/>
        <w:ind w:firstLine="600" w:firstLineChars="200"/>
        <w:rPr>
          <w:rFonts w:eastAsia="黑体"/>
          <w:color w:val="000000"/>
          <w:sz w:val="30"/>
          <w:szCs w:val="32"/>
        </w:rPr>
      </w:pPr>
      <w:r>
        <w:rPr>
          <w:rFonts w:eastAsia="黑体"/>
          <w:color w:val="000000"/>
          <w:sz w:val="30"/>
          <w:szCs w:val="32"/>
        </w:rPr>
        <w:t>3</w:t>
      </w:r>
      <w:bookmarkStart w:id="146" w:name="_Toc296346660"/>
      <w:bookmarkStart w:id="147" w:name="_Toc297123492"/>
      <w:bookmarkStart w:id="148" w:name="_Toc292559364"/>
      <w:bookmarkStart w:id="149" w:name="_Toc296944498"/>
      <w:bookmarkStart w:id="150" w:name="_Toc303539102"/>
      <w:bookmarkStart w:id="151" w:name="_Toc312677988"/>
      <w:bookmarkStart w:id="152" w:name="_Toc296890987"/>
      <w:bookmarkStart w:id="153" w:name="_Toc292559869"/>
      <w:bookmarkStart w:id="154" w:name="_Toc297216151"/>
      <w:bookmarkStart w:id="155" w:name="_Toc304295523"/>
      <w:bookmarkStart w:id="156" w:name="_Toc296347158"/>
      <w:bookmarkStart w:id="157" w:name="_Toc297120459"/>
      <w:bookmarkStart w:id="158" w:name="_Toc296891199"/>
      <w:bookmarkStart w:id="159" w:name="_Toc297048345"/>
      <w:bookmarkStart w:id="160" w:name="_Toc296503159"/>
      <w:bookmarkStart w:id="161" w:name="_Toc300934945"/>
      <w:r>
        <w:rPr>
          <w:rFonts w:eastAsia="黑体"/>
          <w:color w:val="000000"/>
          <w:sz w:val="30"/>
          <w:szCs w:val="32"/>
        </w:rPr>
        <w:t>.5 分包</w:t>
      </w:r>
    </w:p>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p w14:paraId="0F8269F4">
      <w:pPr>
        <w:spacing w:line="360" w:lineRule="auto"/>
        <w:ind w:firstLine="600" w:firstLineChars="200"/>
        <w:rPr>
          <w:rFonts w:eastAsia="仿宋_GB2312"/>
          <w:sz w:val="30"/>
          <w:szCs w:val="32"/>
        </w:rPr>
      </w:pPr>
      <w:r>
        <w:rPr>
          <w:rFonts w:eastAsia="仿宋_GB2312"/>
          <w:sz w:val="30"/>
          <w:szCs w:val="32"/>
        </w:rPr>
        <w:t>3</w:t>
      </w:r>
      <w:bookmarkStart w:id="162" w:name="_Toc312677989"/>
      <w:bookmarkStart w:id="163" w:name="_Toc296503160"/>
      <w:bookmarkStart w:id="164" w:name="_Toc304295524"/>
      <w:bookmarkStart w:id="165" w:name="_Toc318581158"/>
      <w:bookmarkStart w:id="166" w:name="_Toc296890988"/>
      <w:bookmarkStart w:id="167" w:name="_Toc296944499"/>
      <w:bookmarkStart w:id="168" w:name="_Toc300934946"/>
      <w:bookmarkStart w:id="169" w:name="_Toc303539103"/>
      <w:bookmarkStart w:id="170" w:name="_Toc292559365"/>
      <w:bookmarkStart w:id="171" w:name="_Toc296346661"/>
      <w:bookmarkStart w:id="172" w:name="_Toc292559870"/>
      <w:bookmarkStart w:id="173" w:name="_Toc296347159"/>
      <w:bookmarkStart w:id="174" w:name="_Toc296891200"/>
      <w:bookmarkStart w:id="175" w:name="_Toc297048346"/>
      <w:bookmarkStart w:id="176" w:name="_Toc297120460"/>
      <w:bookmarkStart w:id="177" w:name="_Toc297123493"/>
      <w:bookmarkStart w:id="178" w:name="_Toc297216152"/>
      <w:r>
        <w:rPr>
          <w:rFonts w:eastAsia="仿宋_GB2312"/>
          <w:sz w:val="30"/>
          <w:szCs w:val="32"/>
        </w:rPr>
        <w:t>.5.1 分包的一般约定</w:t>
      </w:r>
    </w:p>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p w14:paraId="765295F8">
      <w:pPr>
        <w:spacing w:line="360" w:lineRule="auto"/>
        <w:ind w:firstLine="600" w:firstLineChars="200"/>
        <w:rPr>
          <w:rFonts w:eastAsia="仿宋_GB2312"/>
          <w:sz w:val="30"/>
          <w:szCs w:val="32"/>
        </w:rPr>
      </w:pPr>
      <w:bookmarkStart w:id="179" w:name="_Toc318581159"/>
      <w:bookmarkStart w:id="180" w:name="_Toc312677990"/>
      <w:r>
        <w:rPr>
          <w:rFonts w:hint="eastAsia" w:eastAsia="仿宋_GB2312"/>
          <w:color w:val="000000"/>
          <w:sz w:val="30"/>
          <w:szCs w:val="32"/>
          <w:u w:val="single"/>
        </w:rPr>
        <w:t>符合《中华人民共和国建筑法》和《中华人民共和国招标投标法》的相关规定</w:t>
      </w:r>
      <w:r>
        <w:rPr>
          <w:rFonts w:eastAsia="仿宋_GB2312"/>
          <w:color w:val="000000"/>
          <w:sz w:val="30"/>
          <w:szCs w:val="32"/>
          <w:u w:val="single"/>
        </w:rPr>
        <w:t xml:space="preserve"> </w:t>
      </w:r>
      <w:r>
        <w:rPr>
          <w:rFonts w:eastAsia="仿宋_GB2312"/>
          <w:color w:val="000000"/>
          <w:sz w:val="30"/>
          <w:szCs w:val="32"/>
        </w:rPr>
        <w:t>。</w:t>
      </w:r>
    </w:p>
    <w:bookmarkEnd w:id="179"/>
    <w:bookmarkEnd w:id="180"/>
    <w:p w14:paraId="6C8E6B09">
      <w:pPr>
        <w:spacing w:after="120" w:line="360" w:lineRule="auto"/>
        <w:ind w:firstLine="600" w:firstLineChars="200"/>
        <w:rPr>
          <w:rFonts w:eastAsia="黑体"/>
          <w:color w:val="000000"/>
          <w:sz w:val="30"/>
          <w:szCs w:val="32"/>
        </w:rPr>
      </w:pPr>
      <w:r>
        <w:rPr>
          <w:rFonts w:eastAsia="黑体"/>
          <w:color w:val="000000"/>
          <w:sz w:val="30"/>
          <w:szCs w:val="32"/>
        </w:rPr>
        <w:t>3.6 工程照管与成品、半成品保护</w:t>
      </w:r>
    </w:p>
    <w:p w14:paraId="19107FC1">
      <w:pPr>
        <w:spacing w:before="120" w:after="120" w:line="360" w:lineRule="auto"/>
        <w:ind w:firstLine="600" w:firstLineChars="200"/>
        <w:rPr>
          <w:rFonts w:eastAsia="仿宋_GB2312"/>
          <w:color w:val="000000"/>
          <w:kern w:val="0"/>
          <w:sz w:val="30"/>
          <w:szCs w:val="32"/>
          <w:u w:val="single"/>
        </w:rPr>
      </w:pPr>
      <w:r>
        <w:rPr>
          <w:rFonts w:eastAsia="仿宋_GB2312"/>
          <w:color w:val="000000"/>
          <w:kern w:val="0"/>
          <w:sz w:val="30"/>
          <w:szCs w:val="32"/>
        </w:rPr>
        <w:t>承包人负责照管工程及工程相关的材料、工程设备的起始时间：</w:t>
      </w:r>
      <w:r>
        <w:rPr>
          <w:rFonts w:eastAsia="仿宋_GB2312"/>
          <w:color w:val="000000"/>
          <w:kern w:val="0"/>
          <w:sz w:val="30"/>
          <w:szCs w:val="32"/>
          <w:u w:val="single"/>
        </w:rPr>
        <w:t xml:space="preserve">  </w:t>
      </w:r>
      <w:r>
        <w:rPr>
          <w:rFonts w:hint="eastAsia" w:eastAsia="仿宋_GB2312"/>
          <w:sz w:val="30"/>
          <w:szCs w:val="32"/>
          <w:u w:val="single"/>
        </w:rPr>
        <w:t>按通用合同条款执行</w:t>
      </w:r>
      <w:r>
        <w:rPr>
          <w:rFonts w:eastAsia="仿宋_GB2312"/>
          <w:color w:val="000000"/>
          <w:kern w:val="0"/>
          <w:sz w:val="30"/>
          <w:szCs w:val="32"/>
          <w:u w:val="single"/>
        </w:rPr>
        <w:t xml:space="preserve">       </w:t>
      </w:r>
      <w:r>
        <w:rPr>
          <w:rFonts w:eastAsia="仿宋_GB2312"/>
          <w:color w:val="000000"/>
          <w:kern w:val="0"/>
          <w:sz w:val="30"/>
          <w:szCs w:val="32"/>
        </w:rPr>
        <w:t>。</w:t>
      </w:r>
    </w:p>
    <w:p w14:paraId="43D3269C">
      <w:pPr>
        <w:spacing w:after="120" w:line="360" w:lineRule="auto"/>
        <w:ind w:firstLine="600" w:firstLineChars="200"/>
        <w:rPr>
          <w:rFonts w:eastAsia="黑体"/>
          <w:color w:val="000000"/>
          <w:sz w:val="30"/>
          <w:szCs w:val="32"/>
        </w:rPr>
      </w:pPr>
      <w:r>
        <w:rPr>
          <w:rFonts w:eastAsia="黑体"/>
          <w:color w:val="000000"/>
          <w:sz w:val="30"/>
          <w:szCs w:val="32"/>
        </w:rPr>
        <w:t>3.7 履约担保</w:t>
      </w:r>
    </w:p>
    <w:p w14:paraId="486CCC8B">
      <w:pPr>
        <w:spacing w:line="360" w:lineRule="auto"/>
        <w:ind w:firstLine="600" w:firstLineChars="200"/>
        <w:jc w:val="left"/>
        <w:rPr>
          <w:rFonts w:eastAsia="仿宋_GB2312"/>
          <w:color w:val="000000"/>
          <w:sz w:val="30"/>
          <w:szCs w:val="32"/>
        </w:rPr>
      </w:pPr>
      <w:r>
        <w:rPr>
          <w:rFonts w:hint="eastAsia" w:eastAsia="仿宋_GB2312"/>
          <w:color w:val="000000"/>
          <w:sz w:val="30"/>
          <w:szCs w:val="32"/>
        </w:rPr>
        <w:t>承包人是否提供履约担保：</w:t>
      </w:r>
      <w:r>
        <w:rPr>
          <w:rFonts w:eastAsia="仿宋_GB2312"/>
          <w:color w:val="000000"/>
          <w:sz w:val="30"/>
          <w:szCs w:val="30"/>
          <w:u w:val="single"/>
        </w:rPr>
        <w:t xml:space="preserve">                      </w:t>
      </w:r>
      <w:r>
        <w:rPr>
          <w:rFonts w:eastAsia="仿宋_GB2312"/>
          <w:color w:val="000000"/>
          <w:sz w:val="30"/>
          <w:szCs w:val="32"/>
        </w:rPr>
        <w:t>。</w:t>
      </w:r>
    </w:p>
    <w:p w14:paraId="1E11E672">
      <w:pPr>
        <w:adjustRightInd w:val="0"/>
        <w:snapToGrid w:val="0"/>
        <w:spacing w:line="360" w:lineRule="auto"/>
        <w:ind w:firstLine="600" w:firstLineChars="200"/>
        <w:rPr>
          <w:rFonts w:eastAsia="仿宋_GB2312"/>
          <w:color w:val="000000"/>
          <w:sz w:val="30"/>
          <w:szCs w:val="32"/>
        </w:rPr>
      </w:pPr>
      <w:r>
        <w:rPr>
          <w:rFonts w:eastAsia="仿宋_GB2312"/>
          <w:color w:val="000000"/>
          <w:sz w:val="30"/>
          <w:szCs w:val="32"/>
        </w:rPr>
        <w:t>承包人提供履约担保的形式</w:t>
      </w:r>
      <w:r>
        <w:rPr>
          <w:rFonts w:hint="eastAsia" w:eastAsia="仿宋_GB2312"/>
          <w:color w:val="000000"/>
          <w:sz w:val="30"/>
          <w:szCs w:val="32"/>
        </w:rPr>
        <w:t>、金额及期限的</w:t>
      </w:r>
      <w:r>
        <w:rPr>
          <w:rFonts w:eastAsia="仿宋_GB2312"/>
          <w:color w:val="000000"/>
          <w:sz w:val="30"/>
          <w:szCs w:val="32"/>
        </w:rPr>
        <w:t>：</w:t>
      </w:r>
    </w:p>
    <w:p w14:paraId="2238E8F6">
      <w:pPr>
        <w:adjustRightInd w:val="0"/>
        <w:snapToGrid w:val="0"/>
        <w:spacing w:line="360" w:lineRule="auto"/>
        <w:ind w:firstLine="600" w:firstLineChars="200"/>
        <w:rPr>
          <w:rFonts w:eastAsia="仿宋_GB2312"/>
          <w:color w:val="000000"/>
          <w:sz w:val="30"/>
          <w:szCs w:val="32"/>
          <w:u w:val="single"/>
        </w:rPr>
      </w:pPr>
      <w:r>
        <w:rPr>
          <w:rFonts w:hint="eastAsia" w:eastAsia="仿宋_GB2312"/>
          <w:color w:val="000000"/>
          <w:sz w:val="30"/>
          <w:szCs w:val="32"/>
        </w:rPr>
        <w:t>担保形式：</w:t>
      </w:r>
      <w:r>
        <w:rPr>
          <w:rFonts w:eastAsia="仿宋_GB2312"/>
          <w:color w:val="000000"/>
          <w:sz w:val="30"/>
          <w:szCs w:val="30"/>
          <w:u w:val="single"/>
        </w:rPr>
        <w:t xml:space="preserve">                                   </w:t>
      </w:r>
      <w:r>
        <w:rPr>
          <w:rFonts w:hint="eastAsia" w:eastAsia="仿宋_GB2312"/>
          <w:color w:val="000000"/>
          <w:sz w:val="30"/>
          <w:szCs w:val="32"/>
        </w:rPr>
        <w:t>；</w:t>
      </w:r>
    </w:p>
    <w:p w14:paraId="6FD96962">
      <w:pPr>
        <w:adjustRightInd w:val="0"/>
        <w:snapToGrid w:val="0"/>
        <w:spacing w:line="360" w:lineRule="auto"/>
        <w:ind w:firstLine="600" w:firstLineChars="200"/>
        <w:rPr>
          <w:rFonts w:eastAsia="仿宋_GB2312"/>
          <w:color w:val="000000"/>
          <w:sz w:val="30"/>
          <w:szCs w:val="32"/>
          <w:u w:val="single"/>
        </w:rPr>
      </w:pPr>
      <w:r>
        <w:rPr>
          <w:rFonts w:hint="eastAsia" w:eastAsia="仿宋_GB2312"/>
          <w:color w:val="000000"/>
          <w:sz w:val="30"/>
          <w:szCs w:val="32"/>
        </w:rPr>
        <w:t>担保金额</w:t>
      </w:r>
      <w:r>
        <w:rPr>
          <w:rFonts w:hint="eastAsia" w:ascii="宋体" w:hAnsi="宋体"/>
          <w:snapToGrid w:val="0"/>
          <w:color w:val="000000"/>
          <w:szCs w:val="21"/>
        </w:rPr>
        <w:t>：</w:t>
      </w:r>
      <w:r>
        <w:rPr>
          <w:rFonts w:eastAsia="仿宋_GB2312"/>
          <w:color w:val="000000"/>
          <w:sz w:val="30"/>
          <w:szCs w:val="30"/>
          <w:u w:val="single"/>
        </w:rPr>
        <w:t xml:space="preserve">                                   </w:t>
      </w:r>
      <w:r>
        <w:rPr>
          <w:rFonts w:hint="eastAsia" w:eastAsia="仿宋_GB2312"/>
          <w:color w:val="000000"/>
          <w:sz w:val="30"/>
          <w:szCs w:val="32"/>
        </w:rPr>
        <w:t>；</w:t>
      </w:r>
    </w:p>
    <w:p w14:paraId="2EBCF115">
      <w:pPr>
        <w:adjustRightInd w:val="0"/>
        <w:snapToGrid w:val="0"/>
        <w:spacing w:line="360" w:lineRule="auto"/>
        <w:ind w:firstLine="600" w:firstLineChars="200"/>
        <w:rPr>
          <w:rFonts w:eastAsia="仿宋_GB2312"/>
          <w:color w:val="000000"/>
          <w:sz w:val="30"/>
          <w:szCs w:val="32"/>
        </w:rPr>
      </w:pPr>
      <w:r>
        <w:rPr>
          <w:rFonts w:hint="eastAsia" w:eastAsia="仿宋_GB2312"/>
          <w:color w:val="000000"/>
          <w:sz w:val="30"/>
          <w:szCs w:val="32"/>
        </w:rPr>
        <w:t>履约担保期限</w:t>
      </w:r>
      <w:r>
        <w:rPr>
          <w:rFonts w:hint="eastAsia" w:ascii="宋体" w:hAnsi="宋体"/>
          <w:snapToGrid w:val="0"/>
          <w:color w:val="000000"/>
          <w:szCs w:val="21"/>
        </w:rPr>
        <w:t>：</w:t>
      </w:r>
      <w:r>
        <w:rPr>
          <w:rFonts w:hint="eastAsia" w:eastAsia="仿宋_GB2312"/>
          <w:color w:val="000000"/>
          <w:sz w:val="30"/>
          <w:szCs w:val="32"/>
          <w:u w:val="single"/>
        </w:rPr>
        <w:t>自提交履约担保至竣工验收合格之日止</w:t>
      </w:r>
      <w:r>
        <w:rPr>
          <w:rFonts w:hint="eastAsia" w:eastAsia="仿宋_GB2312"/>
          <w:color w:val="000000"/>
          <w:sz w:val="30"/>
          <w:szCs w:val="32"/>
        </w:rPr>
        <w:t>；</w:t>
      </w:r>
    </w:p>
    <w:p w14:paraId="194A7732">
      <w:pPr>
        <w:pStyle w:val="8"/>
        <w:ind w:left="63" w:right="63" w:firstLine="600" w:firstLineChars="200"/>
        <w:rPr>
          <w:rFonts w:eastAsia="仿宋_GB2312"/>
          <w:color w:val="000000"/>
          <w:sz w:val="30"/>
          <w:szCs w:val="32"/>
        </w:rPr>
      </w:pPr>
      <w:r>
        <w:rPr>
          <w:rFonts w:hint="eastAsia" w:eastAsia="仿宋_GB2312"/>
          <w:color w:val="000000"/>
          <w:sz w:val="30"/>
          <w:szCs w:val="32"/>
        </w:rPr>
        <w:t>履约担保提交时间：</w:t>
      </w:r>
      <w:r>
        <w:rPr>
          <w:rFonts w:eastAsia="仿宋_GB2312"/>
          <w:color w:val="000000"/>
          <w:sz w:val="30"/>
          <w:szCs w:val="30"/>
          <w:u w:val="single"/>
        </w:rPr>
        <w:t xml:space="preserve">                          </w:t>
      </w:r>
      <w:r>
        <w:rPr>
          <w:rFonts w:hint="eastAsia" w:eastAsia="仿宋_GB2312"/>
          <w:color w:val="000000"/>
          <w:sz w:val="30"/>
          <w:szCs w:val="32"/>
        </w:rPr>
        <w:t>逾期提交履约担保发包人有权单方解除合同，不承担违约责任。承包人应于发包人解除合同之日起5日内向发包人支付逾期提交履约担保违约金，违约金金额为：</w:t>
      </w:r>
      <w:r>
        <w:rPr>
          <w:rFonts w:hint="eastAsia" w:eastAsia="仿宋_GB2312"/>
          <w:color w:val="000000"/>
          <w:sz w:val="30"/>
          <w:szCs w:val="32"/>
          <w:u w:val="single"/>
        </w:rPr>
        <w:t>合同金额的2</w:t>
      </w:r>
      <w:r>
        <w:rPr>
          <w:rFonts w:eastAsia="仿宋_GB2312"/>
          <w:color w:val="000000"/>
          <w:sz w:val="30"/>
          <w:szCs w:val="32"/>
          <w:u w:val="single"/>
        </w:rPr>
        <w:t>%</w:t>
      </w:r>
      <w:r>
        <w:rPr>
          <w:rFonts w:hint="eastAsia" w:eastAsia="仿宋_GB2312"/>
          <w:color w:val="000000"/>
          <w:sz w:val="30"/>
          <w:szCs w:val="32"/>
        </w:rPr>
        <w:t>。逾期支付，承包人应额外向发包人支付未付违约金金额0.5‰/天的逾期违约金直至完全支付时。</w:t>
      </w:r>
    </w:p>
    <w:p w14:paraId="685443D4">
      <w:pPr>
        <w:pStyle w:val="8"/>
        <w:ind w:left="63" w:right="63" w:firstLine="600" w:firstLineChars="200"/>
        <w:rPr>
          <w:rFonts w:eastAsia="仿宋_GB2312"/>
          <w:color w:val="000000"/>
          <w:sz w:val="30"/>
          <w:szCs w:val="32"/>
        </w:rPr>
      </w:pPr>
      <w:r>
        <w:rPr>
          <w:rFonts w:hint="eastAsia" w:eastAsia="仿宋_GB2312"/>
          <w:color w:val="000000"/>
          <w:sz w:val="30"/>
          <w:szCs w:val="32"/>
        </w:rPr>
        <w:t>履约担保退还时间</w:t>
      </w:r>
      <w:r>
        <w:rPr>
          <w:rFonts w:hint="eastAsia" w:ascii="宋体" w:hAnsi="宋体"/>
          <w:snapToGrid w:val="0"/>
          <w:color w:val="000000"/>
          <w:szCs w:val="21"/>
        </w:rPr>
        <w:t>：</w:t>
      </w:r>
      <w:r>
        <w:rPr>
          <w:rFonts w:hint="eastAsia" w:eastAsia="仿宋_GB2312"/>
          <w:color w:val="000000"/>
          <w:sz w:val="30"/>
          <w:szCs w:val="32"/>
          <w:u w:val="single"/>
        </w:rPr>
        <w:t xml:space="preserve">竣工验收合格15个工作日内，发包人向承包人无息退还   </w:t>
      </w:r>
      <w:r>
        <w:rPr>
          <w:rFonts w:hint="eastAsia" w:eastAsia="仿宋_GB2312"/>
          <w:color w:val="000000"/>
          <w:sz w:val="30"/>
          <w:szCs w:val="32"/>
        </w:rPr>
        <w:t>。</w:t>
      </w:r>
    </w:p>
    <w:p w14:paraId="7D316222">
      <w:pPr>
        <w:spacing w:line="360" w:lineRule="auto"/>
        <w:ind w:firstLine="600" w:firstLineChars="200"/>
        <w:jc w:val="left"/>
        <w:rPr>
          <w:rFonts w:eastAsia="仿宋_GB2312"/>
          <w:color w:val="000000"/>
          <w:sz w:val="30"/>
          <w:szCs w:val="32"/>
        </w:rPr>
      </w:pPr>
      <w:r>
        <w:rPr>
          <w:rFonts w:hint="eastAsia" w:eastAsia="仿宋_GB2312"/>
          <w:color w:val="000000"/>
          <w:sz w:val="30"/>
          <w:szCs w:val="32"/>
        </w:rPr>
        <w:t>承包人同意发包人直接从承包人缴纳的履约保证金中扣除承包人违约金、承包人支付或承担的费用。发包人扣除后承包人应立即补足履约保证金至合同约定的担保金额。承包人逾期10天未补足，发包人有权单方解除合同，发包人不承担违约责任，且承包人应向发包人支付违约金十万元。</w:t>
      </w:r>
    </w:p>
    <w:p w14:paraId="762BC0B5">
      <w:pPr>
        <w:spacing w:line="360" w:lineRule="auto"/>
        <w:ind w:firstLine="600" w:firstLineChars="200"/>
        <w:jc w:val="left"/>
        <w:rPr>
          <w:rFonts w:eastAsia="仿宋_GB2312"/>
          <w:color w:val="000000"/>
          <w:sz w:val="30"/>
          <w:szCs w:val="32"/>
        </w:rPr>
      </w:pPr>
      <w:r>
        <w:rPr>
          <w:rFonts w:eastAsia="仿宋_GB2312"/>
          <w:color w:val="000000"/>
          <w:sz w:val="30"/>
          <w:szCs w:val="32"/>
        </w:rPr>
        <w:t>3.8</w:t>
      </w:r>
      <w:r>
        <w:rPr>
          <w:rFonts w:hint="eastAsia" w:eastAsia="仿宋_GB2312"/>
          <w:color w:val="000000"/>
          <w:sz w:val="30"/>
          <w:szCs w:val="32"/>
        </w:rPr>
        <w:t>农民工工资专用账户管理及银行代发制度：/</w:t>
      </w:r>
    </w:p>
    <w:p w14:paraId="20ECD40B">
      <w:pPr>
        <w:pStyle w:val="8"/>
        <w:ind w:left="63" w:right="63" w:firstLine="600" w:firstLineChars="200"/>
        <w:rPr>
          <w:rFonts w:eastAsia="仿宋_GB2312"/>
          <w:color w:val="000000"/>
          <w:sz w:val="30"/>
          <w:szCs w:val="32"/>
        </w:rPr>
      </w:pPr>
      <w:r>
        <w:rPr>
          <w:rFonts w:hint="eastAsia" w:eastAsia="仿宋_GB2312"/>
          <w:color w:val="000000"/>
          <w:sz w:val="30"/>
          <w:szCs w:val="32"/>
        </w:rPr>
        <w:t>3.9低价风险保证金：/</w:t>
      </w:r>
    </w:p>
    <w:p w14:paraId="57A3D609">
      <w:pPr>
        <w:spacing w:line="360" w:lineRule="auto"/>
        <w:ind w:firstLine="600" w:firstLineChars="200"/>
        <w:jc w:val="left"/>
        <w:rPr>
          <w:rFonts w:eastAsia="仿宋_GB2312"/>
          <w:sz w:val="30"/>
          <w:szCs w:val="32"/>
        </w:rPr>
      </w:pPr>
      <w:r>
        <w:rPr>
          <w:rFonts w:eastAsia="仿宋_GB2312"/>
          <w:sz w:val="30"/>
          <w:szCs w:val="32"/>
        </w:rPr>
        <w:t>3.10</w:t>
      </w:r>
      <w:r>
        <w:rPr>
          <w:rFonts w:hint="eastAsia" w:eastAsia="仿宋_GB2312"/>
          <w:sz w:val="30"/>
          <w:szCs w:val="32"/>
        </w:rPr>
        <w:t>民工工资保证金</w:t>
      </w:r>
      <w:r>
        <w:rPr>
          <w:rFonts w:eastAsia="仿宋_GB2312"/>
          <w:sz w:val="30"/>
          <w:szCs w:val="32"/>
        </w:rPr>
        <w:t>：</w:t>
      </w:r>
      <w:r>
        <w:rPr>
          <w:rFonts w:hint="eastAsia" w:eastAsia="仿宋_GB2312"/>
          <w:sz w:val="30"/>
          <w:szCs w:val="32"/>
        </w:rPr>
        <w:t>/</w:t>
      </w:r>
    </w:p>
    <w:p w14:paraId="049498C6">
      <w:pPr>
        <w:spacing w:line="360" w:lineRule="auto"/>
        <w:ind w:firstLine="600" w:firstLineChars="200"/>
        <w:jc w:val="left"/>
        <w:rPr>
          <w:rFonts w:eastAsia="仿宋_GB2312"/>
          <w:sz w:val="30"/>
          <w:szCs w:val="32"/>
        </w:rPr>
      </w:pPr>
      <w:r>
        <w:rPr>
          <w:rFonts w:eastAsia="仿宋_GB2312"/>
          <w:sz w:val="30"/>
          <w:szCs w:val="32"/>
        </w:rPr>
        <w:t>3.11</w:t>
      </w:r>
      <w:r>
        <w:rPr>
          <w:rFonts w:hint="eastAsia" w:eastAsia="仿宋_GB2312"/>
          <w:sz w:val="30"/>
          <w:szCs w:val="32"/>
        </w:rPr>
        <w:t>安全生产履约保证金</w:t>
      </w:r>
    </w:p>
    <w:p w14:paraId="178AAF04">
      <w:pPr>
        <w:adjustRightInd w:val="0"/>
        <w:snapToGrid w:val="0"/>
        <w:spacing w:line="360" w:lineRule="auto"/>
        <w:ind w:firstLine="600" w:firstLineChars="200"/>
        <w:rPr>
          <w:rFonts w:eastAsia="仿宋_GB2312"/>
          <w:color w:val="000000"/>
          <w:sz w:val="30"/>
          <w:szCs w:val="32"/>
        </w:rPr>
      </w:pPr>
      <w:bookmarkStart w:id="181" w:name="_Toc351203636"/>
      <w:r>
        <w:rPr>
          <w:rFonts w:eastAsia="仿宋_GB2312"/>
          <w:color w:val="000000"/>
          <w:sz w:val="30"/>
          <w:szCs w:val="32"/>
        </w:rPr>
        <w:t>承包人提供履约担保的形式</w:t>
      </w:r>
      <w:r>
        <w:rPr>
          <w:rFonts w:hint="eastAsia" w:eastAsia="仿宋_GB2312"/>
          <w:color w:val="000000"/>
          <w:sz w:val="30"/>
          <w:szCs w:val="32"/>
        </w:rPr>
        <w:t>、金额及期限的</w:t>
      </w:r>
      <w:r>
        <w:rPr>
          <w:rFonts w:eastAsia="仿宋_GB2312"/>
          <w:color w:val="000000"/>
          <w:sz w:val="30"/>
          <w:szCs w:val="32"/>
        </w:rPr>
        <w:t>：</w:t>
      </w:r>
    </w:p>
    <w:p w14:paraId="547832D9">
      <w:pPr>
        <w:adjustRightInd w:val="0"/>
        <w:snapToGrid w:val="0"/>
        <w:spacing w:line="360" w:lineRule="auto"/>
        <w:ind w:firstLine="600" w:firstLineChars="200"/>
        <w:rPr>
          <w:rFonts w:eastAsia="仿宋_GB2312"/>
          <w:color w:val="000000"/>
          <w:sz w:val="30"/>
          <w:szCs w:val="32"/>
          <w:u w:val="single"/>
        </w:rPr>
      </w:pPr>
      <w:r>
        <w:rPr>
          <w:rFonts w:hint="eastAsia" w:eastAsia="仿宋_GB2312"/>
          <w:color w:val="000000"/>
          <w:sz w:val="30"/>
          <w:szCs w:val="32"/>
        </w:rPr>
        <w:t>缴纳时间：</w:t>
      </w:r>
      <w:r>
        <w:rPr>
          <w:rFonts w:hint="eastAsia" w:eastAsia="仿宋_GB2312"/>
          <w:color w:val="000000"/>
          <w:sz w:val="30"/>
          <w:szCs w:val="32"/>
          <w:u w:val="single"/>
        </w:rPr>
        <w:t xml:space="preserve">承包商在签订合同后，入厂施工作业前足额交纳安全生产履约保证金。  </w:t>
      </w:r>
      <w:r>
        <w:rPr>
          <w:rFonts w:hint="eastAsia" w:eastAsia="仿宋_GB2312"/>
          <w:color w:val="000000"/>
          <w:sz w:val="30"/>
          <w:szCs w:val="32"/>
        </w:rPr>
        <w:t>；</w:t>
      </w:r>
    </w:p>
    <w:p w14:paraId="0D71650E">
      <w:pPr>
        <w:adjustRightInd w:val="0"/>
        <w:snapToGrid w:val="0"/>
        <w:spacing w:line="360" w:lineRule="auto"/>
        <w:ind w:firstLine="600" w:firstLineChars="200"/>
        <w:rPr>
          <w:rFonts w:eastAsia="仿宋_GB2312"/>
          <w:color w:val="000000"/>
          <w:sz w:val="30"/>
          <w:szCs w:val="32"/>
          <w:u w:val="single"/>
        </w:rPr>
      </w:pPr>
      <w:r>
        <w:rPr>
          <w:rFonts w:hint="eastAsia" w:eastAsia="仿宋_GB2312"/>
          <w:color w:val="000000"/>
          <w:sz w:val="30"/>
          <w:szCs w:val="32"/>
        </w:rPr>
        <w:t>担保形式：</w:t>
      </w:r>
      <w:r>
        <w:rPr>
          <w:rFonts w:hint="eastAsia" w:eastAsia="仿宋_GB2312"/>
          <w:color w:val="000000"/>
          <w:sz w:val="30"/>
          <w:szCs w:val="32"/>
          <w:u w:val="single"/>
        </w:rPr>
        <w:t xml:space="preserve"> 现金或银行保函或现金+银行保函的组合；采用银行保函形式的，保函必须为不可撤销且见索即付   </w:t>
      </w:r>
      <w:r>
        <w:rPr>
          <w:rFonts w:hint="eastAsia" w:eastAsia="仿宋_GB2312"/>
          <w:color w:val="000000"/>
          <w:sz w:val="30"/>
          <w:szCs w:val="32"/>
        </w:rPr>
        <w:t>；</w:t>
      </w:r>
    </w:p>
    <w:p w14:paraId="1805619E">
      <w:pPr>
        <w:adjustRightInd w:val="0"/>
        <w:snapToGrid w:val="0"/>
        <w:spacing w:line="360" w:lineRule="auto"/>
        <w:ind w:firstLine="600" w:firstLineChars="200"/>
        <w:rPr>
          <w:rFonts w:eastAsia="仿宋_GB2312"/>
          <w:color w:val="000000"/>
          <w:sz w:val="30"/>
          <w:szCs w:val="32"/>
          <w:u w:val="single"/>
        </w:rPr>
      </w:pPr>
      <w:r>
        <w:rPr>
          <w:rFonts w:hint="eastAsia" w:eastAsia="仿宋_GB2312"/>
          <w:color w:val="000000"/>
          <w:sz w:val="30"/>
          <w:szCs w:val="32"/>
        </w:rPr>
        <w:t>担保金额</w:t>
      </w:r>
      <w:r>
        <w:rPr>
          <w:rFonts w:hint="eastAsia" w:ascii="宋体" w:hAnsi="宋体"/>
          <w:snapToGrid w:val="0"/>
          <w:color w:val="000000"/>
          <w:szCs w:val="21"/>
        </w:rPr>
        <w:t>：</w:t>
      </w:r>
      <w:r>
        <w:rPr>
          <w:rFonts w:hint="eastAsia" w:eastAsia="仿宋_GB2312"/>
          <w:color w:val="000000"/>
          <w:sz w:val="30"/>
          <w:szCs w:val="32"/>
          <w:u w:val="single"/>
        </w:rPr>
        <w:t>承包商安全生产履约保证金缴纳数额根据承担工程量大小和安全绩效评价结果进行缴纳。</w:t>
      </w:r>
    </w:p>
    <w:tbl>
      <w:tblPr>
        <w:tblStyle w:val="20"/>
        <w:tblW w:w="0" w:type="auto"/>
        <w:tblInd w:w="6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89"/>
        <w:gridCol w:w="2992"/>
        <w:gridCol w:w="2992"/>
      </w:tblGrid>
      <w:tr w14:paraId="03472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89" w:type="dxa"/>
          </w:tcPr>
          <w:p w14:paraId="2580BD0D">
            <w:pPr>
              <w:pStyle w:val="8"/>
              <w:ind w:right="63"/>
              <w:rPr>
                <w:rFonts w:eastAsia="等线"/>
              </w:rPr>
            </w:pPr>
            <w:r>
              <w:rPr>
                <w:rFonts w:hint="eastAsia" w:eastAsia="等线"/>
              </w:rPr>
              <w:t>序号</w:t>
            </w:r>
          </w:p>
        </w:tc>
        <w:tc>
          <w:tcPr>
            <w:tcW w:w="2992" w:type="dxa"/>
          </w:tcPr>
          <w:p w14:paraId="5A3625D5">
            <w:pPr>
              <w:pStyle w:val="8"/>
              <w:ind w:right="63"/>
              <w:rPr>
                <w:rFonts w:eastAsia="等线"/>
              </w:rPr>
            </w:pPr>
            <w:r>
              <w:rPr>
                <w:rFonts w:hint="eastAsia" w:eastAsia="等线"/>
              </w:rPr>
              <w:t>承包商业务类型</w:t>
            </w:r>
          </w:p>
        </w:tc>
        <w:tc>
          <w:tcPr>
            <w:tcW w:w="2992" w:type="dxa"/>
          </w:tcPr>
          <w:p w14:paraId="57E5906E">
            <w:pPr>
              <w:pStyle w:val="8"/>
              <w:ind w:right="63"/>
              <w:rPr>
                <w:rFonts w:eastAsia="等线"/>
              </w:rPr>
            </w:pPr>
            <w:r>
              <w:rPr>
                <w:rFonts w:hint="eastAsia" w:eastAsia="等线"/>
              </w:rPr>
              <w:t>安全生产履约保证金交纳金额</w:t>
            </w:r>
          </w:p>
        </w:tc>
      </w:tr>
      <w:tr w14:paraId="6C8E1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89" w:type="dxa"/>
          </w:tcPr>
          <w:p w14:paraId="3E67F25D">
            <w:pPr>
              <w:pStyle w:val="8"/>
              <w:ind w:right="63"/>
              <w:rPr>
                <w:rFonts w:eastAsia="等线"/>
              </w:rPr>
            </w:pPr>
            <w:r>
              <w:rPr>
                <w:rFonts w:hint="eastAsia" w:eastAsia="等线"/>
              </w:rPr>
              <w:t>1</w:t>
            </w:r>
          </w:p>
        </w:tc>
        <w:tc>
          <w:tcPr>
            <w:tcW w:w="2992" w:type="dxa"/>
          </w:tcPr>
          <w:p w14:paraId="79378C5C">
            <w:pPr>
              <w:pStyle w:val="8"/>
              <w:ind w:right="63"/>
              <w:rPr>
                <w:rFonts w:eastAsia="等线"/>
              </w:rPr>
            </w:pPr>
            <w:r>
              <w:rPr>
                <w:rFonts w:hint="eastAsia" w:eastAsia="等线"/>
              </w:rPr>
              <w:t>土建工程项目、安装工程项目、设备维修维保项目</w:t>
            </w:r>
          </w:p>
        </w:tc>
        <w:tc>
          <w:tcPr>
            <w:tcW w:w="2992" w:type="dxa"/>
          </w:tcPr>
          <w:p w14:paraId="398F4F97">
            <w:pPr>
              <w:pStyle w:val="8"/>
              <w:ind w:right="63"/>
              <w:rPr>
                <w:rFonts w:eastAsia="等线"/>
              </w:rPr>
            </w:pPr>
            <w:r>
              <w:rPr>
                <w:rFonts w:hint="eastAsia" w:eastAsia="等线"/>
              </w:rPr>
              <w:t>按照合同标的物总额的5%进行缴纳,最低缴纳1万元，最高交纳200万元。</w:t>
            </w:r>
          </w:p>
        </w:tc>
      </w:tr>
      <w:tr w14:paraId="4B3B6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89" w:type="dxa"/>
          </w:tcPr>
          <w:p w14:paraId="5B76591C">
            <w:pPr>
              <w:pStyle w:val="8"/>
              <w:ind w:right="63"/>
              <w:rPr>
                <w:rFonts w:eastAsia="等线"/>
              </w:rPr>
            </w:pPr>
            <w:r>
              <w:rPr>
                <w:rFonts w:hint="eastAsia" w:eastAsia="等线"/>
              </w:rPr>
              <w:t>2</w:t>
            </w:r>
          </w:p>
        </w:tc>
        <w:tc>
          <w:tcPr>
            <w:tcW w:w="2992" w:type="dxa"/>
          </w:tcPr>
          <w:p w14:paraId="10BAF3A2">
            <w:pPr>
              <w:pStyle w:val="8"/>
              <w:ind w:right="63"/>
              <w:rPr>
                <w:rFonts w:eastAsia="等线"/>
              </w:rPr>
            </w:pPr>
            <w:r>
              <w:rPr>
                <w:rFonts w:hint="eastAsia" w:eastAsia="等线"/>
              </w:rPr>
              <w:t>公司原辅料、产品运输</w:t>
            </w:r>
          </w:p>
        </w:tc>
        <w:tc>
          <w:tcPr>
            <w:tcW w:w="2992" w:type="dxa"/>
            <w:vMerge w:val="restart"/>
          </w:tcPr>
          <w:p w14:paraId="0056DFC6">
            <w:pPr>
              <w:pStyle w:val="8"/>
              <w:ind w:right="63"/>
              <w:rPr>
                <w:rFonts w:eastAsia="等线"/>
              </w:rPr>
            </w:pPr>
            <w:r>
              <w:rPr>
                <w:rFonts w:hint="eastAsia" w:eastAsia="等线"/>
              </w:rPr>
              <w:t>按照合同标的物总额的1%进行缴纳,最低缴纳10万元,最高交纳100万元。</w:t>
            </w:r>
          </w:p>
        </w:tc>
      </w:tr>
      <w:tr w14:paraId="1457E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89" w:type="dxa"/>
          </w:tcPr>
          <w:p w14:paraId="5B0EA922">
            <w:pPr>
              <w:pStyle w:val="8"/>
              <w:ind w:right="63"/>
              <w:rPr>
                <w:rFonts w:eastAsia="等线"/>
              </w:rPr>
            </w:pPr>
            <w:r>
              <w:rPr>
                <w:rFonts w:hint="eastAsia" w:eastAsia="等线"/>
              </w:rPr>
              <w:t>3</w:t>
            </w:r>
          </w:p>
        </w:tc>
        <w:tc>
          <w:tcPr>
            <w:tcW w:w="2992" w:type="dxa"/>
          </w:tcPr>
          <w:p w14:paraId="59220AD6">
            <w:pPr>
              <w:pStyle w:val="8"/>
              <w:ind w:right="63"/>
              <w:rPr>
                <w:rFonts w:eastAsia="等线"/>
              </w:rPr>
            </w:pPr>
            <w:r>
              <w:rPr>
                <w:rFonts w:hint="eastAsia" w:eastAsia="等线"/>
              </w:rPr>
              <w:t>承租公司设备、厂房</w:t>
            </w:r>
          </w:p>
        </w:tc>
        <w:tc>
          <w:tcPr>
            <w:tcW w:w="2992" w:type="dxa"/>
            <w:vMerge w:val="continue"/>
          </w:tcPr>
          <w:p w14:paraId="38478FB6">
            <w:pPr>
              <w:pStyle w:val="8"/>
              <w:ind w:right="63"/>
              <w:rPr>
                <w:rFonts w:eastAsia="等线"/>
              </w:rPr>
            </w:pPr>
          </w:p>
        </w:tc>
      </w:tr>
      <w:tr w14:paraId="2C69B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89" w:type="dxa"/>
          </w:tcPr>
          <w:p w14:paraId="49BAED56">
            <w:pPr>
              <w:pStyle w:val="8"/>
              <w:ind w:right="63"/>
              <w:rPr>
                <w:rFonts w:eastAsia="等线"/>
              </w:rPr>
            </w:pPr>
            <w:r>
              <w:rPr>
                <w:rFonts w:hint="eastAsia" w:eastAsia="等线"/>
              </w:rPr>
              <w:t>4</w:t>
            </w:r>
          </w:p>
        </w:tc>
        <w:tc>
          <w:tcPr>
            <w:tcW w:w="2992" w:type="dxa"/>
          </w:tcPr>
          <w:p w14:paraId="262EC9A0">
            <w:pPr>
              <w:pStyle w:val="8"/>
              <w:ind w:right="63"/>
              <w:rPr>
                <w:rFonts w:eastAsia="等线"/>
              </w:rPr>
            </w:pPr>
            <w:r>
              <w:rPr>
                <w:rFonts w:hint="eastAsia" w:eastAsia="等线"/>
              </w:rPr>
              <w:t>在公司内投资建厂（装置)</w:t>
            </w:r>
          </w:p>
        </w:tc>
        <w:tc>
          <w:tcPr>
            <w:tcW w:w="2992" w:type="dxa"/>
            <w:vMerge w:val="continue"/>
          </w:tcPr>
          <w:p w14:paraId="1335D321">
            <w:pPr>
              <w:pStyle w:val="8"/>
              <w:ind w:right="63"/>
              <w:rPr>
                <w:rFonts w:eastAsia="等线"/>
              </w:rPr>
            </w:pPr>
          </w:p>
        </w:tc>
      </w:tr>
      <w:tr w14:paraId="6D79F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89" w:type="dxa"/>
          </w:tcPr>
          <w:p w14:paraId="0C735417">
            <w:pPr>
              <w:pStyle w:val="8"/>
              <w:ind w:right="63"/>
              <w:rPr>
                <w:rFonts w:eastAsia="等线"/>
              </w:rPr>
            </w:pPr>
            <w:r>
              <w:rPr>
                <w:rFonts w:hint="eastAsia" w:eastAsia="等线"/>
              </w:rPr>
              <w:t>5</w:t>
            </w:r>
          </w:p>
        </w:tc>
        <w:tc>
          <w:tcPr>
            <w:tcW w:w="2992" w:type="dxa"/>
          </w:tcPr>
          <w:p w14:paraId="1F89615E">
            <w:pPr>
              <w:pStyle w:val="8"/>
              <w:ind w:right="63"/>
              <w:rPr>
                <w:rFonts w:eastAsia="等线"/>
              </w:rPr>
            </w:pPr>
            <w:r>
              <w:rPr>
                <w:rFonts w:hint="eastAsia" w:eastAsia="等线"/>
              </w:rPr>
              <w:t>食堂、回收废弃物处置</w:t>
            </w:r>
          </w:p>
        </w:tc>
        <w:tc>
          <w:tcPr>
            <w:tcW w:w="2992" w:type="dxa"/>
          </w:tcPr>
          <w:p w14:paraId="0FA1488C">
            <w:pPr>
              <w:pStyle w:val="8"/>
              <w:ind w:right="63"/>
              <w:rPr>
                <w:rFonts w:eastAsia="等线"/>
              </w:rPr>
            </w:pPr>
            <w:r>
              <w:rPr>
                <w:rFonts w:hint="eastAsia" w:eastAsia="等线"/>
              </w:rPr>
              <w:t>按照预计年度结算金额的1%进行缴纳，最低缴纳5万元，最高20万元。</w:t>
            </w:r>
          </w:p>
        </w:tc>
      </w:tr>
      <w:tr w14:paraId="416FD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73" w:type="dxa"/>
            <w:gridSpan w:val="3"/>
          </w:tcPr>
          <w:p w14:paraId="1BCD557B">
            <w:pPr>
              <w:pStyle w:val="8"/>
              <w:ind w:right="63"/>
              <w:rPr>
                <w:rFonts w:eastAsia="等线"/>
              </w:rPr>
            </w:pPr>
            <w:r>
              <w:rPr>
                <w:rFonts w:hint="eastAsia" w:eastAsia="等线"/>
              </w:rPr>
              <w:t xml:space="preserve"> </w:t>
            </w:r>
            <w:r>
              <w:rPr>
                <w:rFonts w:eastAsia="等线"/>
              </w:rPr>
              <w:t xml:space="preserve">   </w:t>
            </w:r>
            <w:r>
              <w:rPr>
                <w:rFonts w:hint="eastAsia" w:eastAsia="等线"/>
              </w:rPr>
              <w:t>从事除上述情况以外在公司厂区内作业活动的承包商，年度结算费用在50万元(或累计）以上，安全生产履约保证金按结算费用的1%进行缴纳，安全生产履约保证金最低5万元，最高不超过100万元。年度结算费用在50万元以下的由各单位根据实际情况确定，安全生产履约保证金为1-5万元。</w:t>
            </w:r>
          </w:p>
        </w:tc>
      </w:tr>
    </w:tbl>
    <w:p w14:paraId="182AE47A">
      <w:pPr>
        <w:adjustRightInd w:val="0"/>
        <w:snapToGrid w:val="0"/>
        <w:spacing w:line="360" w:lineRule="auto"/>
        <w:ind w:firstLine="600" w:firstLineChars="200"/>
        <w:rPr>
          <w:rFonts w:eastAsia="仿宋_GB2312"/>
          <w:color w:val="000000"/>
          <w:sz w:val="30"/>
          <w:szCs w:val="32"/>
        </w:rPr>
      </w:pPr>
    </w:p>
    <w:p w14:paraId="503C8165">
      <w:pPr>
        <w:adjustRightInd w:val="0"/>
        <w:snapToGrid w:val="0"/>
        <w:spacing w:line="360" w:lineRule="auto"/>
        <w:ind w:firstLine="600" w:firstLineChars="200"/>
        <w:rPr>
          <w:rFonts w:eastAsia="仿宋_GB2312"/>
          <w:color w:val="000000"/>
          <w:sz w:val="30"/>
          <w:szCs w:val="32"/>
          <w:u w:val="single"/>
        </w:rPr>
      </w:pPr>
      <w:r>
        <w:rPr>
          <w:rFonts w:hint="eastAsia" w:eastAsia="仿宋_GB2312"/>
          <w:color w:val="000000"/>
          <w:sz w:val="30"/>
          <w:szCs w:val="32"/>
        </w:rPr>
        <w:t>履约担保期限</w:t>
      </w:r>
      <w:r>
        <w:rPr>
          <w:rFonts w:hint="eastAsia" w:ascii="宋体" w:hAnsi="宋体"/>
          <w:snapToGrid w:val="0"/>
          <w:color w:val="000000"/>
          <w:szCs w:val="21"/>
        </w:rPr>
        <w:t>：</w:t>
      </w:r>
      <w:r>
        <w:rPr>
          <w:rFonts w:hint="eastAsia" w:eastAsia="仿宋_GB2312"/>
          <w:color w:val="000000"/>
          <w:sz w:val="30"/>
          <w:szCs w:val="32"/>
          <w:u w:val="single"/>
        </w:rPr>
        <w:t>自提交履约担保至竣工验收合格之日止</w:t>
      </w:r>
      <w:r>
        <w:rPr>
          <w:rFonts w:hint="eastAsia" w:eastAsia="仿宋_GB2312"/>
          <w:color w:val="000000"/>
          <w:sz w:val="30"/>
          <w:szCs w:val="32"/>
        </w:rPr>
        <w:t>；</w:t>
      </w:r>
    </w:p>
    <w:p w14:paraId="7BF10EB7">
      <w:pPr>
        <w:spacing w:line="360" w:lineRule="auto"/>
        <w:ind w:firstLine="600" w:firstLineChars="200"/>
        <w:jc w:val="left"/>
        <w:rPr>
          <w:rFonts w:eastAsia="仿宋_GB2312"/>
          <w:color w:val="000000"/>
          <w:sz w:val="30"/>
          <w:szCs w:val="32"/>
        </w:rPr>
      </w:pPr>
      <w:r>
        <w:rPr>
          <w:rFonts w:hint="eastAsia" w:eastAsia="仿宋_GB2312"/>
          <w:color w:val="000000"/>
          <w:sz w:val="30"/>
          <w:szCs w:val="32"/>
        </w:rPr>
        <w:t>履约担保退还时间</w:t>
      </w:r>
      <w:r>
        <w:rPr>
          <w:rFonts w:hint="eastAsia" w:ascii="宋体" w:hAnsi="宋体"/>
          <w:snapToGrid w:val="0"/>
          <w:color w:val="000000"/>
          <w:szCs w:val="21"/>
        </w:rPr>
        <w:t>：</w:t>
      </w:r>
      <w:r>
        <w:rPr>
          <w:rFonts w:hint="eastAsia" w:eastAsia="仿宋_GB2312"/>
          <w:color w:val="000000"/>
          <w:sz w:val="30"/>
          <w:szCs w:val="32"/>
          <w:u w:val="single"/>
        </w:rPr>
        <w:t xml:space="preserve">竣工验收合格15个工作日内经安全违约结算扣除违约金后，发包人向承包人无息退还   </w:t>
      </w:r>
      <w:r>
        <w:rPr>
          <w:rFonts w:hint="eastAsia" w:eastAsia="仿宋_GB2312"/>
          <w:color w:val="000000"/>
          <w:sz w:val="30"/>
          <w:szCs w:val="32"/>
        </w:rPr>
        <w:t>。</w:t>
      </w:r>
    </w:p>
    <w:p w14:paraId="251AF350">
      <w:pPr>
        <w:pStyle w:val="8"/>
        <w:ind w:left="63" w:right="63"/>
        <w:rPr>
          <w:rFonts w:eastAsia="仿宋_GB2312"/>
          <w:color w:val="000000"/>
          <w:sz w:val="30"/>
          <w:szCs w:val="32"/>
        </w:rPr>
      </w:pPr>
      <w:r>
        <w:rPr>
          <w:rFonts w:hint="eastAsia"/>
        </w:rPr>
        <w:t xml:space="preserve"> </w:t>
      </w:r>
      <w:r>
        <w:t xml:space="preserve">     </w:t>
      </w:r>
      <w:r>
        <w:rPr>
          <w:rFonts w:hint="eastAsia" w:eastAsia="仿宋_GB2312"/>
          <w:color w:val="000000"/>
          <w:sz w:val="30"/>
          <w:szCs w:val="32"/>
        </w:rPr>
        <w:t>承包商年度考核评价为优秀等级的，安全生产履约保证金可以按标准比例的80%缴纳。</w:t>
      </w:r>
    </w:p>
    <w:p w14:paraId="6E024255">
      <w:pPr>
        <w:rPr>
          <w:rFonts w:eastAsia="仿宋_GB2312"/>
          <w:color w:val="000000"/>
          <w:sz w:val="30"/>
          <w:szCs w:val="32"/>
        </w:rPr>
      </w:pPr>
      <w:r>
        <w:rPr>
          <w:rFonts w:hint="eastAsia" w:eastAsia="仿宋_GB2312"/>
          <w:color w:val="000000"/>
          <w:sz w:val="30"/>
          <w:szCs w:val="32"/>
        </w:rPr>
        <w:t xml:space="preserve"> </w:t>
      </w:r>
      <w:r>
        <w:rPr>
          <w:rFonts w:eastAsia="仿宋_GB2312"/>
          <w:color w:val="000000"/>
          <w:sz w:val="30"/>
          <w:szCs w:val="32"/>
        </w:rPr>
        <w:t xml:space="preserve">   </w:t>
      </w:r>
      <w:r>
        <w:rPr>
          <w:rFonts w:hint="eastAsia" w:eastAsia="仿宋_GB2312"/>
          <w:color w:val="000000"/>
          <w:sz w:val="30"/>
          <w:szCs w:val="32"/>
        </w:rPr>
        <w:t>同一个承包商同公司内多家单位有合同约定的，以所需缴纳的安全生产履约保证金最高为缴纳金额，不重复缴纳，但需要提交由公司财务部出具的缴纳凭证复印件。</w:t>
      </w:r>
    </w:p>
    <w:p w14:paraId="485BA7C3">
      <w:pPr>
        <w:pStyle w:val="8"/>
        <w:ind w:left="63" w:right="63"/>
        <w:jc w:val="left"/>
        <w:rPr>
          <w:rFonts w:eastAsia="仿宋_GB2312"/>
          <w:color w:val="000000"/>
          <w:sz w:val="30"/>
          <w:szCs w:val="32"/>
        </w:rPr>
      </w:pPr>
      <w:r>
        <w:rPr>
          <w:rFonts w:eastAsia="仿宋_GB2312"/>
          <w:color w:val="000000"/>
          <w:sz w:val="30"/>
          <w:szCs w:val="32"/>
        </w:rPr>
        <w:t xml:space="preserve">   </w:t>
      </w:r>
      <w:r>
        <w:rPr>
          <w:rFonts w:hint="eastAsia" w:eastAsia="仿宋_GB2312"/>
          <w:color w:val="000000"/>
          <w:sz w:val="30"/>
          <w:szCs w:val="32"/>
        </w:rPr>
        <w:t>承包商属于公司内部单位的，可以不缴纳安全生产履约保证金。</w:t>
      </w:r>
    </w:p>
    <w:p w14:paraId="39D72016">
      <w:pPr>
        <w:ind w:firstLine="600" w:firstLineChars="200"/>
        <w:rPr>
          <w:rFonts w:eastAsia="仿宋_GB2312"/>
          <w:color w:val="000000"/>
          <w:sz w:val="30"/>
          <w:szCs w:val="32"/>
        </w:rPr>
      </w:pPr>
      <w:r>
        <w:rPr>
          <w:rFonts w:hint="eastAsia" w:eastAsia="仿宋_GB2312"/>
          <w:color w:val="000000"/>
          <w:sz w:val="30"/>
          <w:szCs w:val="32"/>
        </w:rPr>
        <w:t>公司新进承包商、现有承包商且合同年限超过1年的，需按照本制度规定缴纳安全生产履约保证金。</w:t>
      </w:r>
    </w:p>
    <w:p w14:paraId="376A4333">
      <w:pPr>
        <w:spacing w:line="360" w:lineRule="auto"/>
        <w:ind w:firstLine="600" w:firstLineChars="200"/>
        <w:jc w:val="left"/>
        <w:rPr>
          <w:rFonts w:eastAsia="仿宋_GB2312"/>
          <w:color w:val="000000"/>
          <w:sz w:val="30"/>
          <w:szCs w:val="32"/>
        </w:rPr>
      </w:pPr>
      <w:r>
        <w:rPr>
          <w:rFonts w:hint="eastAsia" w:eastAsia="仿宋_GB2312"/>
          <w:color w:val="000000"/>
          <w:sz w:val="30"/>
          <w:szCs w:val="32"/>
        </w:rPr>
        <w:t>承包商在公司范围内发生生产安全环保事故的，按照以下标准扣除安全生产履约保证金：</w:t>
      </w:r>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23"/>
        <w:gridCol w:w="3503"/>
      </w:tblGrid>
      <w:tr w14:paraId="2107C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6623" w:type="dxa"/>
            <w:vAlign w:val="center"/>
          </w:tcPr>
          <w:p w14:paraId="32026D1C">
            <w:pPr>
              <w:jc w:val="center"/>
              <w:rPr>
                <w:rFonts w:ascii="宋体" w:hAnsi="宋体"/>
                <w:szCs w:val="21"/>
              </w:rPr>
            </w:pPr>
            <w:r>
              <w:rPr>
                <w:rFonts w:ascii="宋体" w:hAnsi="宋体"/>
                <w:szCs w:val="21"/>
              </w:rPr>
              <w:t>事故等级</w:t>
            </w:r>
          </w:p>
        </w:tc>
        <w:tc>
          <w:tcPr>
            <w:tcW w:w="3503" w:type="dxa"/>
            <w:vAlign w:val="center"/>
          </w:tcPr>
          <w:p w14:paraId="308A0CDD">
            <w:pPr>
              <w:jc w:val="center"/>
              <w:rPr>
                <w:rFonts w:ascii="宋体" w:hAnsi="宋体"/>
                <w:szCs w:val="21"/>
              </w:rPr>
            </w:pPr>
            <w:r>
              <w:rPr>
                <w:rFonts w:ascii="宋体" w:hAnsi="宋体"/>
                <w:szCs w:val="21"/>
              </w:rPr>
              <w:t>安全生产履约保证金扣除金额</w:t>
            </w:r>
          </w:p>
        </w:tc>
      </w:tr>
      <w:tr w14:paraId="30C19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6623" w:type="dxa"/>
            <w:vAlign w:val="center"/>
          </w:tcPr>
          <w:p w14:paraId="6C95E85F">
            <w:pPr>
              <w:jc w:val="left"/>
              <w:rPr>
                <w:rFonts w:ascii="宋体" w:hAnsi="宋体"/>
                <w:szCs w:val="21"/>
              </w:rPr>
            </w:pPr>
            <w:r>
              <w:rPr>
                <w:rFonts w:hint="eastAsia" w:ascii="宋体" w:hAnsi="宋体"/>
                <w:szCs w:val="21"/>
              </w:rPr>
              <w:t>发生重伤或直接经济损失30-</w:t>
            </w:r>
            <w:r>
              <w:rPr>
                <w:rFonts w:ascii="宋体" w:hAnsi="宋体"/>
                <w:szCs w:val="21"/>
              </w:rPr>
              <w:t>100</w:t>
            </w:r>
            <w:r>
              <w:rPr>
                <w:rFonts w:hint="eastAsia" w:ascii="宋体" w:hAnsi="宋体"/>
                <w:szCs w:val="21"/>
              </w:rPr>
              <w:t>万元的生产安全责任事故；消防出警，社会影响较大，出水或启动灭火设施参与抢险，被立案调查但未受到处罚的事故；发生公司级重大环境污染事故；环保部门抢险，社会影响较大，被立案调查但未受到处罚的环保事故。</w:t>
            </w:r>
          </w:p>
        </w:tc>
        <w:tc>
          <w:tcPr>
            <w:tcW w:w="3503" w:type="dxa"/>
            <w:vAlign w:val="center"/>
          </w:tcPr>
          <w:p w14:paraId="630F6F03">
            <w:pPr>
              <w:jc w:val="center"/>
              <w:rPr>
                <w:rFonts w:ascii="宋体" w:hAnsi="宋体"/>
                <w:szCs w:val="21"/>
              </w:rPr>
            </w:pPr>
            <w:r>
              <w:rPr>
                <w:rFonts w:ascii="宋体" w:hAnsi="宋体"/>
                <w:szCs w:val="21"/>
              </w:rPr>
              <w:t>5万元</w:t>
            </w:r>
          </w:p>
        </w:tc>
      </w:tr>
      <w:tr w14:paraId="07ED6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6" w:hRule="atLeast"/>
          <w:jc w:val="center"/>
        </w:trPr>
        <w:tc>
          <w:tcPr>
            <w:tcW w:w="6623" w:type="dxa"/>
            <w:vAlign w:val="center"/>
          </w:tcPr>
          <w:p w14:paraId="3CB718C7">
            <w:pPr>
              <w:jc w:val="left"/>
              <w:rPr>
                <w:rFonts w:ascii="宋体" w:hAnsi="宋体"/>
                <w:szCs w:val="21"/>
              </w:rPr>
            </w:pPr>
            <w:r>
              <w:rPr>
                <w:rFonts w:hint="eastAsia" w:ascii="宋体" w:hAnsi="宋体"/>
                <w:szCs w:val="21"/>
              </w:rPr>
              <w:t>发生重伤3人、死亡事故或直接经济损失1</w:t>
            </w:r>
            <w:r>
              <w:rPr>
                <w:rFonts w:ascii="宋体" w:hAnsi="宋体"/>
                <w:szCs w:val="21"/>
              </w:rPr>
              <w:t>00万元及以上安全责任事故的</w:t>
            </w:r>
            <w:r>
              <w:rPr>
                <w:rFonts w:hint="eastAsia" w:ascii="宋体" w:hAnsi="宋体"/>
                <w:szCs w:val="21"/>
              </w:rPr>
              <w:t>。消防出警，社会影响大，消防出水或启动灭火设施参与抢险，被立案调查且受到处罚的事故；发生公司级特大环境污染事故，环保部门抢险，社会影响大，被立案调查且受到处罚的环保事故。</w:t>
            </w:r>
          </w:p>
        </w:tc>
        <w:tc>
          <w:tcPr>
            <w:tcW w:w="3503" w:type="dxa"/>
            <w:vAlign w:val="center"/>
          </w:tcPr>
          <w:p w14:paraId="017751BF">
            <w:pPr>
              <w:jc w:val="center"/>
              <w:rPr>
                <w:rFonts w:ascii="宋体" w:hAnsi="宋体"/>
                <w:szCs w:val="21"/>
              </w:rPr>
            </w:pPr>
            <w:r>
              <w:rPr>
                <w:rFonts w:hint="eastAsia" w:ascii="宋体" w:hAnsi="宋体"/>
                <w:szCs w:val="21"/>
              </w:rPr>
              <w:t>2</w:t>
            </w:r>
            <w:r>
              <w:rPr>
                <w:rFonts w:ascii="宋体" w:hAnsi="宋体"/>
                <w:szCs w:val="21"/>
              </w:rPr>
              <w:t>0</w:t>
            </w:r>
            <w:r>
              <w:rPr>
                <w:rFonts w:hint="eastAsia" w:ascii="宋体" w:hAnsi="宋体"/>
                <w:szCs w:val="21"/>
              </w:rPr>
              <w:t>-</w:t>
            </w:r>
            <w:r>
              <w:rPr>
                <w:rFonts w:ascii="宋体" w:hAnsi="宋体"/>
                <w:szCs w:val="21"/>
              </w:rPr>
              <w:t>50万元</w:t>
            </w:r>
          </w:p>
        </w:tc>
      </w:tr>
      <w:tr w14:paraId="383E7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10126" w:type="dxa"/>
            <w:gridSpan w:val="2"/>
            <w:vAlign w:val="center"/>
          </w:tcPr>
          <w:p w14:paraId="4F6D0546">
            <w:pPr>
              <w:jc w:val="left"/>
              <w:rPr>
                <w:rFonts w:ascii="宋体" w:hAnsi="宋体"/>
                <w:szCs w:val="21"/>
              </w:rPr>
            </w:pPr>
            <w:r>
              <w:rPr>
                <w:rFonts w:hint="eastAsia" w:ascii="宋体" w:hAnsi="宋体"/>
                <w:szCs w:val="21"/>
              </w:rPr>
              <w:t>说明：</w:t>
            </w:r>
          </w:p>
          <w:p w14:paraId="37412D96">
            <w:pPr>
              <w:jc w:val="left"/>
              <w:rPr>
                <w:rFonts w:ascii="宋体" w:hAnsi="宋体"/>
                <w:szCs w:val="21"/>
              </w:rPr>
            </w:pPr>
            <w:r>
              <w:rPr>
                <w:rFonts w:ascii="宋体" w:hAnsi="宋体"/>
                <w:szCs w:val="21"/>
              </w:rPr>
              <w:t>1</w:t>
            </w:r>
            <w:r>
              <w:rPr>
                <w:rFonts w:hint="eastAsia" w:ascii="宋体" w:hAnsi="宋体"/>
                <w:szCs w:val="21"/>
              </w:rPr>
              <w:t>、发生在国家法定节假日、两会等重要特殊时期的事故从严扣款。</w:t>
            </w:r>
          </w:p>
          <w:p w14:paraId="3B492924">
            <w:pPr>
              <w:jc w:val="left"/>
              <w:rPr>
                <w:rFonts w:ascii="宋体" w:hAnsi="宋体"/>
                <w:szCs w:val="21"/>
              </w:rPr>
            </w:pPr>
            <w:r>
              <w:rPr>
                <w:rFonts w:ascii="宋体" w:hAnsi="宋体"/>
                <w:szCs w:val="21"/>
              </w:rPr>
              <w:t>2</w:t>
            </w:r>
            <w:r>
              <w:rPr>
                <w:rFonts w:hint="eastAsia" w:ascii="宋体" w:hAnsi="宋体"/>
                <w:szCs w:val="21"/>
              </w:rPr>
              <w:t>、谎报、瞒报事故的安全生产履约保证金全额扣除。</w:t>
            </w:r>
          </w:p>
          <w:p w14:paraId="6574B94D">
            <w:pPr>
              <w:jc w:val="left"/>
              <w:rPr>
                <w:rFonts w:ascii="宋体" w:hAnsi="宋体"/>
                <w:szCs w:val="21"/>
              </w:rPr>
            </w:pPr>
            <w:r>
              <w:rPr>
                <w:rFonts w:ascii="宋体"/>
                <w:kern w:val="0"/>
                <w:szCs w:val="20"/>
              </w:rPr>
              <w:t>3</w:t>
            </w:r>
            <w:r>
              <w:rPr>
                <w:rFonts w:hint="eastAsia" w:ascii="宋体"/>
                <w:kern w:val="0"/>
                <w:szCs w:val="20"/>
              </w:rPr>
              <w:t>、发生安全环保事故</w:t>
            </w:r>
            <w:r>
              <w:rPr>
                <w:rFonts w:ascii="宋体"/>
                <w:kern w:val="0"/>
                <w:szCs w:val="20"/>
              </w:rPr>
              <w:t>0.5</w:t>
            </w:r>
            <w:r>
              <w:rPr>
                <w:rFonts w:hint="eastAsia" w:ascii="宋体"/>
                <w:kern w:val="0"/>
                <w:szCs w:val="20"/>
              </w:rPr>
              <w:t>小时内报告到对口管理部门，对口管理部门接报后立即报告到安全环保部。超过报告时限的，</w:t>
            </w:r>
            <w:r>
              <w:rPr>
                <w:rFonts w:ascii="宋体" w:hAnsi="宋体"/>
                <w:szCs w:val="21"/>
              </w:rPr>
              <w:t xml:space="preserve"> 每次扣安全生产履约保证金</w:t>
            </w:r>
            <w:r>
              <w:rPr>
                <w:rFonts w:hint="eastAsia" w:ascii="宋体" w:hAnsi="宋体"/>
                <w:szCs w:val="21"/>
              </w:rPr>
              <w:t>5万元。</w:t>
            </w:r>
            <w:r>
              <w:rPr>
                <w:rFonts w:ascii="宋体" w:hAnsi="宋体"/>
                <w:szCs w:val="21"/>
              </w:rPr>
              <w:t xml:space="preserve"> </w:t>
            </w:r>
          </w:p>
          <w:p w14:paraId="237E3DE3">
            <w:pPr>
              <w:jc w:val="left"/>
              <w:rPr>
                <w:rFonts w:ascii="宋体" w:hAnsi="宋体"/>
                <w:szCs w:val="21"/>
              </w:rPr>
            </w:pPr>
            <w:r>
              <w:rPr>
                <w:rFonts w:hint="eastAsia" w:ascii="宋体" w:hAnsi="宋体"/>
                <w:szCs w:val="21"/>
              </w:rPr>
              <w:t>4、交纳的安全生产风险金低于相应扣除标准的，全部扣除。</w:t>
            </w:r>
          </w:p>
        </w:tc>
      </w:tr>
    </w:tbl>
    <w:p w14:paraId="03160B5F">
      <w:pPr>
        <w:pStyle w:val="8"/>
        <w:ind w:left="63" w:right="63"/>
      </w:pPr>
    </w:p>
    <w:p w14:paraId="3668948B">
      <w:pPr>
        <w:spacing w:line="360" w:lineRule="auto"/>
        <w:ind w:firstLine="600" w:firstLineChars="200"/>
        <w:jc w:val="left"/>
        <w:rPr>
          <w:rFonts w:eastAsia="仿宋_GB2312"/>
          <w:color w:val="000000"/>
          <w:sz w:val="30"/>
          <w:szCs w:val="32"/>
        </w:rPr>
      </w:pPr>
      <w:r>
        <w:rPr>
          <w:rFonts w:hint="eastAsia" w:eastAsia="仿宋_GB2312"/>
          <w:color w:val="000000"/>
          <w:sz w:val="30"/>
          <w:szCs w:val="32"/>
        </w:rPr>
        <w:t>承包人安全施工条件不足，施工作业过程存在重大安全事故隐患，拒不整改或不按期整改的，发包人可以委托相应的单位进行事故隐患整改，所需费用从其安全生产履约保证金中扣除。</w:t>
      </w:r>
    </w:p>
    <w:p w14:paraId="5F2C257A">
      <w:pPr>
        <w:pStyle w:val="5"/>
        <w:spacing w:before="120" w:after="120" w:line="360" w:lineRule="auto"/>
        <w:rPr>
          <w:rFonts w:ascii="Times New Roman" w:hAnsi="Times New Roman" w:eastAsia="黑体"/>
          <w:b w:val="0"/>
          <w:color w:val="000000"/>
          <w:sz w:val="32"/>
          <w:szCs w:val="32"/>
        </w:rPr>
      </w:pPr>
      <w:r>
        <w:rPr>
          <w:rFonts w:ascii="Times New Roman" w:hAnsi="Times New Roman" w:eastAsia="黑体"/>
          <w:b w:val="0"/>
          <w:color w:val="000000"/>
          <w:sz w:val="32"/>
          <w:szCs w:val="32"/>
        </w:rPr>
        <w:t>4</w:t>
      </w:r>
      <w:bookmarkStart w:id="182" w:name="_Toc296890990"/>
      <w:bookmarkStart w:id="183" w:name="_Toc267251413"/>
      <w:bookmarkStart w:id="184" w:name="_Toc297120462"/>
      <w:bookmarkStart w:id="185" w:name="_Toc297048348"/>
      <w:bookmarkStart w:id="186" w:name="_Toc296347161"/>
      <w:bookmarkStart w:id="187" w:name="_Toc292559366"/>
      <w:bookmarkStart w:id="188" w:name="_Toc296891202"/>
      <w:bookmarkStart w:id="189" w:name="_Toc296503162"/>
      <w:bookmarkStart w:id="190" w:name="_Toc296944501"/>
      <w:bookmarkStart w:id="191" w:name="_Toc296346663"/>
      <w:bookmarkStart w:id="192" w:name="_Toc292559871"/>
      <w:r>
        <w:rPr>
          <w:rFonts w:ascii="Times New Roman" w:hAnsi="Times New Roman" w:eastAsia="黑体"/>
          <w:b w:val="0"/>
          <w:color w:val="000000"/>
          <w:sz w:val="32"/>
          <w:szCs w:val="32"/>
        </w:rPr>
        <w:t>. 监</w:t>
      </w:r>
      <w:bookmarkEnd w:id="182"/>
      <w:bookmarkEnd w:id="183"/>
      <w:bookmarkEnd w:id="184"/>
      <w:bookmarkEnd w:id="185"/>
      <w:bookmarkEnd w:id="186"/>
      <w:bookmarkEnd w:id="187"/>
      <w:bookmarkEnd w:id="188"/>
      <w:bookmarkEnd w:id="189"/>
      <w:bookmarkEnd w:id="190"/>
      <w:bookmarkEnd w:id="191"/>
      <w:bookmarkEnd w:id="192"/>
      <w:r>
        <w:rPr>
          <w:rFonts w:ascii="Times New Roman" w:hAnsi="Times New Roman" w:eastAsia="黑体"/>
          <w:b w:val="0"/>
          <w:color w:val="000000"/>
          <w:sz w:val="32"/>
          <w:szCs w:val="32"/>
        </w:rPr>
        <w:t>理人</w:t>
      </w:r>
      <w:bookmarkEnd w:id="181"/>
      <w:r>
        <w:rPr>
          <w:rFonts w:ascii="Times New Roman" w:hAnsi="Times New Roman" w:eastAsia="黑体"/>
          <w:b w:val="0"/>
          <w:color w:val="000000"/>
          <w:sz w:val="32"/>
          <w:szCs w:val="32"/>
        </w:rPr>
        <w:t>：</w:t>
      </w:r>
      <w:r>
        <w:rPr>
          <w:rFonts w:hint="eastAsia" w:ascii="Times New Roman" w:hAnsi="Times New Roman" w:eastAsia="黑体"/>
          <w:b w:val="0"/>
          <w:color w:val="000000"/>
          <w:sz w:val="32"/>
          <w:szCs w:val="32"/>
        </w:rPr>
        <w:t>/</w:t>
      </w:r>
    </w:p>
    <w:p w14:paraId="6339F58F">
      <w:pPr>
        <w:pStyle w:val="5"/>
        <w:spacing w:before="120" w:after="120" w:line="360" w:lineRule="auto"/>
        <w:rPr>
          <w:rFonts w:ascii="Times New Roman" w:hAnsi="Times New Roman" w:eastAsia="黑体"/>
          <w:b w:val="0"/>
          <w:color w:val="000000"/>
          <w:sz w:val="32"/>
          <w:szCs w:val="32"/>
        </w:rPr>
      </w:pPr>
      <w:bookmarkStart w:id="193" w:name="_Toc267251418"/>
      <w:bookmarkStart w:id="194" w:name="_Toc351203637"/>
      <w:r>
        <w:rPr>
          <w:rFonts w:ascii="Times New Roman" w:hAnsi="Times New Roman" w:eastAsia="黑体"/>
          <w:b w:val="0"/>
          <w:color w:val="000000"/>
          <w:sz w:val="32"/>
          <w:szCs w:val="32"/>
        </w:rPr>
        <w:t>5</w:t>
      </w:r>
      <w:bookmarkEnd w:id="193"/>
      <w:bookmarkStart w:id="195" w:name="_Toc296890991"/>
      <w:bookmarkStart w:id="196" w:name="_Toc296891203"/>
      <w:bookmarkStart w:id="197" w:name="_Toc297048349"/>
      <w:bookmarkStart w:id="198" w:name="_Toc297120463"/>
      <w:bookmarkStart w:id="199" w:name="_Toc292559872"/>
      <w:bookmarkStart w:id="200" w:name="_Toc296503163"/>
      <w:bookmarkStart w:id="201" w:name="_Toc296346664"/>
      <w:bookmarkStart w:id="202" w:name="_Toc296944502"/>
      <w:bookmarkStart w:id="203" w:name="_Toc296347162"/>
      <w:bookmarkStart w:id="204" w:name="_Toc292559367"/>
      <w:r>
        <w:rPr>
          <w:rFonts w:ascii="Times New Roman" w:hAnsi="Times New Roman" w:eastAsia="黑体"/>
          <w:b w:val="0"/>
          <w:color w:val="000000"/>
          <w:sz w:val="32"/>
          <w:szCs w:val="32"/>
        </w:rPr>
        <w:t>. 工程质量</w:t>
      </w:r>
      <w:bookmarkEnd w:id="194"/>
    </w:p>
    <w:p w14:paraId="4947A971">
      <w:pPr>
        <w:spacing w:after="120" w:line="360" w:lineRule="auto"/>
        <w:ind w:firstLine="600" w:firstLineChars="200"/>
        <w:outlineLvl w:val="0"/>
        <w:rPr>
          <w:rFonts w:eastAsia="黑体"/>
          <w:color w:val="000000"/>
          <w:sz w:val="30"/>
          <w:szCs w:val="32"/>
        </w:rPr>
      </w:pPr>
      <w:r>
        <w:rPr>
          <w:rFonts w:eastAsia="黑体"/>
          <w:color w:val="000000"/>
          <w:sz w:val="30"/>
          <w:szCs w:val="32"/>
        </w:rPr>
        <w:t>5.1 质量要求</w:t>
      </w:r>
    </w:p>
    <w:p w14:paraId="4EAC8476">
      <w:pPr>
        <w:spacing w:line="360" w:lineRule="auto"/>
        <w:jc w:val="left"/>
        <w:rPr>
          <w:rFonts w:eastAsia="仿宋_GB2312"/>
          <w:sz w:val="30"/>
          <w:szCs w:val="32"/>
        </w:rPr>
      </w:pPr>
      <w:r>
        <w:rPr>
          <w:rFonts w:eastAsia="仿宋_GB2312"/>
          <w:sz w:val="30"/>
          <w:szCs w:val="32"/>
        </w:rPr>
        <w:t>5</w:t>
      </w:r>
      <w:bookmarkStart w:id="205" w:name="_Toc304295527"/>
      <w:bookmarkStart w:id="206" w:name="_Toc318581164"/>
      <w:bookmarkStart w:id="207" w:name="_Toc312677997"/>
      <w:bookmarkStart w:id="208" w:name="_Toc300934949"/>
      <w:bookmarkStart w:id="209" w:name="_Toc297123496"/>
      <w:bookmarkStart w:id="210" w:name="_Toc297216155"/>
      <w:bookmarkStart w:id="211" w:name="_Toc303539106"/>
      <w:r>
        <w:rPr>
          <w:rFonts w:eastAsia="仿宋_GB2312"/>
          <w:sz w:val="30"/>
          <w:szCs w:val="32"/>
        </w:rPr>
        <w:t>.1.1 特殊质量标准和要求：</w:t>
      </w:r>
      <w:r>
        <w:rPr>
          <w:rFonts w:eastAsia="仿宋_GB2312"/>
          <w:sz w:val="30"/>
          <w:szCs w:val="32"/>
          <w:u w:val="single"/>
        </w:rPr>
        <w:t xml:space="preserve">  </w:t>
      </w:r>
      <w:r>
        <w:rPr>
          <w:rFonts w:hint="eastAsia" w:eastAsia="仿宋_GB2312"/>
          <w:sz w:val="30"/>
          <w:szCs w:val="32"/>
          <w:u w:val="single"/>
        </w:rPr>
        <w:t>由承包人与发包人另行协商</w:t>
      </w:r>
      <w:r>
        <w:rPr>
          <w:rFonts w:eastAsia="仿宋_GB2312"/>
          <w:sz w:val="30"/>
          <w:szCs w:val="32"/>
          <w:u w:val="single"/>
        </w:rPr>
        <w:t xml:space="preserve">  </w:t>
      </w:r>
      <w:r>
        <w:rPr>
          <w:rFonts w:eastAsia="仿宋_GB2312"/>
          <w:sz w:val="30"/>
          <w:szCs w:val="32"/>
        </w:rPr>
        <w:t>。</w:t>
      </w:r>
    </w:p>
    <w:p w14:paraId="422C89B1">
      <w:pPr>
        <w:spacing w:line="360" w:lineRule="auto"/>
        <w:jc w:val="left"/>
        <w:rPr>
          <w:rFonts w:eastAsia="黑体"/>
          <w:color w:val="000000"/>
          <w:sz w:val="30"/>
          <w:szCs w:val="32"/>
        </w:rPr>
      </w:pPr>
      <w:r>
        <w:rPr>
          <w:rFonts w:eastAsia="仿宋_GB2312"/>
          <w:sz w:val="30"/>
          <w:szCs w:val="32"/>
        </w:rPr>
        <w:t>关于工程奖项的约定：</w:t>
      </w:r>
      <w:r>
        <w:rPr>
          <w:rFonts w:eastAsia="仿宋_GB2312"/>
          <w:sz w:val="30"/>
          <w:szCs w:val="32"/>
          <w:u w:val="single"/>
        </w:rPr>
        <w:t xml:space="preserve">    </w:t>
      </w:r>
      <w:r>
        <w:rPr>
          <w:rFonts w:hint="eastAsia" w:eastAsia="仿宋_GB2312"/>
          <w:sz w:val="30"/>
          <w:szCs w:val="32"/>
          <w:u w:val="single"/>
        </w:rPr>
        <w:t>无</w:t>
      </w:r>
      <w:r>
        <w:rPr>
          <w:rFonts w:eastAsia="仿宋_GB2312"/>
          <w:sz w:val="30"/>
          <w:szCs w:val="32"/>
          <w:u w:val="single"/>
        </w:rPr>
        <w:t xml:space="preserve">   </w:t>
      </w:r>
      <w:r>
        <w:rPr>
          <w:rFonts w:eastAsia="仿宋_GB2312"/>
          <w:sz w:val="30"/>
          <w:szCs w:val="32"/>
        </w:rPr>
        <w:t>。</w:t>
      </w:r>
    </w:p>
    <w:p w14:paraId="18200B31">
      <w:pPr>
        <w:spacing w:after="120" w:line="360" w:lineRule="auto"/>
        <w:ind w:firstLine="600" w:firstLineChars="200"/>
        <w:outlineLvl w:val="0"/>
        <w:rPr>
          <w:rFonts w:eastAsia="黑体"/>
          <w:color w:val="000000"/>
          <w:sz w:val="30"/>
          <w:szCs w:val="32"/>
        </w:rPr>
      </w:pPr>
      <w:r>
        <w:rPr>
          <w:rFonts w:eastAsia="黑体"/>
          <w:color w:val="000000"/>
          <w:sz w:val="30"/>
          <w:szCs w:val="32"/>
        </w:rPr>
        <w:t>5.3 隐蔽工程检查</w:t>
      </w:r>
    </w:p>
    <w:p w14:paraId="227BA7E2">
      <w:pPr>
        <w:spacing w:line="360" w:lineRule="auto"/>
        <w:ind w:firstLine="600" w:firstLineChars="200"/>
        <w:jc w:val="left"/>
        <w:rPr>
          <w:rFonts w:eastAsia="仿宋_GB2312"/>
          <w:sz w:val="30"/>
          <w:szCs w:val="32"/>
        </w:rPr>
      </w:pPr>
      <w:r>
        <w:rPr>
          <w:rFonts w:eastAsia="仿宋_GB2312"/>
          <w:sz w:val="30"/>
          <w:szCs w:val="32"/>
        </w:rPr>
        <w:t>5.3.2承包人提前通知监理人、</w:t>
      </w:r>
      <w:r>
        <w:rPr>
          <w:rFonts w:hint="eastAsia" w:eastAsia="仿宋_GB2312"/>
          <w:sz w:val="30"/>
          <w:szCs w:val="32"/>
        </w:rPr>
        <w:t>发包人</w:t>
      </w:r>
      <w:r>
        <w:rPr>
          <w:rFonts w:eastAsia="仿宋_GB2312"/>
          <w:sz w:val="30"/>
          <w:szCs w:val="32"/>
        </w:rPr>
        <w:t>隐蔽工程检查的期限的约定：</w:t>
      </w:r>
      <w:r>
        <w:rPr>
          <w:rFonts w:eastAsia="仿宋_GB2312"/>
          <w:sz w:val="30"/>
          <w:szCs w:val="32"/>
          <w:u w:val="single"/>
        </w:rPr>
        <w:t>承包人应在</w:t>
      </w:r>
      <w:r>
        <w:rPr>
          <w:rFonts w:hint="eastAsia" w:eastAsia="仿宋_GB2312"/>
          <w:sz w:val="30"/>
          <w:szCs w:val="32"/>
          <w:u w:val="single"/>
        </w:rPr>
        <w:t>共同</w:t>
      </w:r>
      <w:r>
        <w:rPr>
          <w:rFonts w:eastAsia="仿宋_GB2312"/>
          <w:sz w:val="30"/>
          <w:szCs w:val="32"/>
          <w:u w:val="single"/>
        </w:rPr>
        <w:t>检查前</w:t>
      </w:r>
      <w:r>
        <w:rPr>
          <w:rFonts w:hint="eastAsia" w:eastAsia="仿宋_GB2312"/>
          <w:sz w:val="30"/>
          <w:szCs w:val="32"/>
          <w:u w:val="single"/>
        </w:rPr>
        <w:t>48</w:t>
      </w:r>
      <w:r>
        <w:rPr>
          <w:rFonts w:eastAsia="仿宋_GB2312"/>
          <w:sz w:val="30"/>
          <w:szCs w:val="32"/>
          <w:u w:val="single"/>
        </w:rPr>
        <w:t>小时书面通知</w:t>
      </w:r>
      <w:r>
        <w:rPr>
          <w:rFonts w:hint="eastAsia" w:eastAsia="仿宋_GB2312"/>
          <w:sz w:val="30"/>
          <w:szCs w:val="32"/>
          <w:u w:val="single"/>
        </w:rPr>
        <w:t>监理人、发包人</w:t>
      </w:r>
      <w:r>
        <w:rPr>
          <w:rFonts w:eastAsia="仿宋_GB2312"/>
          <w:sz w:val="30"/>
          <w:szCs w:val="32"/>
          <w:u w:val="single"/>
        </w:rPr>
        <w:t>检查，通知中应载明隐蔽检查的内容、时间和地点，并应附有自检记录和必要的检查资料</w:t>
      </w:r>
      <w:r>
        <w:rPr>
          <w:rFonts w:hint="eastAsia" w:eastAsia="仿宋_GB2312"/>
          <w:sz w:val="30"/>
          <w:szCs w:val="32"/>
          <w:u w:val="single"/>
        </w:rPr>
        <w:t xml:space="preserve">  </w:t>
      </w:r>
      <w:r>
        <w:rPr>
          <w:rFonts w:eastAsia="仿宋_GB2312"/>
          <w:sz w:val="30"/>
          <w:szCs w:val="32"/>
          <w:u w:val="single"/>
        </w:rPr>
        <w:t xml:space="preserve">  </w:t>
      </w:r>
      <w:r>
        <w:rPr>
          <w:rFonts w:eastAsia="仿宋_GB2312"/>
          <w:sz w:val="30"/>
          <w:szCs w:val="32"/>
        </w:rPr>
        <w:t>。</w:t>
      </w:r>
    </w:p>
    <w:p w14:paraId="2596C360">
      <w:pPr>
        <w:spacing w:line="360" w:lineRule="auto"/>
        <w:ind w:firstLine="600" w:firstLineChars="200"/>
        <w:jc w:val="left"/>
        <w:rPr>
          <w:rFonts w:eastAsia="仿宋_GB2312"/>
          <w:sz w:val="30"/>
          <w:szCs w:val="32"/>
        </w:rPr>
      </w:pPr>
      <w:r>
        <w:rPr>
          <w:rFonts w:eastAsia="仿宋_GB2312"/>
          <w:sz w:val="30"/>
          <w:szCs w:val="32"/>
        </w:rPr>
        <w:t>监理人</w:t>
      </w:r>
      <w:r>
        <w:rPr>
          <w:rFonts w:hint="eastAsia" w:eastAsia="仿宋_GB2312"/>
          <w:sz w:val="30"/>
          <w:szCs w:val="32"/>
        </w:rPr>
        <w:t>或发包人</w:t>
      </w:r>
      <w:r>
        <w:rPr>
          <w:rFonts w:eastAsia="仿宋_GB2312"/>
          <w:sz w:val="30"/>
          <w:szCs w:val="32"/>
        </w:rPr>
        <w:t>不能按时进行检查时，应提前</w:t>
      </w:r>
      <w:r>
        <w:rPr>
          <w:rFonts w:eastAsia="仿宋_GB2312"/>
          <w:sz w:val="30"/>
          <w:szCs w:val="32"/>
          <w:u w:val="single"/>
        </w:rPr>
        <w:t xml:space="preserve">  24  </w:t>
      </w:r>
      <w:r>
        <w:rPr>
          <w:rFonts w:eastAsia="仿宋_GB2312"/>
          <w:sz w:val="30"/>
          <w:szCs w:val="32"/>
        </w:rPr>
        <w:t>小时提交书面延期要求。</w:t>
      </w:r>
    </w:p>
    <w:p w14:paraId="43A96D1B">
      <w:pPr>
        <w:spacing w:line="360" w:lineRule="auto"/>
        <w:ind w:firstLine="600" w:firstLineChars="200"/>
        <w:jc w:val="left"/>
        <w:rPr>
          <w:rFonts w:eastAsia="仿宋_GB2312"/>
          <w:sz w:val="30"/>
          <w:szCs w:val="32"/>
        </w:rPr>
      </w:pPr>
      <w:r>
        <w:rPr>
          <w:rFonts w:eastAsia="仿宋_GB2312"/>
          <w:sz w:val="30"/>
          <w:szCs w:val="32"/>
        </w:rPr>
        <w:t>关于延期最长不得超过：</w:t>
      </w:r>
      <w:r>
        <w:rPr>
          <w:rFonts w:eastAsia="仿宋_GB2312"/>
          <w:sz w:val="30"/>
          <w:szCs w:val="32"/>
          <w:u w:val="single"/>
        </w:rPr>
        <w:t xml:space="preserve">   48  </w:t>
      </w:r>
      <w:r>
        <w:rPr>
          <w:rFonts w:eastAsia="仿宋_GB2312"/>
          <w:sz w:val="30"/>
          <w:szCs w:val="32"/>
        </w:rPr>
        <w:t>小时。</w:t>
      </w:r>
    </w:p>
    <w:p w14:paraId="178729B1">
      <w:pPr>
        <w:pStyle w:val="5"/>
        <w:spacing w:before="120" w:after="120" w:line="360" w:lineRule="auto"/>
        <w:rPr>
          <w:rFonts w:ascii="Times New Roman" w:hAnsi="Times New Roman" w:eastAsia="黑体"/>
          <w:b w:val="0"/>
          <w:color w:val="000000"/>
          <w:sz w:val="32"/>
          <w:szCs w:val="32"/>
        </w:rPr>
      </w:pPr>
      <w:bookmarkStart w:id="212" w:name="_Toc351203638"/>
      <w:r>
        <w:rPr>
          <w:rFonts w:ascii="Times New Roman" w:hAnsi="Times New Roman" w:eastAsia="黑体"/>
          <w:b w:val="0"/>
          <w:color w:val="000000"/>
          <w:sz w:val="32"/>
          <w:szCs w:val="32"/>
        </w:rPr>
        <w:t>6. 安全文明施工与环境保护</w:t>
      </w:r>
      <w:bookmarkEnd w:id="212"/>
    </w:p>
    <w:p w14:paraId="4E47421A">
      <w:pPr>
        <w:spacing w:after="120" w:line="360" w:lineRule="auto"/>
        <w:ind w:firstLine="600" w:firstLineChars="200"/>
        <w:rPr>
          <w:rFonts w:eastAsia="黑体"/>
          <w:color w:val="000000"/>
          <w:sz w:val="30"/>
          <w:szCs w:val="32"/>
        </w:rPr>
      </w:pPr>
      <w:r>
        <w:rPr>
          <w:rFonts w:eastAsia="黑体"/>
          <w:color w:val="000000"/>
          <w:sz w:val="30"/>
          <w:szCs w:val="32"/>
        </w:rPr>
        <w:t>6.1安全文明施工</w:t>
      </w:r>
    </w:p>
    <w:p w14:paraId="0D24FE77">
      <w:pPr>
        <w:spacing w:line="360" w:lineRule="auto"/>
        <w:ind w:firstLine="600" w:firstLineChars="200"/>
        <w:jc w:val="left"/>
        <w:rPr>
          <w:rFonts w:eastAsia="仿宋_GB2312"/>
          <w:sz w:val="30"/>
          <w:szCs w:val="32"/>
          <w:u w:val="single"/>
        </w:rPr>
      </w:pPr>
      <w:r>
        <w:rPr>
          <w:rFonts w:eastAsia="仿宋_GB2312"/>
          <w:sz w:val="30"/>
          <w:szCs w:val="32"/>
        </w:rPr>
        <w:t>6.1.1</w:t>
      </w:r>
      <w:r>
        <w:rPr>
          <w:rFonts w:eastAsia="仿宋_GB2312"/>
          <w:color w:val="000000"/>
          <w:sz w:val="30"/>
          <w:szCs w:val="32"/>
        </w:rPr>
        <w:t xml:space="preserve"> 项目安全生产的达标目标及相应事项的约定</w:t>
      </w:r>
      <w:r>
        <w:rPr>
          <w:rFonts w:hint="eastAsia" w:eastAsia="仿宋_GB2312"/>
          <w:color w:val="000000"/>
          <w:sz w:val="30"/>
          <w:szCs w:val="32"/>
        </w:rPr>
        <w:t>包括但不限于</w:t>
      </w:r>
      <w:r>
        <w:rPr>
          <w:rFonts w:eastAsia="仿宋_GB2312"/>
          <w:color w:val="000000"/>
          <w:sz w:val="30"/>
          <w:szCs w:val="32"/>
        </w:rPr>
        <w:t>：</w:t>
      </w:r>
      <w:r>
        <w:rPr>
          <w:rFonts w:hint="eastAsia" w:eastAsia="仿宋_GB2312"/>
          <w:sz w:val="30"/>
          <w:szCs w:val="32"/>
          <w:u w:val="single"/>
        </w:rPr>
        <w:t>1、承包人应按照国家有关安全生产、文明施工、环境保护的法律、行政法规、部门规章，以及重庆市有关安全生产、文明施工、环境保护的地方法规、条例和规章，并遵照重庆市工程建设标准《建筑工程安全文明工地建设标准》（DBJ50/T-442-2023）的规定进行工程安全生产、文明施工和环境保护，遵守发包方安全生产方针、规章指令，杜绝发生重大安全事故；</w:t>
      </w:r>
    </w:p>
    <w:p w14:paraId="149D075B">
      <w:pPr>
        <w:spacing w:line="360" w:lineRule="auto"/>
        <w:ind w:firstLine="600" w:firstLineChars="200"/>
        <w:jc w:val="left"/>
        <w:rPr>
          <w:rFonts w:eastAsia="仿宋_GB2312"/>
          <w:sz w:val="30"/>
          <w:szCs w:val="32"/>
          <w:u w:val="single"/>
        </w:rPr>
      </w:pPr>
      <w:r>
        <w:rPr>
          <w:rFonts w:hint="eastAsia" w:eastAsia="仿宋_GB2312"/>
          <w:sz w:val="30"/>
          <w:szCs w:val="32"/>
          <w:u w:val="single"/>
        </w:rPr>
        <w:t>2、承包人应策划组织实施方案，建立施工项目的风险分级防控和隐患排查治理工作，杜绝发生亡人事故及重伤事故，轻伤事故率应控制在5‰以内，安全培训完成率100%，隐患整改完成率100%，无火灾事故，无疫情事故发生。承包人应以此建立安全目标责任体系，并组织责任体系的有效实施；</w:t>
      </w:r>
    </w:p>
    <w:p w14:paraId="787AB79F">
      <w:pPr>
        <w:spacing w:line="360" w:lineRule="auto"/>
        <w:ind w:firstLine="600" w:firstLineChars="200"/>
        <w:jc w:val="left"/>
        <w:rPr>
          <w:rFonts w:eastAsia="仿宋_GB2312"/>
          <w:sz w:val="30"/>
          <w:szCs w:val="32"/>
          <w:u w:val="single"/>
        </w:rPr>
      </w:pPr>
      <w:r>
        <w:rPr>
          <w:rFonts w:hint="eastAsia" w:eastAsia="仿宋_GB2312"/>
          <w:sz w:val="30"/>
          <w:szCs w:val="32"/>
          <w:u w:val="single"/>
        </w:rPr>
        <w:t>3、对施工中的地上地下建筑物(构筑物)管线、电力设施、相关的生产等设施应按有关规定加强监控测量和保护，未经发包人许可不得动用生产相关的水、电、气、消防等设施，因保护不当造成的损失及法律责任由承包人承担赔偿由此造成的直接经济损失和违约责任；</w:t>
      </w:r>
    </w:p>
    <w:p w14:paraId="792E568B">
      <w:pPr>
        <w:spacing w:line="360" w:lineRule="auto"/>
        <w:ind w:firstLine="600" w:firstLineChars="200"/>
        <w:jc w:val="left"/>
        <w:rPr>
          <w:rFonts w:eastAsia="仿宋_GB2312"/>
          <w:sz w:val="30"/>
          <w:szCs w:val="32"/>
          <w:u w:val="single"/>
        </w:rPr>
      </w:pPr>
      <w:r>
        <w:rPr>
          <w:rFonts w:hint="eastAsia" w:eastAsia="仿宋_GB2312"/>
          <w:sz w:val="30"/>
          <w:szCs w:val="32"/>
          <w:u w:val="single"/>
        </w:rPr>
        <w:t>4、承包人应确保安全投入，不得挪用安全文明施工费用，建立安全文明施工费用台账，专款专用，接受发包方检查；</w:t>
      </w:r>
    </w:p>
    <w:p w14:paraId="24E46645">
      <w:pPr>
        <w:spacing w:line="360" w:lineRule="auto"/>
        <w:ind w:firstLine="600" w:firstLineChars="200"/>
        <w:jc w:val="left"/>
        <w:rPr>
          <w:rFonts w:eastAsia="仿宋_GB2312"/>
          <w:sz w:val="30"/>
          <w:szCs w:val="32"/>
          <w:u w:val="single"/>
        </w:rPr>
      </w:pPr>
      <w:r>
        <w:rPr>
          <w:rFonts w:hint="eastAsia" w:eastAsia="仿宋_GB2312"/>
          <w:sz w:val="30"/>
          <w:szCs w:val="32"/>
          <w:u w:val="single"/>
        </w:rPr>
        <w:t>5、施工机械设备进场前，应做好清洁、保养和维护工作。进出车辆应有专人打扫、清洗。有密封要求的按规定必须达到；</w:t>
      </w:r>
    </w:p>
    <w:p w14:paraId="34728374">
      <w:pPr>
        <w:spacing w:line="360" w:lineRule="auto"/>
        <w:ind w:firstLine="600" w:firstLineChars="200"/>
        <w:jc w:val="left"/>
        <w:rPr>
          <w:rFonts w:eastAsia="仿宋_GB2312"/>
          <w:sz w:val="30"/>
          <w:szCs w:val="32"/>
          <w:u w:val="single"/>
        </w:rPr>
      </w:pPr>
      <w:r>
        <w:rPr>
          <w:rFonts w:hint="eastAsia" w:eastAsia="仿宋_GB2312"/>
          <w:sz w:val="30"/>
          <w:szCs w:val="32"/>
          <w:u w:val="single"/>
        </w:rPr>
        <w:t>6、做到进入现场的施工和作业人员统一着装，佩证上岗，文明施工；</w:t>
      </w:r>
    </w:p>
    <w:p w14:paraId="142050C4">
      <w:pPr>
        <w:spacing w:line="360" w:lineRule="auto"/>
        <w:ind w:firstLine="600" w:firstLineChars="200"/>
        <w:jc w:val="left"/>
        <w:rPr>
          <w:rFonts w:eastAsia="仿宋_GB2312"/>
          <w:sz w:val="30"/>
          <w:szCs w:val="32"/>
          <w:u w:val="single"/>
        </w:rPr>
      </w:pPr>
      <w:r>
        <w:rPr>
          <w:rFonts w:hint="eastAsia" w:eastAsia="仿宋_GB2312"/>
          <w:sz w:val="30"/>
          <w:szCs w:val="32"/>
          <w:u w:val="single"/>
        </w:rPr>
        <w:t>7、承包人应配合发包方组织的安全、消防、职业健康、疫情防控等活动开展，发包人将不定期检查承包商HSE(健康、安全、环境)管理体系运行情况，承包人应安排专人配合进行，不得顶撞、殴打、谩骂检查人员，发现不符合规定的，除责令整改外，每次扣承包人违约金三千元；</w:t>
      </w:r>
    </w:p>
    <w:p w14:paraId="237A7E53">
      <w:pPr>
        <w:spacing w:line="360" w:lineRule="auto"/>
        <w:ind w:firstLine="600" w:firstLineChars="200"/>
        <w:jc w:val="left"/>
        <w:rPr>
          <w:rFonts w:eastAsia="仿宋_GB2312"/>
          <w:sz w:val="30"/>
          <w:szCs w:val="32"/>
          <w:u w:val="single"/>
        </w:rPr>
      </w:pPr>
      <w:r>
        <w:rPr>
          <w:rFonts w:hint="eastAsia" w:eastAsia="仿宋_GB2312"/>
          <w:sz w:val="30"/>
          <w:szCs w:val="32"/>
          <w:u w:val="single"/>
        </w:rPr>
        <w:t>8、现场施工污水排放必须达标并定点排放，造成环境污染的责任由承包人承担；</w:t>
      </w:r>
    </w:p>
    <w:p w14:paraId="0ABBB383">
      <w:pPr>
        <w:spacing w:line="360" w:lineRule="auto"/>
        <w:ind w:firstLine="600" w:firstLineChars="200"/>
        <w:jc w:val="left"/>
        <w:rPr>
          <w:rFonts w:eastAsia="仿宋_GB2312"/>
          <w:sz w:val="30"/>
          <w:szCs w:val="32"/>
          <w:u w:val="single"/>
        </w:rPr>
      </w:pPr>
      <w:r>
        <w:rPr>
          <w:rFonts w:hint="eastAsia" w:eastAsia="仿宋_GB2312"/>
          <w:sz w:val="30"/>
          <w:szCs w:val="32"/>
          <w:u w:val="single"/>
        </w:rPr>
        <w:t xml:space="preserve">9、承包人知晓并承诺遵守发包人规章制度、安全注意事项。对于承包人在发包人场所范围内产生的人身损害、财产损失，双方责任划分按照事故调查结论予以认定；   </w:t>
      </w:r>
    </w:p>
    <w:p w14:paraId="2415FA5F">
      <w:pPr>
        <w:spacing w:line="360" w:lineRule="auto"/>
        <w:ind w:firstLine="600" w:firstLineChars="200"/>
        <w:jc w:val="left"/>
        <w:rPr>
          <w:rFonts w:eastAsia="仿宋_GB2312"/>
          <w:sz w:val="30"/>
          <w:szCs w:val="32"/>
          <w:u w:val="single"/>
        </w:rPr>
      </w:pPr>
      <w:r>
        <w:rPr>
          <w:rFonts w:eastAsia="仿宋_GB2312"/>
          <w:sz w:val="30"/>
          <w:szCs w:val="32"/>
          <w:u w:val="single"/>
        </w:rPr>
        <w:t>10、</w:t>
      </w:r>
      <w:r>
        <w:rPr>
          <w:rFonts w:hint="eastAsia" w:eastAsia="仿宋_GB2312"/>
          <w:sz w:val="30"/>
          <w:szCs w:val="32"/>
          <w:u w:val="single"/>
        </w:rPr>
        <w:t>承包人应参加发包人组织的入场安全培训，监督入场人员遵守培训规定，经考核合格后方可入场。承包人应建立项目安全培训制度，确保入场人员意识和技能符合岗位需要；</w:t>
      </w:r>
    </w:p>
    <w:p w14:paraId="0B550B83">
      <w:pPr>
        <w:spacing w:line="360" w:lineRule="auto"/>
        <w:ind w:firstLine="600" w:firstLineChars="200"/>
        <w:jc w:val="left"/>
        <w:rPr>
          <w:rFonts w:eastAsia="仿宋_GB2312"/>
          <w:sz w:val="30"/>
          <w:szCs w:val="32"/>
          <w:u w:val="single"/>
        </w:rPr>
      </w:pPr>
      <w:r>
        <w:rPr>
          <w:rFonts w:eastAsia="仿宋_GB2312"/>
          <w:sz w:val="30"/>
          <w:szCs w:val="32"/>
          <w:u w:val="single"/>
        </w:rPr>
        <w:t>11、</w:t>
      </w:r>
      <w:r>
        <w:rPr>
          <w:rFonts w:hint="eastAsia" w:eastAsia="仿宋_GB2312"/>
          <w:sz w:val="30"/>
          <w:szCs w:val="32"/>
          <w:u w:val="single"/>
        </w:rPr>
        <w:t>承包人应建立对责任范围内的治安保卫制度，确保自身财产安全，施工期间，发包人对承包人的财产遗失、损毁不承担责任。应遵守发包人的治安管理制度，发现有违规行为的按照附件相关条款承担违约责任。 与其余承包商在同一区域内作业时应签订《交叉作业协议》；</w:t>
      </w:r>
    </w:p>
    <w:p w14:paraId="2ED9CA44">
      <w:pPr>
        <w:spacing w:line="360" w:lineRule="auto"/>
        <w:ind w:firstLine="600" w:firstLineChars="200"/>
        <w:jc w:val="left"/>
        <w:rPr>
          <w:rFonts w:eastAsia="仿宋_GB2312"/>
          <w:sz w:val="30"/>
          <w:szCs w:val="32"/>
          <w:u w:val="single"/>
        </w:rPr>
      </w:pPr>
      <w:r>
        <w:rPr>
          <w:rFonts w:eastAsia="仿宋_GB2312"/>
          <w:sz w:val="30"/>
          <w:szCs w:val="32"/>
          <w:u w:val="single"/>
        </w:rPr>
        <w:t>12、</w:t>
      </w:r>
      <w:r>
        <w:rPr>
          <w:rFonts w:hint="eastAsia" w:eastAsia="仿宋_GB2312"/>
          <w:sz w:val="30"/>
          <w:szCs w:val="32"/>
          <w:u w:val="single"/>
        </w:rPr>
        <w:t>承包人在场内发生的安全、消防、环保事故，应在知道情况后30分钟内如实报送到发包方代表处，并立即开展事故救援和处置</w:t>
      </w:r>
      <w:r>
        <w:rPr>
          <w:rFonts w:eastAsia="仿宋_GB2312"/>
          <w:sz w:val="30"/>
          <w:szCs w:val="32"/>
          <w:u w:val="single"/>
        </w:rPr>
        <w:t>；</w:t>
      </w:r>
    </w:p>
    <w:p w14:paraId="02BB4395">
      <w:pPr>
        <w:spacing w:line="360" w:lineRule="auto"/>
        <w:ind w:firstLine="600" w:firstLineChars="200"/>
        <w:jc w:val="left"/>
        <w:rPr>
          <w:rFonts w:eastAsia="仿宋_GB2312"/>
          <w:sz w:val="30"/>
          <w:szCs w:val="32"/>
          <w:u w:val="single"/>
        </w:rPr>
      </w:pPr>
      <w:r>
        <w:rPr>
          <w:rFonts w:hint="eastAsia" w:eastAsia="仿宋_GB2312"/>
          <w:sz w:val="30"/>
          <w:szCs w:val="32"/>
          <w:u w:val="single"/>
        </w:rPr>
        <w:t>13、本工程施工过程中产生的建筑垃圾，承包人必须运送至经行政主管部门核准的合法消纳场（渣场） 进行倾倒，严禁擅自倾倒、抛撒或者堆放，严禁将建筑垃圾交由无资质单位或个人处置。若发现承包人存在未合法倾倒建筑垃圾行为，发包人将按每次处以50000元的罚款，罚款将从当期工程进度款中直接扣除。累计发生2次违规行为或单次违规造成恶劣影响的，发包人有权暂停支付工程进度款，直至承包人完成整改并提供合法证明为止；情节严重的，可以解除合同；</w:t>
      </w:r>
    </w:p>
    <w:p w14:paraId="08F4BEC8">
      <w:pPr>
        <w:spacing w:line="360" w:lineRule="auto"/>
        <w:ind w:firstLine="600" w:firstLineChars="200"/>
        <w:jc w:val="left"/>
        <w:rPr>
          <w:rFonts w:eastAsia="仿宋_GB2312"/>
          <w:sz w:val="30"/>
          <w:szCs w:val="32"/>
          <w:u w:val="single"/>
        </w:rPr>
      </w:pPr>
      <w:r>
        <w:rPr>
          <w:rFonts w:hint="eastAsia" w:eastAsia="仿宋_GB2312"/>
          <w:sz w:val="30"/>
          <w:szCs w:val="32"/>
          <w:u w:val="single"/>
        </w:rPr>
        <w:t>14、因承包人未合法倾倒建筑垃圾导致的一切损失及责任，由承包人承担，包括但不限于：</w:t>
      </w:r>
    </w:p>
    <w:p w14:paraId="5F5D5938">
      <w:pPr>
        <w:spacing w:line="360" w:lineRule="auto"/>
        <w:ind w:firstLine="600" w:firstLineChars="200"/>
        <w:jc w:val="left"/>
        <w:rPr>
          <w:rFonts w:eastAsia="仿宋_GB2312"/>
          <w:sz w:val="30"/>
          <w:szCs w:val="32"/>
          <w:u w:val="single"/>
        </w:rPr>
      </w:pPr>
      <w:r>
        <w:rPr>
          <w:rFonts w:hint="eastAsia" w:eastAsia="仿宋_GB2312"/>
          <w:sz w:val="30"/>
          <w:szCs w:val="32"/>
          <w:u w:val="single"/>
        </w:rPr>
        <w:t>（1）.行政主管部门对发包人及承包人的罚款、滞纳金；</w:t>
      </w:r>
    </w:p>
    <w:p w14:paraId="14B2D655">
      <w:pPr>
        <w:spacing w:line="360" w:lineRule="auto"/>
        <w:ind w:firstLine="600" w:firstLineChars="200"/>
        <w:jc w:val="left"/>
        <w:rPr>
          <w:rFonts w:eastAsia="仿宋_GB2312"/>
          <w:sz w:val="30"/>
          <w:szCs w:val="32"/>
          <w:u w:val="single"/>
        </w:rPr>
      </w:pPr>
      <w:r>
        <w:rPr>
          <w:rFonts w:hint="eastAsia" w:eastAsia="仿宋_GB2312"/>
          <w:sz w:val="30"/>
          <w:szCs w:val="32"/>
          <w:u w:val="single"/>
        </w:rPr>
        <w:t>（2）.因违规倾倒造成的环境污染、第三方财产损失或人身损害的赔偿款；</w:t>
      </w:r>
    </w:p>
    <w:p w14:paraId="05AA58CD">
      <w:pPr>
        <w:spacing w:line="360" w:lineRule="auto"/>
        <w:ind w:firstLine="600" w:firstLineChars="200"/>
        <w:jc w:val="left"/>
        <w:rPr>
          <w:rFonts w:eastAsia="仿宋_GB2312"/>
          <w:sz w:val="30"/>
          <w:szCs w:val="32"/>
          <w:u w:val="single"/>
        </w:rPr>
      </w:pPr>
      <w:r>
        <w:rPr>
          <w:rFonts w:hint="eastAsia" w:eastAsia="仿宋_GB2312"/>
          <w:sz w:val="30"/>
          <w:szCs w:val="32"/>
          <w:u w:val="single"/>
        </w:rPr>
        <w:t>（3）.发包人因处理违规事宜支出的律师费、诉讼费、鉴定费等维权费用；</w:t>
      </w:r>
    </w:p>
    <w:p w14:paraId="51F2A265">
      <w:pPr>
        <w:spacing w:line="360" w:lineRule="auto"/>
        <w:ind w:firstLine="600" w:firstLineChars="200"/>
        <w:jc w:val="left"/>
        <w:rPr>
          <w:rFonts w:eastAsia="仿宋_GB2312"/>
          <w:sz w:val="30"/>
          <w:szCs w:val="32"/>
          <w:u w:val="single"/>
        </w:rPr>
      </w:pPr>
      <w:r>
        <w:rPr>
          <w:rFonts w:hint="eastAsia" w:eastAsia="仿宋_GB2312"/>
          <w:sz w:val="30"/>
          <w:szCs w:val="32"/>
          <w:u w:val="single"/>
        </w:rPr>
        <w:t>（4）.其他因承包人未合法倾倒建筑垃圾导致的一切费用。</w:t>
      </w:r>
    </w:p>
    <w:p w14:paraId="56B7B820">
      <w:pPr>
        <w:spacing w:line="360" w:lineRule="auto"/>
        <w:ind w:firstLine="600" w:firstLineChars="200"/>
        <w:jc w:val="left"/>
        <w:rPr>
          <w:rFonts w:eastAsia="仿宋_GB2312"/>
          <w:sz w:val="30"/>
          <w:szCs w:val="32"/>
          <w:u w:val="single"/>
        </w:rPr>
      </w:pPr>
      <w:r>
        <w:rPr>
          <w:rFonts w:eastAsia="仿宋_GB2312"/>
          <w:sz w:val="30"/>
          <w:szCs w:val="32"/>
          <w:u w:val="single"/>
        </w:rPr>
        <w:t>1</w:t>
      </w:r>
      <w:r>
        <w:rPr>
          <w:rFonts w:hint="eastAsia" w:eastAsia="仿宋_GB2312"/>
          <w:sz w:val="30"/>
          <w:szCs w:val="32"/>
          <w:u w:val="single"/>
        </w:rPr>
        <w:t>5</w:t>
      </w:r>
      <w:r>
        <w:rPr>
          <w:rFonts w:eastAsia="仿宋_GB2312"/>
          <w:sz w:val="30"/>
          <w:szCs w:val="32"/>
          <w:u w:val="single"/>
        </w:rPr>
        <w:t>、</w:t>
      </w:r>
      <w:r>
        <w:rPr>
          <w:rFonts w:hint="eastAsia" w:eastAsia="仿宋_GB2312"/>
          <w:sz w:val="30"/>
          <w:szCs w:val="32"/>
          <w:u w:val="single"/>
        </w:rPr>
        <w:t>安全文明施工的相应条款及违约处理见本合同附件《安全环保协议》</w:t>
      </w:r>
      <w:r>
        <w:rPr>
          <w:rFonts w:eastAsia="仿宋_GB2312"/>
          <w:sz w:val="30"/>
          <w:szCs w:val="32"/>
          <w:u w:val="single"/>
        </w:rPr>
        <w:t>。</w:t>
      </w:r>
    </w:p>
    <w:p w14:paraId="19D5B9F3">
      <w:pPr>
        <w:spacing w:line="360" w:lineRule="auto"/>
        <w:ind w:firstLine="600" w:firstLineChars="200"/>
        <w:jc w:val="left"/>
        <w:rPr>
          <w:rFonts w:eastAsia="仿宋_GB2312"/>
          <w:sz w:val="30"/>
          <w:szCs w:val="32"/>
          <w:u w:val="single"/>
        </w:rPr>
      </w:pPr>
      <w:r>
        <w:rPr>
          <w:rFonts w:eastAsia="仿宋_GB2312"/>
          <w:sz w:val="30"/>
          <w:szCs w:val="32"/>
        </w:rPr>
        <w:t>6.1.4 关于治安保卫的特别约定：</w:t>
      </w:r>
      <w:r>
        <w:rPr>
          <w:rFonts w:eastAsia="仿宋_GB2312"/>
          <w:sz w:val="30"/>
          <w:szCs w:val="32"/>
          <w:u w:val="single"/>
        </w:rPr>
        <w:t xml:space="preserve">  </w:t>
      </w:r>
      <w:r>
        <w:rPr>
          <w:rFonts w:hint="eastAsia" w:eastAsia="仿宋_GB2312"/>
          <w:sz w:val="30"/>
          <w:szCs w:val="32"/>
          <w:u w:val="single"/>
        </w:rPr>
        <w:t>现场治安管理机构或联防组织的组建由承包人负责</w:t>
      </w:r>
      <w:r>
        <w:rPr>
          <w:rFonts w:eastAsia="仿宋_GB2312"/>
          <w:sz w:val="30"/>
          <w:szCs w:val="32"/>
          <w:u w:val="single"/>
        </w:rPr>
        <w:t xml:space="preserve">  </w:t>
      </w:r>
      <w:r>
        <w:rPr>
          <w:rFonts w:eastAsia="仿宋_GB2312"/>
          <w:sz w:val="30"/>
          <w:szCs w:val="32"/>
        </w:rPr>
        <w:t>。</w:t>
      </w:r>
    </w:p>
    <w:p w14:paraId="74BAD6AF">
      <w:pPr>
        <w:spacing w:line="360" w:lineRule="auto"/>
        <w:ind w:firstLine="600" w:firstLineChars="200"/>
        <w:jc w:val="left"/>
        <w:rPr>
          <w:rFonts w:eastAsia="仿宋_GB2312"/>
          <w:sz w:val="30"/>
          <w:szCs w:val="32"/>
        </w:rPr>
      </w:pPr>
      <w:r>
        <w:rPr>
          <w:rFonts w:eastAsia="仿宋_GB2312"/>
          <w:sz w:val="30"/>
          <w:szCs w:val="32"/>
        </w:rPr>
        <w:t>关于编制施工场地治安管理计划的约定：</w:t>
      </w:r>
      <w:r>
        <w:rPr>
          <w:rFonts w:hint="eastAsia" w:eastAsia="仿宋_GB2312"/>
          <w:sz w:val="30"/>
          <w:szCs w:val="32"/>
          <w:u w:val="single"/>
        </w:rPr>
        <w:t>由承包人编制，并由承包人承担施工安全保卫工作及非夜间施工照明安全保卫工作</w:t>
      </w:r>
      <w:r>
        <w:rPr>
          <w:rFonts w:eastAsia="仿宋_GB2312"/>
          <w:sz w:val="30"/>
          <w:szCs w:val="32"/>
          <w:u w:val="single"/>
        </w:rPr>
        <w:t xml:space="preserve">   </w:t>
      </w:r>
      <w:r>
        <w:rPr>
          <w:rFonts w:eastAsia="仿宋_GB2312"/>
          <w:sz w:val="30"/>
          <w:szCs w:val="32"/>
        </w:rPr>
        <w:t>。</w:t>
      </w:r>
    </w:p>
    <w:p w14:paraId="2D2E84CA">
      <w:pPr>
        <w:spacing w:line="360" w:lineRule="auto"/>
        <w:ind w:firstLine="600" w:firstLineChars="200"/>
        <w:jc w:val="left"/>
        <w:rPr>
          <w:rFonts w:eastAsia="仿宋_GB2312"/>
          <w:sz w:val="30"/>
          <w:szCs w:val="32"/>
        </w:rPr>
      </w:pPr>
      <w:r>
        <w:rPr>
          <w:rFonts w:hint="eastAsia" w:eastAsia="仿宋_GB2312"/>
          <w:sz w:val="30"/>
          <w:szCs w:val="32"/>
        </w:rPr>
        <w:t>6.1.5 文明施工</w:t>
      </w:r>
    </w:p>
    <w:p w14:paraId="52955DFC">
      <w:pPr>
        <w:ind w:firstLine="576" w:firstLineChars="192"/>
        <w:rPr>
          <w:rFonts w:eastAsia="仿宋_GB2312"/>
          <w:sz w:val="30"/>
          <w:szCs w:val="32"/>
          <w:u w:val="single"/>
        </w:rPr>
      </w:pPr>
      <w:r>
        <w:rPr>
          <w:rFonts w:hint="eastAsia" w:eastAsia="仿宋_GB2312"/>
          <w:sz w:val="30"/>
          <w:szCs w:val="32"/>
        </w:rPr>
        <w:t>合同当事人对文明施工的要求：</w:t>
      </w:r>
    </w:p>
    <w:p w14:paraId="0DAC4F4E">
      <w:pPr>
        <w:numPr>
          <w:ilvl w:val="0"/>
          <w:numId w:val="8"/>
        </w:numPr>
        <w:ind w:firstLine="576" w:firstLineChars="192"/>
        <w:rPr>
          <w:rFonts w:eastAsia="仿宋_GB2312"/>
          <w:sz w:val="30"/>
          <w:szCs w:val="32"/>
          <w:u w:val="single"/>
        </w:rPr>
      </w:pPr>
      <w:r>
        <w:rPr>
          <w:rFonts w:hint="eastAsia" w:eastAsia="仿宋_GB2312"/>
          <w:sz w:val="30"/>
          <w:szCs w:val="32"/>
          <w:u w:val="single"/>
        </w:rPr>
        <w:t>工程施工现场必须设置施工围挡,承包人应在施工现场周边设置不低于2米的封闭围挡，施工围挡应当采用彩钢硬质材料制作，并且统一、牢固、整洁、美观，不得无施工围挡作业。在转弯及十字路口的施工围挡应满足交通的通视要求。</w:t>
      </w:r>
    </w:p>
    <w:p w14:paraId="751FD932">
      <w:pPr>
        <w:numPr>
          <w:ilvl w:val="0"/>
          <w:numId w:val="8"/>
        </w:numPr>
        <w:ind w:firstLine="576" w:firstLineChars="192"/>
        <w:rPr>
          <w:rFonts w:eastAsia="仿宋_GB2312"/>
          <w:sz w:val="30"/>
          <w:szCs w:val="32"/>
          <w:u w:val="single"/>
        </w:rPr>
      </w:pPr>
      <w:r>
        <w:rPr>
          <w:rFonts w:hint="eastAsia" w:eastAsia="仿宋_GB2312"/>
          <w:sz w:val="30"/>
          <w:szCs w:val="32"/>
          <w:u w:val="single"/>
        </w:rPr>
        <w:t>承包人应在施工现场主要出入口或起止点、主要施工活动点设置门头标志。出入口宽度一般不超过5米，地面实行硬覆盖，硬覆盖宽度与出入口一致。</w:t>
      </w:r>
    </w:p>
    <w:p w14:paraId="3D0B2463">
      <w:pPr>
        <w:numPr>
          <w:ilvl w:val="0"/>
          <w:numId w:val="8"/>
        </w:numPr>
        <w:ind w:firstLine="576" w:firstLineChars="192"/>
        <w:rPr>
          <w:rFonts w:eastAsia="仿宋_GB2312"/>
          <w:sz w:val="30"/>
          <w:szCs w:val="32"/>
          <w:u w:val="single"/>
        </w:rPr>
      </w:pPr>
      <w:r>
        <w:rPr>
          <w:rFonts w:hint="eastAsia" w:eastAsia="仿宋_GB2312"/>
          <w:sz w:val="30"/>
          <w:szCs w:val="32"/>
          <w:u w:val="single"/>
        </w:rPr>
        <w:t>施工单位必须在施工现场主要施工活动点设置“六牌一图”。具体包括工程概况牌、管理人员名单及监督电话牌、消防保卫牌、安全生产牌、文明施工牌、安全生产重点防护内容牌及施工现场总平面图。</w:t>
      </w:r>
    </w:p>
    <w:p w14:paraId="1F7C91E1">
      <w:pPr>
        <w:numPr>
          <w:ilvl w:val="0"/>
          <w:numId w:val="8"/>
        </w:numPr>
        <w:ind w:firstLine="576" w:firstLineChars="192"/>
        <w:rPr>
          <w:rFonts w:eastAsia="仿宋_GB2312"/>
          <w:sz w:val="30"/>
          <w:szCs w:val="32"/>
          <w:u w:val="single"/>
        </w:rPr>
      </w:pPr>
      <w:r>
        <w:rPr>
          <w:rFonts w:hint="eastAsia" w:eastAsia="仿宋_GB2312"/>
          <w:sz w:val="30"/>
          <w:szCs w:val="32"/>
          <w:u w:val="single"/>
        </w:rPr>
        <w:t>施工现场办公室、食堂、厕所、浴室以及其它临时建筑应符合安全、消防、卫生的有关规定；禁止用钢管、三合板、毛竹等搭设简易工棚。生活垃圾应集中存放，按时清理，不得混入渣土或建筑垃圾。</w:t>
      </w:r>
    </w:p>
    <w:p w14:paraId="4D709A27">
      <w:pPr>
        <w:numPr>
          <w:ilvl w:val="0"/>
          <w:numId w:val="8"/>
        </w:numPr>
        <w:ind w:firstLine="576" w:firstLineChars="192"/>
        <w:rPr>
          <w:rFonts w:eastAsia="仿宋_GB2312"/>
          <w:sz w:val="30"/>
          <w:szCs w:val="32"/>
          <w:u w:val="single"/>
        </w:rPr>
      </w:pPr>
      <w:r>
        <w:rPr>
          <w:rFonts w:hint="eastAsia" w:eastAsia="仿宋_GB2312"/>
          <w:sz w:val="30"/>
          <w:szCs w:val="32"/>
          <w:u w:val="single"/>
        </w:rPr>
        <w:t xml:space="preserve">工程施工应尽量减少对周边环境的影响。施工现场应做到：①采取防止扬尘的措施，地面局部清扫时应采用洒水作业，在风速六级及以上天气时，承包人不得进行土方回填及土方施工作业；施工机械车辆进场前，应做好清洁、保养和维护工作。进出车辆应有专人打扫、清洗。有密封要求的按规定必须达到；施工临时排水应确保施工场地和周边无积水，并采取措施确保不向路面和通道排放；施工现场应设置排水沟、沉淀池，施工污水经沉淀后方可排入市政污水管网或河流。②按照现行国家标准《建筑施工场界噪声限值及其测量方法》(GB 12523-12524)制定降噪措施。在规定的作业时间和范围内，合理安排作业内容，使用低噪声的施工机械设备，采用隔音措施，使施工产生的噪声符合上述国家标准要求。确需夜间施工的，须经有关管理部门批准。  </w:t>
      </w:r>
    </w:p>
    <w:p w14:paraId="323BC0C4">
      <w:pPr>
        <w:numPr>
          <w:ilvl w:val="0"/>
          <w:numId w:val="8"/>
        </w:numPr>
        <w:ind w:firstLine="576" w:firstLineChars="192"/>
        <w:rPr>
          <w:rFonts w:eastAsia="仿宋_GB2312"/>
          <w:sz w:val="30"/>
          <w:szCs w:val="32"/>
          <w:u w:val="single"/>
        </w:rPr>
      </w:pPr>
      <w:r>
        <w:rPr>
          <w:rFonts w:hint="eastAsia" w:eastAsia="仿宋_GB2312"/>
          <w:sz w:val="30"/>
          <w:szCs w:val="32"/>
          <w:u w:val="single"/>
        </w:rPr>
        <w:t>施工范围内的沟井坎坑及孔洞，必须设置防护栏杆和安全警示标志，夜间必须红灯示警。</w:t>
      </w:r>
    </w:p>
    <w:p w14:paraId="5A23176B">
      <w:pPr>
        <w:numPr>
          <w:ilvl w:val="0"/>
          <w:numId w:val="8"/>
        </w:numPr>
        <w:ind w:firstLine="576" w:firstLineChars="192"/>
        <w:rPr>
          <w:rFonts w:eastAsia="仿宋_GB2312"/>
          <w:sz w:val="30"/>
          <w:szCs w:val="32"/>
          <w:u w:val="single"/>
        </w:rPr>
      </w:pPr>
      <w:r>
        <w:rPr>
          <w:rFonts w:hint="eastAsia" w:eastAsia="仿宋_GB2312"/>
          <w:sz w:val="30"/>
          <w:szCs w:val="32"/>
          <w:u w:val="single"/>
        </w:rPr>
        <w:t xml:space="preserve">施工现场内建筑材料、构件、料具应按总平面布局堆放，材料应悬挂名称、品种规格等内容标牌，并堆放整齐 </w:t>
      </w:r>
      <w:r>
        <w:rPr>
          <w:rFonts w:hint="eastAsia" w:eastAsia="仿宋_GB2312"/>
          <w:sz w:val="30"/>
          <w:szCs w:val="32"/>
        </w:rPr>
        <w:t>。</w:t>
      </w:r>
    </w:p>
    <w:bookmarkEnd w:id="205"/>
    <w:bookmarkEnd w:id="206"/>
    <w:bookmarkEnd w:id="207"/>
    <w:bookmarkEnd w:id="208"/>
    <w:bookmarkEnd w:id="209"/>
    <w:bookmarkEnd w:id="210"/>
    <w:bookmarkEnd w:id="211"/>
    <w:p w14:paraId="22772CA1">
      <w:pPr>
        <w:pStyle w:val="5"/>
        <w:spacing w:before="120" w:after="120" w:line="360" w:lineRule="auto"/>
        <w:rPr>
          <w:rFonts w:ascii="Times New Roman" w:hAnsi="Times New Roman" w:eastAsia="黑体"/>
          <w:b w:val="0"/>
          <w:color w:val="000000"/>
          <w:sz w:val="32"/>
          <w:szCs w:val="32"/>
        </w:rPr>
      </w:pPr>
      <w:bookmarkStart w:id="213" w:name="_Toc351203639"/>
      <w:r>
        <w:rPr>
          <w:rFonts w:ascii="Times New Roman" w:hAnsi="Times New Roman" w:eastAsia="黑体"/>
          <w:b w:val="0"/>
          <w:color w:val="000000"/>
          <w:sz w:val="32"/>
          <w:szCs w:val="32"/>
        </w:rPr>
        <w:t>7. 工期和进度</w:t>
      </w:r>
      <w:bookmarkEnd w:id="213"/>
    </w:p>
    <w:p w14:paraId="73F7F3B7">
      <w:pPr>
        <w:spacing w:after="120" w:line="360" w:lineRule="auto"/>
        <w:ind w:firstLine="600" w:firstLineChars="200"/>
        <w:rPr>
          <w:rFonts w:eastAsia="黑体"/>
          <w:color w:val="000000"/>
          <w:sz w:val="30"/>
          <w:szCs w:val="32"/>
        </w:rPr>
      </w:pPr>
      <w:r>
        <w:rPr>
          <w:rFonts w:eastAsia="黑体"/>
          <w:color w:val="000000"/>
          <w:sz w:val="30"/>
          <w:szCs w:val="32"/>
        </w:rPr>
        <w:t>7.1 施工组织设计</w:t>
      </w:r>
    </w:p>
    <w:p w14:paraId="2DA58F48">
      <w:pPr>
        <w:autoSpaceDE w:val="0"/>
        <w:autoSpaceDN w:val="0"/>
        <w:adjustRightInd w:val="0"/>
        <w:spacing w:line="360" w:lineRule="auto"/>
        <w:ind w:firstLine="600" w:firstLineChars="200"/>
        <w:jc w:val="left"/>
        <w:rPr>
          <w:rFonts w:eastAsia="仿宋_GB2312"/>
          <w:color w:val="000000"/>
          <w:kern w:val="0"/>
          <w:sz w:val="30"/>
          <w:szCs w:val="32"/>
        </w:rPr>
      </w:pPr>
      <w:r>
        <w:rPr>
          <w:rFonts w:eastAsia="仿宋_GB2312"/>
          <w:sz w:val="30"/>
          <w:szCs w:val="32"/>
        </w:rPr>
        <w:t>7.1.2</w:t>
      </w:r>
      <w:r>
        <w:rPr>
          <w:rFonts w:eastAsia="仿宋_GB2312"/>
          <w:color w:val="000000"/>
          <w:sz w:val="30"/>
          <w:szCs w:val="32"/>
        </w:rPr>
        <w:t xml:space="preserve"> </w:t>
      </w:r>
      <w:r>
        <w:rPr>
          <w:rFonts w:eastAsia="仿宋_GB2312"/>
          <w:color w:val="000000"/>
          <w:kern w:val="0"/>
          <w:sz w:val="30"/>
          <w:szCs w:val="32"/>
        </w:rPr>
        <w:t>施工组织设计的提交和修改</w:t>
      </w:r>
    </w:p>
    <w:p w14:paraId="658B5C28">
      <w:pPr>
        <w:autoSpaceDE w:val="0"/>
        <w:autoSpaceDN w:val="0"/>
        <w:adjustRightInd w:val="0"/>
        <w:spacing w:line="360" w:lineRule="auto"/>
        <w:jc w:val="left"/>
        <w:rPr>
          <w:rFonts w:eastAsia="仿宋_GB2312"/>
          <w:sz w:val="30"/>
          <w:szCs w:val="32"/>
        </w:rPr>
      </w:pPr>
      <w:r>
        <w:rPr>
          <w:rFonts w:eastAsia="仿宋_GB2312"/>
          <w:color w:val="000000"/>
          <w:kern w:val="0"/>
          <w:sz w:val="30"/>
          <w:szCs w:val="32"/>
        </w:rPr>
        <w:t>承包人提交详细施工组织设计的期限的约定：</w:t>
      </w:r>
      <w:r>
        <w:rPr>
          <w:rFonts w:eastAsia="仿宋_GB2312"/>
          <w:sz w:val="30"/>
          <w:szCs w:val="32"/>
          <w:u w:val="single"/>
        </w:rPr>
        <w:t xml:space="preserve"> </w:t>
      </w:r>
      <w:r>
        <w:rPr>
          <w:rFonts w:hint="eastAsia" w:eastAsia="仿宋_GB2312"/>
          <w:sz w:val="30"/>
          <w:szCs w:val="32"/>
          <w:u w:val="single"/>
        </w:rPr>
        <w:t>开工前7天</w:t>
      </w:r>
      <w:r>
        <w:rPr>
          <w:rFonts w:eastAsia="仿宋_GB2312"/>
          <w:sz w:val="30"/>
          <w:szCs w:val="32"/>
          <w:u w:val="single"/>
        </w:rPr>
        <w:t xml:space="preserve">  </w:t>
      </w:r>
      <w:r>
        <w:rPr>
          <w:rFonts w:eastAsia="仿宋_GB2312"/>
          <w:sz w:val="30"/>
          <w:szCs w:val="32"/>
        </w:rPr>
        <w:t>。</w:t>
      </w:r>
    </w:p>
    <w:p w14:paraId="771C015A">
      <w:pPr>
        <w:spacing w:line="360" w:lineRule="auto"/>
        <w:ind w:firstLine="600" w:firstLineChars="200"/>
        <w:jc w:val="left"/>
        <w:rPr>
          <w:rFonts w:eastAsia="仿宋_GB2312"/>
          <w:color w:val="000000"/>
          <w:sz w:val="30"/>
          <w:szCs w:val="32"/>
        </w:rPr>
      </w:pPr>
      <w:r>
        <w:rPr>
          <w:rFonts w:eastAsia="仿宋_GB2312"/>
          <w:color w:val="000000"/>
          <w:sz w:val="30"/>
          <w:szCs w:val="32"/>
        </w:rPr>
        <w:t>发包人和监理人在收到</w:t>
      </w:r>
      <w:r>
        <w:rPr>
          <w:rFonts w:hint="eastAsia" w:eastAsia="仿宋_GB2312"/>
          <w:color w:val="000000"/>
          <w:sz w:val="30"/>
          <w:szCs w:val="32"/>
        </w:rPr>
        <w:t>详细的施工组织设计</w:t>
      </w:r>
      <w:r>
        <w:rPr>
          <w:rFonts w:eastAsia="仿宋_GB2312"/>
          <w:color w:val="000000"/>
          <w:sz w:val="30"/>
          <w:szCs w:val="32"/>
        </w:rPr>
        <w:t>后确认或提出修改意见的期限：</w:t>
      </w:r>
      <w:r>
        <w:rPr>
          <w:rFonts w:eastAsia="仿宋_GB2312"/>
          <w:sz w:val="30"/>
          <w:szCs w:val="32"/>
          <w:u w:val="single"/>
        </w:rPr>
        <w:t xml:space="preserve"> 7</w:t>
      </w:r>
      <w:r>
        <w:rPr>
          <w:rFonts w:hint="eastAsia" w:eastAsia="仿宋_GB2312"/>
          <w:sz w:val="30"/>
          <w:szCs w:val="32"/>
          <w:u w:val="single"/>
        </w:rPr>
        <w:t xml:space="preserve">天 </w:t>
      </w:r>
      <w:r>
        <w:rPr>
          <w:rFonts w:eastAsia="仿宋_GB2312"/>
          <w:sz w:val="30"/>
          <w:szCs w:val="32"/>
        </w:rPr>
        <w:t>。</w:t>
      </w:r>
    </w:p>
    <w:p w14:paraId="22D7B482">
      <w:pPr>
        <w:spacing w:after="120" w:line="360" w:lineRule="auto"/>
        <w:ind w:firstLine="600" w:firstLineChars="200"/>
        <w:rPr>
          <w:rFonts w:eastAsia="黑体"/>
          <w:color w:val="000000"/>
          <w:sz w:val="30"/>
          <w:szCs w:val="32"/>
        </w:rPr>
      </w:pPr>
      <w:r>
        <w:rPr>
          <w:rFonts w:eastAsia="黑体"/>
          <w:color w:val="000000"/>
          <w:sz w:val="30"/>
          <w:szCs w:val="32"/>
        </w:rPr>
        <w:t>7</w:t>
      </w:r>
      <w:bookmarkStart w:id="214" w:name="_Toc300934966"/>
      <w:bookmarkStart w:id="215" w:name="_Toc312677479"/>
      <w:bookmarkStart w:id="216" w:name="_Toc297123514"/>
      <w:bookmarkStart w:id="217" w:name="_Toc312678005"/>
      <w:bookmarkStart w:id="218" w:name="_Toc303539123"/>
      <w:bookmarkStart w:id="219" w:name="_Toc297216173"/>
      <w:bookmarkStart w:id="220" w:name="_Toc304295541"/>
      <w:r>
        <w:rPr>
          <w:rFonts w:eastAsia="黑体"/>
          <w:color w:val="000000"/>
          <w:sz w:val="30"/>
          <w:szCs w:val="32"/>
        </w:rPr>
        <w:t>.2 施工进度计划</w:t>
      </w:r>
    </w:p>
    <w:p w14:paraId="177AA5A2">
      <w:pPr>
        <w:spacing w:line="360" w:lineRule="auto"/>
        <w:ind w:firstLine="600" w:firstLineChars="200"/>
        <w:jc w:val="left"/>
        <w:rPr>
          <w:rFonts w:eastAsia="仿宋_GB2312"/>
          <w:color w:val="000000"/>
          <w:sz w:val="30"/>
          <w:szCs w:val="32"/>
        </w:rPr>
      </w:pPr>
      <w:r>
        <w:rPr>
          <w:rFonts w:eastAsia="仿宋_GB2312"/>
          <w:color w:val="000000"/>
          <w:sz w:val="30"/>
          <w:szCs w:val="32"/>
        </w:rPr>
        <w:t>7.2.2 施工进度计划的修订</w:t>
      </w:r>
    </w:p>
    <w:p w14:paraId="78BE2E87">
      <w:pPr>
        <w:spacing w:line="360" w:lineRule="auto"/>
        <w:ind w:firstLine="600" w:firstLineChars="200"/>
        <w:jc w:val="left"/>
        <w:rPr>
          <w:rFonts w:eastAsia="仿宋_GB2312"/>
          <w:sz w:val="30"/>
          <w:szCs w:val="32"/>
        </w:rPr>
      </w:pPr>
      <w:r>
        <w:rPr>
          <w:rFonts w:eastAsia="仿宋_GB2312"/>
          <w:color w:val="000000"/>
          <w:sz w:val="30"/>
          <w:szCs w:val="32"/>
        </w:rPr>
        <w:t>发包人和监理人在收到修订的施工进度计划后确认或提出修改意见的期限：</w:t>
      </w:r>
      <w:r>
        <w:rPr>
          <w:rFonts w:eastAsia="仿宋_GB2312"/>
          <w:sz w:val="30"/>
          <w:szCs w:val="32"/>
          <w:u w:val="single"/>
        </w:rPr>
        <w:t xml:space="preserve">  7</w:t>
      </w:r>
      <w:r>
        <w:rPr>
          <w:rFonts w:hint="eastAsia" w:eastAsia="仿宋_GB2312"/>
          <w:sz w:val="30"/>
          <w:szCs w:val="32"/>
          <w:u w:val="single"/>
        </w:rPr>
        <w:t>天</w:t>
      </w:r>
      <w:r>
        <w:rPr>
          <w:rFonts w:eastAsia="仿宋_GB2312"/>
          <w:sz w:val="30"/>
          <w:szCs w:val="32"/>
          <w:u w:val="single"/>
        </w:rPr>
        <w:t xml:space="preserve"> </w:t>
      </w:r>
      <w:r>
        <w:rPr>
          <w:rFonts w:eastAsia="仿宋_GB2312"/>
          <w:sz w:val="30"/>
          <w:szCs w:val="32"/>
        </w:rPr>
        <w:t>。</w:t>
      </w:r>
    </w:p>
    <w:p w14:paraId="2500DA27">
      <w:pPr>
        <w:spacing w:line="360" w:lineRule="auto"/>
        <w:ind w:firstLine="600" w:firstLineChars="200"/>
        <w:rPr>
          <w:rFonts w:ascii="宋体" w:hAnsi="宋体"/>
          <w:color w:val="000000"/>
          <w:szCs w:val="21"/>
        </w:rPr>
      </w:pPr>
      <w:r>
        <w:rPr>
          <w:rFonts w:eastAsia="仿宋_GB2312"/>
          <w:sz w:val="30"/>
          <w:szCs w:val="32"/>
        </w:rPr>
        <w:t>7.2.3</w:t>
      </w:r>
      <w:r>
        <w:rPr>
          <w:rFonts w:hint="eastAsia" w:eastAsia="仿宋_GB2312"/>
          <w:color w:val="000000"/>
          <w:sz w:val="30"/>
          <w:szCs w:val="32"/>
        </w:rPr>
        <w:t>关于进度的其他约定：</w:t>
      </w:r>
    </w:p>
    <w:p w14:paraId="2ED773D7">
      <w:pPr>
        <w:spacing w:line="360" w:lineRule="auto"/>
        <w:ind w:firstLine="600" w:firstLineChars="200"/>
        <w:jc w:val="left"/>
        <w:rPr>
          <w:rFonts w:eastAsia="仿宋_GB2312"/>
          <w:sz w:val="30"/>
          <w:szCs w:val="32"/>
          <w:u w:val="single"/>
        </w:rPr>
      </w:pPr>
      <w:r>
        <w:rPr>
          <w:rFonts w:hint="eastAsia" w:eastAsia="仿宋_GB2312"/>
          <w:sz w:val="30"/>
          <w:szCs w:val="32"/>
          <w:u w:val="single"/>
        </w:rPr>
        <w:t>1、承包人应加强计划管理，严格按照发包人确认的工程进度计划组织施工，并接受发包人对工程进度的检查、监督</w:t>
      </w:r>
      <w:r>
        <w:rPr>
          <w:rFonts w:eastAsia="仿宋_GB2312"/>
          <w:sz w:val="30"/>
          <w:szCs w:val="32"/>
          <w:u w:val="single"/>
        </w:rPr>
        <w:t xml:space="preserve"> </w:t>
      </w:r>
      <w:r>
        <w:rPr>
          <w:rFonts w:hint="eastAsia" w:eastAsia="仿宋_GB2312"/>
          <w:sz w:val="30"/>
          <w:szCs w:val="32"/>
          <w:u w:val="single"/>
        </w:rPr>
        <w:t>；</w:t>
      </w:r>
    </w:p>
    <w:p w14:paraId="6C107197">
      <w:pPr>
        <w:spacing w:line="360" w:lineRule="auto"/>
        <w:ind w:firstLine="600" w:firstLineChars="200"/>
        <w:jc w:val="left"/>
        <w:rPr>
          <w:rFonts w:eastAsia="仿宋_GB2312"/>
          <w:sz w:val="30"/>
          <w:szCs w:val="32"/>
          <w:u w:val="single"/>
        </w:rPr>
      </w:pPr>
      <w:r>
        <w:rPr>
          <w:rFonts w:hint="eastAsia" w:eastAsia="仿宋_GB2312"/>
          <w:sz w:val="30"/>
          <w:szCs w:val="32"/>
          <w:u w:val="single"/>
        </w:rPr>
        <w:t>2、为便于发包人掌握和控制工期，承包人应于每月20日前向发包人填报工程的当月进度计划完成情况(未完成计划的必须说明原因)，并在此基础上更新工程进度计划、资金计划和其他工作计划。发包人在接到报告后应当予以确认或提出书面意见，承包人必须按照发包人的确认或者书面意见执行</w:t>
      </w:r>
      <w:r>
        <w:rPr>
          <w:rFonts w:eastAsia="仿宋_GB2312"/>
          <w:sz w:val="30"/>
          <w:szCs w:val="32"/>
          <w:u w:val="single"/>
        </w:rPr>
        <w:t xml:space="preserve"> </w:t>
      </w:r>
      <w:r>
        <w:rPr>
          <w:rFonts w:hint="eastAsia" w:eastAsia="仿宋_GB2312"/>
          <w:sz w:val="30"/>
          <w:szCs w:val="32"/>
          <w:u w:val="single"/>
        </w:rPr>
        <w:t>；</w:t>
      </w:r>
    </w:p>
    <w:p w14:paraId="5D1F278E">
      <w:pPr>
        <w:spacing w:line="360" w:lineRule="auto"/>
        <w:ind w:firstLine="600" w:firstLineChars="200"/>
        <w:jc w:val="left"/>
        <w:rPr>
          <w:rFonts w:eastAsia="仿宋_GB2312"/>
          <w:sz w:val="30"/>
          <w:szCs w:val="32"/>
          <w:u w:val="single"/>
        </w:rPr>
      </w:pPr>
      <w:r>
        <w:rPr>
          <w:rFonts w:hint="eastAsia" w:eastAsia="仿宋_GB2312"/>
          <w:sz w:val="30"/>
          <w:szCs w:val="32"/>
          <w:u w:val="single"/>
        </w:rPr>
        <w:t>3、发包人对工程进度计划的确认不免除承包人应承担的工期延误责任。</w:t>
      </w:r>
    </w:p>
    <w:p w14:paraId="6DB4DFEA">
      <w:pPr>
        <w:spacing w:line="360" w:lineRule="auto"/>
        <w:ind w:firstLine="600" w:firstLineChars="200"/>
        <w:jc w:val="left"/>
        <w:rPr>
          <w:rFonts w:eastAsia="仿宋_GB2312"/>
          <w:sz w:val="30"/>
          <w:szCs w:val="32"/>
          <w:u w:val="single"/>
        </w:rPr>
      </w:pPr>
      <w:r>
        <w:rPr>
          <w:rFonts w:eastAsia="仿宋_GB2312"/>
          <w:sz w:val="30"/>
          <w:szCs w:val="32"/>
          <w:u w:val="single"/>
        </w:rPr>
        <w:t>4、</w:t>
      </w:r>
      <w:r>
        <w:rPr>
          <w:rFonts w:hint="eastAsia" w:eastAsia="仿宋_GB2312"/>
          <w:sz w:val="30"/>
          <w:szCs w:val="32"/>
          <w:u w:val="single"/>
        </w:rPr>
        <w:t>工程实际进度与经工程师确认的进度计划或者更新进度计划不符时，发包人认为本工程或其中任何部分工程进度滞后而不能按预定工期完工，若其主要责任在承包人，则发包人有权要求承包人据此编制修改工程进度计划或单方面中止该施工合同，且承包人无权要求发包人支付任何附加费用。如承包人未能在工程师发布指令后3天内采取有效措施，工程进度仍然无明显改进，发包人有权解除部分或全部合同，将未完工程另行发包给其他有能力的第三方，承包人需配合出场，并承担合同金额10%的违约金。</w:t>
      </w:r>
    </w:p>
    <w:p w14:paraId="0E5887F0">
      <w:pPr>
        <w:spacing w:after="120" w:line="360" w:lineRule="auto"/>
        <w:ind w:firstLine="600" w:firstLineChars="200"/>
        <w:rPr>
          <w:rFonts w:eastAsia="黑体"/>
          <w:color w:val="000000"/>
          <w:sz w:val="30"/>
          <w:szCs w:val="32"/>
        </w:rPr>
      </w:pPr>
      <w:r>
        <w:rPr>
          <w:rFonts w:eastAsia="黑体"/>
          <w:color w:val="000000"/>
          <w:sz w:val="30"/>
          <w:szCs w:val="32"/>
        </w:rPr>
        <w:t>7.3 开工</w:t>
      </w:r>
    </w:p>
    <w:p w14:paraId="7C9B51DB">
      <w:pPr>
        <w:spacing w:line="360" w:lineRule="auto"/>
        <w:ind w:firstLine="600" w:firstLineChars="200"/>
        <w:jc w:val="left"/>
        <w:rPr>
          <w:rFonts w:eastAsia="仿宋_GB2312"/>
          <w:color w:val="000000"/>
          <w:sz w:val="30"/>
          <w:szCs w:val="32"/>
        </w:rPr>
      </w:pPr>
      <w:r>
        <w:rPr>
          <w:rFonts w:eastAsia="仿宋_GB2312"/>
          <w:color w:val="000000"/>
          <w:sz w:val="30"/>
          <w:szCs w:val="32"/>
        </w:rPr>
        <w:t>7.3.2开工通知</w:t>
      </w:r>
    </w:p>
    <w:p w14:paraId="29C7FBCC">
      <w:pPr>
        <w:spacing w:line="360" w:lineRule="auto"/>
        <w:ind w:firstLine="600" w:firstLineChars="200"/>
        <w:jc w:val="left"/>
        <w:rPr>
          <w:rFonts w:eastAsia="仿宋_GB2312"/>
          <w:color w:val="000000"/>
          <w:sz w:val="30"/>
          <w:szCs w:val="32"/>
        </w:rPr>
      </w:pPr>
      <w:r>
        <w:rPr>
          <w:rFonts w:eastAsia="仿宋_GB2312"/>
          <w:color w:val="000000"/>
          <w:sz w:val="30"/>
          <w:szCs w:val="32"/>
        </w:rPr>
        <w:t>因发包人原因造成监理人未能在计划开工日期之日起</w:t>
      </w:r>
      <w:r>
        <w:rPr>
          <w:rFonts w:eastAsia="仿宋_GB2312"/>
          <w:sz w:val="30"/>
          <w:szCs w:val="32"/>
          <w:u w:val="single"/>
        </w:rPr>
        <w:t xml:space="preserve"> 180 </w:t>
      </w:r>
      <w:r>
        <w:rPr>
          <w:rFonts w:eastAsia="仿宋_GB2312"/>
          <w:color w:val="000000"/>
          <w:sz w:val="30"/>
          <w:szCs w:val="32"/>
        </w:rPr>
        <w:t>天内发出开工通知的，承包人有权提出价格调整要求，或者解除合同。</w:t>
      </w:r>
    </w:p>
    <w:bookmarkEnd w:id="214"/>
    <w:bookmarkEnd w:id="215"/>
    <w:bookmarkEnd w:id="216"/>
    <w:bookmarkEnd w:id="217"/>
    <w:bookmarkEnd w:id="218"/>
    <w:bookmarkEnd w:id="219"/>
    <w:bookmarkEnd w:id="220"/>
    <w:p w14:paraId="64122776">
      <w:pPr>
        <w:spacing w:after="120" w:line="360" w:lineRule="auto"/>
        <w:ind w:firstLine="600" w:firstLineChars="200"/>
        <w:rPr>
          <w:rFonts w:eastAsia="黑体"/>
          <w:color w:val="000000"/>
          <w:sz w:val="30"/>
          <w:szCs w:val="32"/>
        </w:rPr>
      </w:pPr>
      <w:r>
        <w:rPr>
          <w:rFonts w:eastAsia="黑体"/>
          <w:color w:val="000000"/>
          <w:sz w:val="30"/>
          <w:szCs w:val="32"/>
        </w:rPr>
        <w:t>7.4 测量放线</w:t>
      </w:r>
    </w:p>
    <w:p w14:paraId="34D99612">
      <w:pPr>
        <w:spacing w:line="360" w:lineRule="auto"/>
        <w:ind w:firstLine="600" w:firstLineChars="200"/>
        <w:jc w:val="left"/>
        <w:rPr>
          <w:rFonts w:eastAsia="仿宋_GB2312"/>
          <w:color w:val="000000"/>
          <w:sz w:val="30"/>
          <w:szCs w:val="32"/>
        </w:rPr>
      </w:pPr>
      <w:r>
        <w:rPr>
          <w:rFonts w:eastAsia="仿宋_GB2312"/>
          <w:sz w:val="30"/>
          <w:szCs w:val="32"/>
        </w:rPr>
        <w:t>7.4.3</w:t>
      </w:r>
      <w:r>
        <w:rPr>
          <w:rFonts w:hint="eastAsia" w:eastAsia="仿宋_GB2312"/>
          <w:color w:val="000000"/>
          <w:sz w:val="30"/>
          <w:szCs w:val="32"/>
        </w:rPr>
        <w:t>承包人在进场施工时应向发包人发出书面要求，要求发包人提供</w:t>
      </w:r>
      <w:r>
        <w:rPr>
          <w:rFonts w:eastAsia="仿宋_GB2312"/>
          <w:color w:val="000000"/>
          <w:sz w:val="30"/>
          <w:szCs w:val="32"/>
        </w:rPr>
        <w:t>测量基准点、基准线和水准点及其书面资料</w:t>
      </w:r>
      <w:r>
        <w:rPr>
          <w:rFonts w:hint="eastAsia" w:eastAsia="仿宋_GB2312"/>
          <w:color w:val="000000"/>
          <w:sz w:val="30"/>
          <w:szCs w:val="32"/>
        </w:rPr>
        <w:t>，承包人应进行复核，如存在错误或疏漏，应及时通知发包人</w:t>
      </w:r>
      <w:r>
        <w:rPr>
          <w:rFonts w:eastAsia="仿宋_GB2312"/>
          <w:color w:val="000000"/>
          <w:sz w:val="30"/>
          <w:szCs w:val="32"/>
        </w:rPr>
        <w:t>予以核实</w:t>
      </w:r>
      <w:r>
        <w:rPr>
          <w:rFonts w:hint="eastAsia" w:eastAsia="仿宋_GB2312"/>
          <w:color w:val="000000"/>
          <w:sz w:val="30"/>
          <w:szCs w:val="32"/>
        </w:rPr>
        <w:t>。</w:t>
      </w:r>
      <w:r>
        <w:rPr>
          <w:rFonts w:eastAsia="仿宋_GB2312"/>
          <w:color w:val="000000"/>
          <w:sz w:val="30"/>
          <w:szCs w:val="32"/>
        </w:rPr>
        <w:t>发包人应就如何处理和是否继续施工作出决定，并通知承包人。</w:t>
      </w:r>
      <w:r>
        <w:rPr>
          <w:rFonts w:hint="eastAsia" w:eastAsia="仿宋_GB2312"/>
          <w:color w:val="000000"/>
          <w:sz w:val="30"/>
          <w:szCs w:val="32"/>
        </w:rPr>
        <w:t>如承包人未向发包人发出书面要求便进行施工，由于缺少以上资料所造成的工期延误、费用损失（包括对发包人造成的直接、间接损失）由承包人承担</w:t>
      </w:r>
      <w:r>
        <w:rPr>
          <w:rFonts w:eastAsia="仿宋_GB2312"/>
          <w:color w:val="000000"/>
          <w:sz w:val="30"/>
          <w:szCs w:val="32"/>
        </w:rPr>
        <w:t>。</w:t>
      </w:r>
      <w:r>
        <w:rPr>
          <w:rFonts w:hint="eastAsia" w:eastAsia="仿宋_GB2312"/>
          <w:color w:val="000000"/>
          <w:sz w:val="30"/>
          <w:szCs w:val="32"/>
        </w:rPr>
        <w:t>如因发包人提供的上述资料错误或疏漏，而承包人未及时发现，则由此造成的损失由承包人承担。</w:t>
      </w:r>
    </w:p>
    <w:p w14:paraId="495EFF71">
      <w:pPr>
        <w:spacing w:after="120" w:line="360" w:lineRule="auto"/>
        <w:ind w:firstLine="600" w:firstLineChars="200"/>
        <w:rPr>
          <w:rFonts w:eastAsia="黑体"/>
          <w:color w:val="000000"/>
          <w:sz w:val="30"/>
          <w:szCs w:val="32"/>
        </w:rPr>
      </w:pPr>
      <w:r>
        <w:rPr>
          <w:rFonts w:eastAsia="黑体"/>
          <w:color w:val="000000"/>
          <w:sz w:val="30"/>
          <w:szCs w:val="32"/>
        </w:rPr>
        <w:t>7</w:t>
      </w:r>
      <w:bookmarkStart w:id="221" w:name="_Toc312677484"/>
      <w:bookmarkStart w:id="222" w:name="_Toc312678010"/>
      <w:bookmarkStart w:id="223" w:name="_Toc297123516"/>
      <w:bookmarkStart w:id="224" w:name="_Toc300934968"/>
      <w:bookmarkStart w:id="225" w:name="_Toc304295546"/>
      <w:bookmarkStart w:id="226" w:name="_Toc297216175"/>
      <w:bookmarkStart w:id="227" w:name="_Toc303539125"/>
      <w:r>
        <w:rPr>
          <w:rFonts w:eastAsia="黑体"/>
          <w:color w:val="000000"/>
          <w:sz w:val="30"/>
          <w:szCs w:val="32"/>
        </w:rPr>
        <w:t>.5 工期延误</w:t>
      </w:r>
    </w:p>
    <w:bookmarkEnd w:id="221"/>
    <w:bookmarkEnd w:id="222"/>
    <w:bookmarkEnd w:id="223"/>
    <w:bookmarkEnd w:id="224"/>
    <w:bookmarkEnd w:id="225"/>
    <w:bookmarkEnd w:id="226"/>
    <w:bookmarkEnd w:id="227"/>
    <w:p w14:paraId="26C7E508">
      <w:pPr>
        <w:spacing w:line="360" w:lineRule="auto"/>
        <w:ind w:firstLine="600" w:firstLineChars="200"/>
        <w:jc w:val="left"/>
        <w:rPr>
          <w:rFonts w:eastAsia="仿宋_GB2312"/>
          <w:color w:val="000000"/>
          <w:sz w:val="30"/>
          <w:szCs w:val="32"/>
        </w:rPr>
      </w:pPr>
      <w:r>
        <w:rPr>
          <w:rFonts w:eastAsia="仿宋_GB2312"/>
          <w:sz w:val="30"/>
          <w:szCs w:val="32"/>
        </w:rPr>
        <w:t>7.5.1</w:t>
      </w:r>
      <w:r>
        <w:rPr>
          <w:rFonts w:hint="eastAsia" w:eastAsia="仿宋_GB2312"/>
          <w:color w:val="000000"/>
          <w:sz w:val="30"/>
          <w:szCs w:val="32"/>
        </w:rPr>
        <w:t>因发包人原因导致工期延误的，工期相应顺延，但承包人不得就因此导致的管理成本、占用临时设施、周转材料、施工机械等任何成本增加的问题向发包人提出任何形式的索赔。</w:t>
      </w:r>
    </w:p>
    <w:p w14:paraId="09DA26B9">
      <w:pPr>
        <w:spacing w:line="360" w:lineRule="auto"/>
        <w:ind w:firstLine="600" w:firstLineChars="200"/>
        <w:jc w:val="left"/>
        <w:rPr>
          <w:rFonts w:eastAsia="仿宋_GB2312"/>
          <w:sz w:val="30"/>
          <w:szCs w:val="32"/>
        </w:rPr>
      </w:pPr>
      <w:r>
        <w:rPr>
          <w:rFonts w:eastAsia="仿宋_GB2312"/>
          <w:sz w:val="30"/>
          <w:szCs w:val="32"/>
        </w:rPr>
        <w:t>7</w:t>
      </w:r>
      <w:bookmarkStart w:id="228" w:name="_Toc312677486"/>
      <w:bookmarkStart w:id="229" w:name="_Toc312678012"/>
      <w:bookmarkStart w:id="230" w:name="_Toc318581169"/>
      <w:bookmarkStart w:id="231" w:name="_Toc303539127"/>
      <w:bookmarkStart w:id="232" w:name="_Toc297216177"/>
      <w:bookmarkStart w:id="233" w:name="_Toc297123518"/>
      <w:bookmarkStart w:id="234" w:name="_Toc304295548"/>
      <w:bookmarkStart w:id="235" w:name="_Toc300934970"/>
      <w:r>
        <w:rPr>
          <w:rFonts w:eastAsia="仿宋_GB2312"/>
          <w:sz w:val="30"/>
          <w:szCs w:val="32"/>
        </w:rPr>
        <w:t>.5.2 因承包人原因导致工期延误</w:t>
      </w:r>
    </w:p>
    <w:bookmarkEnd w:id="228"/>
    <w:bookmarkEnd w:id="229"/>
    <w:bookmarkEnd w:id="230"/>
    <w:p w14:paraId="300207E0">
      <w:pPr>
        <w:spacing w:line="360" w:lineRule="auto"/>
        <w:ind w:firstLine="600" w:firstLineChars="200"/>
        <w:jc w:val="left"/>
        <w:rPr>
          <w:rFonts w:eastAsia="仿宋_GB2312"/>
          <w:sz w:val="30"/>
          <w:szCs w:val="32"/>
        </w:rPr>
      </w:pPr>
      <w:r>
        <w:rPr>
          <w:rFonts w:eastAsia="仿宋_GB2312"/>
          <w:sz w:val="30"/>
          <w:szCs w:val="32"/>
        </w:rPr>
        <w:t>因</w:t>
      </w:r>
      <w:bookmarkStart w:id="236" w:name="_Toc312677487"/>
      <w:bookmarkStart w:id="237" w:name="_Toc312678013"/>
      <w:bookmarkStart w:id="238" w:name="_Toc318581170"/>
      <w:r>
        <w:rPr>
          <w:rFonts w:eastAsia="仿宋_GB2312"/>
          <w:sz w:val="30"/>
          <w:szCs w:val="32"/>
        </w:rPr>
        <w:t>承包人原因造成工期延误，逾期竣工违约金的计算方法为：</w:t>
      </w:r>
      <w:bookmarkEnd w:id="231"/>
      <w:bookmarkEnd w:id="232"/>
      <w:bookmarkEnd w:id="233"/>
      <w:bookmarkEnd w:id="234"/>
      <w:bookmarkEnd w:id="235"/>
      <w:bookmarkEnd w:id="236"/>
      <w:bookmarkEnd w:id="237"/>
      <w:r>
        <w:rPr>
          <w:rFonts w:hint="eastAsia" w:eastAsia="仿宋_GB2312"/>
          <w:sz w:val="30"/>
          <w:szCs w:val="32"/>
          <w:u w:val="single"/>
        </w:rPr>
        <w:t>每日历天赔付额度为：壹万元</w:t>
      </w:r>
      <w:r>
        <w:rPr>
          <w:rFonts w:eastAsia="仿宋_GB2312"/>
          <w:sz w:val="30"/>
          <w:szCs w:val="32"/>
          <w:u w:val="single"/>
        </w:rPr>
        <w:t xml:space="preserve">  </w:t>
      </w:r>
      <w:r>
        <w:rPr>
          <w:rFonts w:hint="eastAsia" w:eastAsia="仿宋_GB2312"/>
          <w:sz w:val="30"/>
          <w:szCs w:val="32"/>
          <w:u w:val="single"/>
        </w:rPr>
        <w:t>。逾期竣工30天发包人有权单方解除合同，不承担违约责任。承包人应于发包人解除合同之日起5日内向发包人支付逾期竣工违约金。逾期支付，承包人应额外向发包人支付未付违约金金额0.5‰/天的逾期违约金直至完全支付时</w:t>
      </w:r>
      <w:r>
        <w:rPr>
          <w:rFonts w:hint="eastAsia" w:eastAsia="仿宋_GB2312"/>
          <w:sz w:val="30"/>
          <w:szCs w:val="32"/>
        </w:rPr>
        <w:t>。</w:t>
      </w:r>
    </w:p>
    <w:p w14:paraId="782A7D88">
      <w:pPr>
        <w:pStyle w:val="8"/>
        <w:ind w:left="63" w:right="63" w:firstLine="600" w:firstLineChars="200"/>
      </w:pPr>
      <w:r>
        <w:rPr>
          <w:rFonts w:eastAsia="仿宋_GB2312"/>
          <w:sz w:val="30"/>
          <w:szCs w:val="32"/>
        </w:rPr>
        <w:t>因承包人原因造成</w:t>
      </w:r>
      <w:r>
        <w:rPr>
          <w:rFonts w:hint="eastAsia" w:eastAsia="仿宋_GB2312"/>
          <w:sz w:val="30"/>
          <w:szCs w:val="32"/>
        </w:rPr>
        <w:t>节点</w:t>
      </w:r>
      <w:r>
        <w:rPr>
          <w:rFonts w:eastAsia="仿宋_GB2312"/>
          <w:sz w:val="30"/>
          <w:szCs w:val="32"/>
        </w:rPr>
        <w:t>工期延误，</w:t>
      </w:r>
      <w:r>
        <w:rPr>
          <w:rFonts w:hint="eastAsia" w:eastAsia="仿宋_GB2312"/>
          <w:sz w:val="30"/>
          <w:szCs w:val="32"/>
        </w:rPr>
        <w:t>单个节点工期</w:t>
      </w:r>
      <w:r>
        <w:rPr>
          <w:rFonts w:eastAsia="仿宋_GB2312"/>
          <w:sz w:val="30"/>
          <w:szCs w:val="32"/>
        </w:rPr>
        <w:t>逾期违约金的计算方法为：</w:t>
      </w:r>
      <w:r>
        <w:rPr>
          <w:rFonts w:hint="eastAsia" w:eastAsia="仿宋_GB2312"/>
          <w:sz w:val="30"/>
          <w:szCs w:val="32"/>
          <w:u w:val="single"/>
        </w:rPr>
        <w:t>每日历天赔付额度为：壹万元。节点工期逾期10天发包人有权单方解除合同，不承担违约责任。承包人应于发包人解除合同之日起5日内向发包人支付节点工期逾期违约金。逾期支付，承包人应额外向发包人支付未付违约金金额0.5‰/天的逾期违约金直至完全支付时。</w:t>
      </w:r>
    </w:p>
    <w:bookmarkEnd w:id="238"/>
    <w:p w14:paraId="256E2770">
      <w:pPr>
        <w:spacing w:line="360" w:lineRule="auto"/>
        <w:ind w:firstLine="600" w:firstLineChars="200"/>
        <w:jc w:val="left"/>
        <w:rPr>
          <w:rFonts w:eastAsia="仿宋_GB2312"/>
          <w:sz w:val="30"/>
          <w:szCs w:val="32"/>
        </w:rPr>
      </w:pPr>
      <w:r>
        <w:rPr>
          <w:rFonts w:eastAsia="仿宋_GB2312"/>
          <w:sz w:val="30"/>
          <w:szCs w:val="32"/>
        </w:rPr>
        <w:t>因承包人原因造成工期延误（</w:t>
      </w:r>
      <w:r>
        <w:rPr>
          <w:rFonts w:hint="eastAsia" w:eastAsia="仿宋_GB2312"/>
          <w:sz w:val="30"/>
          <w:szCs w:val="32"/>
        </w:rPr>
        <w:t>包含节点工期延误）</w:t>
      </w:r>
      <w:r>
        <w:rPr>
          <w:rFonts w:eastAsia="仿宋_GB2312"/>
          <w:sz w:val="30"/>
          <w:szCs w:val="32"/>
        </w:rPr>
        <w:t>，逾</w:t>
      </w:r>
      <w:bookmarkStart w:id="239" w:name="_Toc318581171"/>
      <w:bookmarkStart w:id="240" w:name="_Toc312678014"/>
      <w:r>
        <w:rPr>
          <w:rFonts w:eastAsia="仿宋_GB2312"/>
          <w:sz w:val="30"/>
          <w:szCs w:val="32"/>
        </w:rPr>
        <w:t>期竣工（</w:t>
      </w:r>
      <w:r>
        <w:rPr>
          <w:rFonts w:hint="eastAsia" w:eastAsia="仿宋_GB2312"/>
          <w:sz w:val="30"/>
          <w:szCs w:val="32"/>
        </w:rPr>
        <w:t>包含节点工期延误）</w:t>
      </w:r>
      <w:r>
        <w:rPr>
          <w:rFonts w:eastAsia="仿宋_GB2312"/>
          <w:sz w:val="30"/>
          <w:szCs w:val="32"/>
        </w:rPr>
        <w:t>违约金的上限：</w:t>
      </w:r>
      <w:r>
        <w:rPr>
          <w:rFonts w:eastAsia="仿宋_GB2312"/>
          <w:sz w:val="30"/>
          <w:szCs w:val="32"/>
          <w:u w:val="single"/>
        </w:rPr>
        <w:t xml:space="preserve">  </w:t>
      </w:r>
      <w:r>
        <w:rPr>
          <w:rFonts w:hint="eastAsia" w:eastAsia="仿宋_GB2312"/>
          <w:sz w:val="30"/>
          <w:szCs w:val="32"/>
          <w:u w:val="single"/>
        </w:rPr>
        <w:t>合同总价20%</w:t>
      </w:r>
      <w:r>
        <w:rPr>
          <w:rFonts w:eastAsia="仿宋_GB2312"/>
          <w:sz w:val="30"/>
          <w:szCs w:val="32"/>
          <w:u w:val="single"/>
        </w:rPr>
        <w:t xml:space="preserve">   </w:t>
      </w:r>
      <w:r>
        <w:rPr>
          <w:rFonts w:eastAsia="仿宋_GB2312"/>
          <w:sz w:val="30"/>
          <w:szCs w:val="32"/>
        </w:rPr>
        <w:t>。</w:t>
      </w:r>
    </w:p>
    <w:bookmarkEnd w:id="239"/>
    <w:bookmarkEnd w:id="240"/>
    <w:p w14:paraId="48ACB626">
      <w:pPr>
        <w:spacing w:after="120" w:line="360" w:lineRule="auto"/>
        <w:ind w:firstLine="600" w:firstLineChars="200"/>
        <w:rPr>
          <w:rFonts w:eastAsia="黑体"/>
          <w:color w:val="000000"/>
          <w:sz w:val="30"/>
          <w:szCs w:val="32"/>
        </w:rPr>
      </w:pPr>
      <w:r>
        <w:rPr>
          <w:rFonts w:eastAsia="黑体"/>
          <w:color w:val="000000"/>
          <w:sz w:val="30"/>
          <w:szCs w:val="32"/>
        </w:rPr>
        <w:t>7</w:t>
      </w:r>
      <w:bookmarkStart w:id="241" w:name="_Toc300934971"/>
      <w:bookmarkStart w:id="242" w:name="_Toc303539128"/>
      <w:bookmarkStart w:id="243" w:name="_Toc312678015"/>
      <w:bookmarkStart w:id="244" w:name="_Toc297123519"/>
      <w:bookmarkStart w:id="245" w:name="_Toc304295549"/>
      <w:bookmarkStart w:id="246" w:name="_Toc297216178"/>
      <w:r>
        <w:rPr>
          <w:rFonts w:eastAsia="黑体"/>
          <w:color w:val="000000"/>
          <w:sz w:val="30"/>
          <w:szCs w:val="32"/>
        </w:rPr>
        <w:t>.6 不</w:t>
      </w:r>
      <w:bookmarkEnd w:id="241"/>
      <w:bookmarkEnd w:id="242"/>
      <w:bookmarkEnd w:id="243"/>
      <w:bookmarkEnd w:id="244"/>
      <w:bookmarkEnd w:id="245"/>
      <w:bookmarkEnd w:id="246"/>
      <w:r>
        <w:rPr>
          <w:rFonts w:eastAsia="黑体"/>
          <w:color w:val="000000"/>
          <w:sz w:val="30"/>
          <w:szCs w:val="32"/>
        </w:rPr>
        <w:t>利物质条件</w:t>
      </w:r>
    </w:p>
    <w:p w14:paraId="356FD6AC">
      <w:pPr>
        <w:spacing w:line="360" w:lineRule="auto"/>
        <w:ind w:firstLine="600" w:firstLineChars="200"/>
        <w:jc w:val="left"/>
        <w:rPr>
          <w:rFonts w:eastAsia="仿宋_GB2312"/>
          <w:sz w:val="30"/>
          <w:szCs w:val="32"/>
        </w:rPr>
      </w:pPr>
      <w:bookmarkStart w:id="247" w:name="_Toc297216179"/>
      <w:bookmarkStart w:id="248" w:name="_Toc318581172"/>
      <w:bookmarkStart w:id="249" w:name="_Toc312678016"/>
      <w:bookmarkStart w:id="250" w:name="_Toc297123520"/>
      <w:bookmarkStart w:id="251" w:name="_Toc303539129"/>
      <w:bookmarkStart w:id="252" w:name="_Toc304295550"/>
      <w:bookmarkStart w:id="253" w:name="_Toc300934972"/>
      <w:r>
        <w:rPr>
          <w:rFonts w:eastAsia="仿宋_GB2312"/>
          <w:sz w:val="30"/>
          <w:szCs w:val="32"/>
        </w:rPr>
        <w:t>不利物质条件的其他情形和有关约定：</w:t>
      </w:r>
      <w:r>
        <w:rPr>
          <w:rFonts w:hint="eastAsia" w:eastAsia="仿宋_GB2312"/>
          <w:sz w:val="30"/>
          <w:szCs w:val="32"/>
          <w:u w:val="single"/>
        </w:rPr>
        <w:t xml:space="preserve">按通用合同条款执行  </w:t>
      </w:r>
      <w:r>
        <w:rPr>
          <w:rFonts w:eastAsia="仿宋_GB2312"/>
          <w:sz w:val="30"/>
          <w:szCs w:val="32"/>
        </w:rPr>
        <w:t>。</w:t>
      </w:r>
    </w:p>
    <w:bookmarkEnd w:id="247"/>
    <w:bookmarkEnd w:id="248"/>
    <w:bookmarkEnd w:id="249"/>
    <w:bookmarkEnd w:id="250"/>
    <w:bookmarkEnd w:id="251"/>
    <w:bookmarkEnd w:id="252"/>
    <w:bookmarkEnd w:id="253"/>
    <w:p w14:paraId="07A8B321">
      <w:pPr>
        <w:spacing w:after="120" w:line="360" w:lineRule="auto"/>
        <w:ind w:firstLine="600" w:firstLineChars="200"/>
        <w:rPr>
          <w:rFonts w:eastAsia="黑体"/>
          <w:color w:val="000000"/>
          <w:sz w:val="30"/>
          <w:szCs w:val="32"/>
        </w:rPr>
      </w:pPr>
      <w:r>
        <w:rPr>
          <w:rFonts w:eastAsia="黑体"/>
          <w:color w:val="000000"/>
          <w:sz w:val="30"/>
          <w:szCs w:val="32"/>
        </w:rPr>
        <w:t>7</w:t>
      </w:r>
      <w:bookmarkStart w:id="254" w:name="_Toc303539130"/>
      <w:bookmarkStart w:id="255" w:name="_Toc300934973"/>
      <w:bookmarkStart w:id="256" w:name="_Toc297123521"/>
      <w:bookmarkStart w:id="257" w:name="_Toc297216180"/>
      <w:bookmarkStart w:id="258" w:name="_Toc304295551"/>
      <w:bookmarkStart w:id="259" w:name="_Toc312678017"/>
      <w:r>
        <w:rPr>
          <w:rFonts w:eastAsia="黑体"/>
          <w:color w:val="000000"/>
          <w:sz w:val="30"/>
          <w:szCs w:val="32"/>
        </w:rPr>
        <w:t>.7异常恶劣的气候条件</w:t>
      </w:r>
    </w:p>
    <w:bookmarkEnd w:id="254"/>
    <w:bookmarkEnd w:id="255"/>
    <w:bookmarkEnd w:id="256"/>
    <w:bookmarkEnd w:id="257"/>
    <w:bookmarkEnd w:id="258"/>
    <w:bookmarkEnd w:id="259"/>
    <w:p w14:paraId="62EDEADE">
      <w:pPr>
        <w:spacing w:line="360" w:lineRule="auto"/>
        <w:ind w:firstLine="600" w:firstLineChars="200"/>
        <w:jc w:val="left"/>
        <w:rPr>
          <w:rFonts w:eastAsia="仿宋_GB2312"/>
          <w:sz w:val="30"/>
          <w:szCs w:val="32"/>
        </w:rPr>
      </w:pPr>
      <w:r>
        <w:rPr>
          <w:rFonts w:eastAsia="仿宋_GB2312"/>
          <w:sz w:val="30"/>
          <w:szCs w:val="32"/>
        </w:rPr>
        <w:t>发包人和承包人同意以下情形视为异常恶劣的气候条件：</w:t>
      </w:r>
      <w:r>
        <w:rPr>
          <w:rFonts w:hint="eastAsia" w:eastAsia="仿宋_GB2312"/>
          <w:sz w:val="30"/>
          <w:szCs w:val="32"/>
          <w:u w:val="single"/>
        </w:rPr>
        <w:t>如发生50年一遇的自然灾害(如台风、雪灾、洪水、高温)，出现异常恶劣的气候条件，发包人原则上同意承包人提出的延长工期的要求，但不支持承包人因此提出的费用索赔</w:t>
      </w:r>
      <w:r>
        <w:rPr>
          <w:rFonts w:hint="eastAsia" w:eastAsia="仿宋_GB2312"/>
          <w:sz w:val="30"/>
          <w:szCs w:val="32"/>
        </w:rPr>
        <w:t>。</w:t>
      </w:r>
    </w:p>
    <w:p w14:paraId="0682E9ED">
      <w:pPr>
        <w:spacing w:after="120" w:line="360" w:lineRule="auto"/>
        <w:ind w:firstLine="600" w:firstLineChars="200"/>
        <w:outlineLvl w:val="0"/>
        <w:rPr>
          <w:rFonts w:eastAsia="黑体"/>
          <w:color w:val="000000"/>
          <w:sz w:val="30"/>
          <w:szCs w:val="32"/>
        </w:rPr>
      </w:pPr>
      <w:r>
        <w:rPr>
          <w:rFonts w:eastAsia="黑体"/>
          <w:color w:val="000000"/>
          <w:sz w:val="30"/>
          <w:szCs w:val="32"/>
        </w:rPr>
        <w:t>7.9 提前竣工的奖励</w:t>
      </w:r>
    </w:p>
    <w:p w14:paraId="3038DAB5">
      <w:pPr>
        <w:spacing w:line="360" w:lineRule="auto"/>
        <w:ind w:firstLine="600" w:firstLineChars="200"/>
        <w:jc w:val="left"/>
        <w:rPr>
          <w:rFonts w:eastAsia="仿宋_GB2312"/>
          <w:sz w:val="30"/>
          <w:szCs w:val="32"/>
        </w:rPr>
      </w:pPr>
      <w:r>
        <w:rPr>
          <w:rFonts w:eastAsia="仿宋_GB2312"/>
          <w:sz w:val="30"/>
          <w:szCs w:val="32"/>
        </w:rPr>
        <w:t>7.9.2提前竣工的奖励：</w:t>
      </w:r>
      <w:r>
        <w:rPr>
          <w:rFonts w:eastAsia="仿宋_GB2312"/>
          <w:sz w:val="30"/>
          <w:szCs w:val="32"/>
          <w:u w:val="single"/>
        </w:rPr>
        <w:t xml:space="preserve">  </w:t>
      </w:r>
      <w:r>
        <w:rPr>
          <w:rFonts w:hint="eastAsia" w:eastAsia="仿宋_GB2312"/>
          <w:sz w:val="30"/>
          <w:szCs w:val="32"/>
          <w:u w:val="single"/>
        </w:rPr>
        <w:t xml:space="preserve">无 </w:t>
      </w:r>
      <w:r>
        <w:rPr>
          <w:rFonts w:eastAsia="仿宋_GB2312"/>
          <w:sz w:val="30"/>
          <w:szCs w:val="32"/>
          <w:u w:val="single"/>
        </w:rPr>
        <w:t xml:space="preserve">   </w:t>
      </w:r>
      <w:r>
        <w:rPr>
          <w:rFonts w:eastAsia="仿宋_GB2312"/>
          <w:sz w:val="30"/>
          <w:szCs w:val="32"/>
        </w:rPr>
        <w:t>。</w:t>
      </w:r>
    </w:p>
    <w:p w14:paraId="45B94BEA">
      <w:pPr>
        <w:pStyle w:val="5"/>
        <w:spacing w:before="120" w:after="120" w:line="360" w:lineRule="auto"/>
        <w:rPr>
          <w:rFonts w:ascii="Times New Roman" w:hAnsi="Times New Roman" w:eastAsia="黑体"/>
          <w:b w:val="0"/>
          <w:color w:val="000000"/>
          <w:sz w:val="32"/>
          <w:szCs w:val="32"/>
        </w:rPr>
      </w:pPr>
      <w:bookmarkStart w:id="260" w:name="_Toc351203640"/>
      <w:r>
        <w:rPr>
          <w:rFonts w:ascii="Times New Roman" w:hAnsi="Times New Roman" w:eastAsia="黑体"/>
          <w:b w:val="0"/>
          <w:color w:val="000000"/>
          <w:sz w:val="32"/>
          <w:szCs w:val="32"/>
        </w:rPr>
        <w:t>8. 材料与设备</w:t>
      </w:r>
      <w:bookmarkEnd w:id="195"/>
      <w:bookmarkEnd w:id="196"/>
      <w:bookmarkEnd w:id="197"/>
      <w:bookmarkEnd w:id="198"/>
      <w:bookmarkEnd w:id="199"/>
      <w:bookmarkEnd w:id="200"/>
      <w:bookmarkEnd w:id="201"/>
      <w:bookmarkEnd w:id="202"/>
      <w:bookmarkEnd w:id="203"/>
      <w:bookmarkEnd w:id="204"/>
      <w:bookmarkEnd w:id="260"/>
      <w:bookmarkStart w:id="261" w:name="_Toc300934980"/>
      <w:bookmarkStart w:id="262" w:name="_Toc296346669"/>
      <w:bookmarkStart w:id="263" w:name="_Toc296944507"/>
      <w:bookmarkStart w:id="264" w:name="_Toc304295557"/>
      <w:bookmarkStart w:id="265" w:name="_Toc318581173"/>
      <w:bookmarkStart w:id="266" w:name="_Toc296890996"/>
      <w:bookmarkStart w:id="267" w:name="_Toc303539137"/>
      <w:bookmarkStart w:id="268" w:name="_Toc297216187"/>
      <w:bookmarkStart w:id="269" w:name="_Toc297123528"/>
      <w:bookmarkStart w:id="270" w:name="_Toc296891208"/>
      <w:bookmarkStart w:id="271" w:name="_Toc312678020"/>
      <w:bookmarkStart w:id="272" w:name="_Toc296503168"/>
      <w:bookmarkStart w:id="273" w:name="_Toc297048354"/>
      <w:bookmarkStart w:id="274" w:name="_Toc312677494"/>
      <w:bookmarkStart w:id="275" w:name="_Toc296347167"/>
      <w:bookmarkStart w:id="276" w:name="_Toc297120468"/>
      <w:bookmarkStart w:id="277" w:name="_Toc280868655"/>
      <w:bookmarkStart w:id="278" w:name="_Toc280868656"/>
      <w:bookmarkStart w:id="279" w:name="_Toc267251424"/>
    </w:p>
    <w:p w14:paraId="2AEB0471">
      <w:pPr>
        <w:spacing w:after="120" w:line="360" w:lineRule="auto"/>
        <w:ind w:firstLine="600" w:firstLineChars="200"/>
        <w:outlineLvl w:val="0"/>
        <w:rPr>
          <w:rFonts w:eastAsia="黑体"/>
          <w:color w:val="000000"/>
          <w:sz w:val="30"/>
          <w:szCs w:val="32"/>
        </w:rPr>
      </w:pPr>
      <w:r>
        <w:rPr>
          <w:rFonts w:eastAsia="黑体"/>
          <w:color w:val="000000"/>
          <w:sz w:val="30"/>
          <w:szCs w:val="32"/>
        </w:rPr>
        <w:t>8.8 施工设备和临时设施</w:t>
      </w:r>
    </w:p>
    <w:p w14:paraId="48F26F4A">
      <w:pPr>
        <w:autoSpaceDE w:val="0"/>
        <w:autoSpaceDN w:val="0"/>
        <w:adjustRightInd w:val="0"/>
        <w:spacing w:line="360" w:lineRule="auto"/>
        <w:ind w:firstLine="600" w:firstLineChars="200"/>
        <w:jc w:val="left"/>
        <w:rPr>
          <w:rFonts w:eastAsia="仿宋_GB2312"/>
          <w:sz w:val="30"/>
          <w:szCs w:val="32"/>
        </w:rPr>
      </w:pPr>
      <w:r>
        <w:rPr>
          <w:rFonts w:eastAsia="仿宋_GB2312"/>
          <w:sz w:val="30"/>
          <w:szCs w:val="32"/>
        </w:rPr>
        <w:t>8.8.1 承包人提供的施工设备和临时设施</w:t>
      </w:r>
    </w:p>
    <w:p w14:paraId="20D7AD76">
      <w:pPr>
        <w:autoSpaceDE w:val="0"/>
        <w:autoSpaceDN w:val="0"/>
        <w:adjustRightInd w:val="0"/>
        <w:spacing w:line="360" w:lineRule="auto"/>
        <w:ind w:firstLine="600" w:firstLineChars="200"/>
        <w:jc w:val="left"/>
        <w:rPr>
          <w:rFonts w:eastAsia="仿宋_GB2312"/>
          <w:sz w:val="30"/>
          <w:szCs w:val="32"/>
        </w:rPr>
      </w:pPr>
      <w:r>
        <w:rPr>
          <w:rFonts w:eastAsia="仿宋_GB2312"/>
          <w:sz w:val="30"/>
          <w:szCs w:val="32"/>
        </w:rPr>
        <w:t>关于修建临时设施费用承担的约定：</w:t>
      </w:r>
      <w:r>
        <w:rPr>
          <w:rFonts w:hint="eastAsia" w:eastAsia="仿宋_GB2312"/>
          <w:sz w:val="30"/>
          <w:szCs w:val="32"/>
          <w:u w:val="single"/>
        </w:rPr>
        <w:t>由承包人承担；</w:t>
      </w:r>
      <w:r>
        <w:rPr>
          <w:rFonts w:eastAsia="仿宋_GB2312"/>
          <w:sz w:val="30"/>
          <w:szCs w:val="32"/>
          <w:u w:val="single"/>
        </w:rPr>
        <w:t>需要临时占地的，应由</w:t>
      </w:r>
      <w:r>
        <w:rPr>
          <w:rFonts w:hint="eastAsia" w:eastAsia="仿宋_GB2312"/>
          <w:sz w:val="30"/>
          <w:szCs w:val="32"/>
          <w:u w:val="single"/>
        </w:rPr>
        <w:t>承包人</w:t>
      </w:r>
      <w:r>
        <w:rPr>
          <w:rFonts w:eastAsia="仿宋_GB2312"/>
          <w:sz w:val="30"/>
          <w:szCs w:val="32"/>
          <w:u w:val="single"/>
        </w:rPr>
        <w:t xml:space="preserve">办理申请手续并承担相应费用   </w:t>
      </w:r>
      <w:r>
        <w:rPr>
          <w:rFonts w:eastAsia="仿宋_GB2312"/>
          <w:sz w:val="30"/>
          <w:szCs w:val="32"/>
        </w:rPr>
        <w:t>。</w:t>
      </w:r>
    </w:p>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p w14:paraId="2D1A1871">
      <w:pPr>
        <w:pStyle w:val="5"/>
        <w:spacing w:before="120" w:after="120" w:line="360" w:lineRule="auto"/>
        <w:rPr>
          <w:rFonts w:ascii="Times New Roman" w:hAnsi="Times New Roman" w:eastAsia="黑体"/>
          <w:b w:val="0"/>
          <w:color w:val="000000"/>
          <w:sz w:val="32"/>
          <w:szCs w:val="32"/>
        </w:rPr>
      </w:pPr>
      <w:bookmarkStart w:id="280" w:name="_Toc351203641"/>
      <w:r>
        <w:rPr>
          <w:rFonts w:ascii="Times New Roman" w:hAnsi="Times New Roman" w:eastAsia="黑体"/>
          <w:b w:val="0"/>
          <w:color w:val="000000"/>
          <w:sz w:val="32"/>
          <w:szCs w:val="32"/>
        </w:rPr>
        <w:t>9</w:t>
      </w:r>
      <w:bookmarkEnd w:id="277"/>
      <w:bookmarkEnd w:id="278"/>
      <w:bookmarkEnd w:id="279"/>
      <w:bookmarkStart w:id="281" w:name="_Toc304295559"/>
      <w:bookmarkStart w:id="282" w:name="_Toc303539139"/>
      <w:bookmarkStart w:id="283" w:name="_Toc297216192"/>
      <w:bookmarkStart w:id="284" w:name="_Toc300934982"/>
      <w:bookmarkStart w:id="285" w:name="_Toc297123533"/>
      <w:bookmarkStart w:id="286" w:name="_Toc312677495"/>
      <w:bookmarkStart w:id="287" w:name="_Toc312678021"/>
      <w:bookmarkStart w:id="288" w:name="_Toc267251428"/>
      <w:bookmarkStart w:id="289" w:name="_Toc296891213"/>
      <w:bookmarkStart w:id="290" w:name="_Toc296944512"/>
      <w:bookmarkStart w:id="291" w:name="_Toc267251427"/>
      <w:bookmarkStart w:id="292" w:name="_Toc296347172"/>
      <w:bookmarkStart w:id="293" w:name="_Toc296346674"/>
      <w:bookmarkStart w:id="294" w:name="_Toc292559378"/>
      <w:bookmarkStart w:id="295" w:name="_Toc297048359"/>
      <w:bookmarkStart w:id="296" w:name="_Toc296503173"/>
      <w:bookmarkStart w:id="297" w:name="_Toc296891001"/>
      <w:bookmarkStart w:id="298" w:name="_Toc292559883"/>
      <w:bookmarkStart w:id="299" w:name="_Toc297120473"/>
      <w:r>
        <w:rPr>
          <w:rFonts w:ascii="Times New Roman" w:hAnsi="Times New Roman" w:eastAsia="黑体"/>
          <w:b w:val="0"/>
          <w:color w:val="000000"/>
          <w:sz w:val="32"/>
          <w:szCs w:val="32"/>
        </w:rPr>
        <w:t>. 试验与检验</w:t>
      </w:r>
      <w:bookmarkEnd w:id="280"/>
      <w:bookmarkEnd w:id="281"/>
      <w:bookmarkEnd w:id="282"/>
      <w:bookmarkEnd w:id="283"/>
      <w:bookmarkEnd w:id="284"/>
      <w:bookmarkEnd w:id="285"/>
      <w:bookmarkEnd w:id="286"/>
      <w:bookmarkEnd w:id="287"/>
      <w:bookmarkStart w:id="300" w:name="_Toc312678024"/>
      <w:bookmarkStart w:id="301" w:name="_Toc297216195"/>
      <w:bookmarkStart w:id="302" w:name="_Toc303539142"/>
      <w:bookmarkStart w:id="303" w:name="_Toc300934985"/>
      <w:bookmarkStart w:id="304" w:name="_Toc318581174"/>
      <w:bookmarkStart w:id="305" w:name="_Toc297123536"/>
      <w:bookmarkStart w:id="306" w:name="_Toc312677498"/>
      <w:bookmarkStart w:id="307" w:name="_Toc304295562"/>
      <w:r>
        <w:rPr>
          <w:rFonts w:ascii="Times New Roman" w:hAnsi="Times New Roman" w:eastAsia="黑体"/>
          <w:b w:val="0"/>
          <w:color w:val="000000"/>
          <w:sz w:val="32"/>
          <w:szCs w:val="32"/>
        </w:rPr>
        <w:t>：</w:t>
      </w:r>
      <w:r>
        <w:rPr>
          <w:rFonts w:hint="eastAsia" w:ascii="Times New Roman" w:hAnsi="Times New Roman" w:eastAsia="黑体"/>
          <w:b w:val="0"/>
          <w:color w:val="000000"/>
          <w:sz w:val="32"/>
          <w:szCs w:val="32"/>
        </w:rPr>
        <w:t>/</w:t>
      </w:r>
    </w:p>
    <w:bookmarkEnd w:id="300"/>
    <w:bookmarkEnd w:id="301"/>
    <w:bookmarkEnd w:id="302"/>
    <w:bookmarkEnd w:id="303"/>
    <w:bookmarkEnd w:id="304"/>
    <w:bookmarkEnd w:id="305"/>
    <w:bookmarkEnd w:id="306"/>
    <w:bookmarkEnd w:id="307"/>
    <w:p w14:paraId="270B41CA">
      <w:pPr>
        <w:pStyle w:val="5"/>
        <w:spacing w:before="120" w:after="120" w:line="360" w:lineRule="auto"/>
        <w:rPr>
          <w:rFonts w:ascii="Times New Roman" w:hAnsi="Times New Roman" w:eastAsia="黑体"/>
          <w:b w:val="0"/>
          <w:color w:val="000000"/>
          <w:sz w:val="32"/>
          <w:szCs w:val="32"/>
        </w:rPr>
      </w:pPr>
      <w:bookmarkStart w:id="308" w:name="_Toc351203642"/>
      <w:r>
        <w:rPr>
          <w:rFonts w:ascii="Times New Roman" w:hAnsi="Times New Roman" w:eastAsia="黑体"/>
          <w:b w:val="0"/>
          <w:color w:val="000000"/>
          <w:sz w:val="32"/>
          <w:szCs w:val="32"/>
        </w:rPr>
        <w:t>1</w:t>
      </w:r>
      <w:bookmarkEnd w:id="288"/>
      <w:bookmarkEnd w:id="289"/>
      <w:bookmarkEnd w:id="290"/>
      <w:bookmarkEnd w:id="291"/>
      <w:bookmarkEnd w:id="292"/>
      <w:bookmarkEnd w:id="293"/>
      <w:bookmarkEnd w:id="294"/>
      <w:bookmarkEnd w:id="295"/>
      <w:bookmarkEnd w:id="296"/>
      <w:bookmarkEnd w:id="297"/>
      <w:bookmarkEnd w:id="298"/>
      <w:bookmarkEnd w:id="299"/>
      <w:bookmarkStart w:id="309" w:name="_Toc296346694"/>
      <w:bookmarkStart w:id="310" w:name="_Toc297216199"/>
      <w:bookmarkStart w:id="311" w:name="_Toc292559398"/>
      <w:bookmarkStart w:id="312" w:name="_Toc296347192"/>
      <w:bookmarkStart w:id="313" w:name="_Toc296503193"/>
      <w:bookmarkStart w:id="314" w:name="_Toc296891233"/>
      <w:bookmarkStart w:id="315" w:name="_Toc292559903"/>
      <w:bookmarkStart w:id="316" w:name="_Toc300934989"/>
      <w:bookmarkStart w:id="317" w:name="_Toc297120493"/>
      <w:bookmarkStart w:id="318" w:name="_Toc297123540"/>
      <w:bookmarkStart w:id="319" w:name="_Toc297048379"/>
      <w:bookmarkStart w:id="320" w:name="_Toc296944532"/>
      <w:bookmarkStart w:id="321" w:name="_Toc304295566"/>
      <w:bookmarkStart w:id="322" w:name="_Toc303539146"/>
      <w:bookmarkStart w:id="323" w:name="_Toc296891021"/>
      <w:bookmarkStart w:id="324" w:name="_Toc312678025"/>
      <w:bookmarkStart w:id="325" w:name="_Toc312677499"/>
      <w:bookmarkStart w:id="326" w:name="_Toc267251433"/>
      <w:bookmarkStart w:id="327" w:name="_Toc267251440"/>
      <w:bookmarkStart w:id="328" w:name="_Toc267251437"/>
      <w:bookmarkStart w:id="329" w:name="_Toc267251435"/>
      <w:bookmarkStart w:id="330" w:name="_Toc267251439"/>
      <w:bookmarkStart w:id="331" w:name="_Toc267251441"/>
      <w:bookmarkStart w:id="332" w:name="_Toc267251442"/>
      <w:r>
        <w:rPr>
          <w:rFonts w:ascii="Times New Roman" w:hAnsi="Times New Roman" w:eastAsia="黑体"/>
          <w:b w:val="0"/>
          <w:color w:val="000000"/>
          <w:sz w:val="32"/>
          <w:szCs w:val="32"/>
        </w:rPr>
        <w:t>0. 变更</w:t>
      </w:r>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p>
    <w:bookmarkEnd w:id="324"/>
    <w:bookmarkEnd w:id="325"/>
    <w:p w14:paraId="0CCB14AB">
      <w:pPr>
        <w:spacing w:after="120" w:line="360" w:lineRule="auto"/>
        <w:ind w:firstLine="600" w:firstLineChars="200"/>
        <w:rPr>
          <w:rFonts w:eastAsia="黑体"/>
          <w:color w:val="000000"/>
          <w:sz w:val="30"/>
          <w:szCs w:val="32"/>
        </w:rPr>
      </w:pPr>
      <w:r>
        <w:rPr>
          <w:rFonts w:eastAsia="黑体"/>
          <w:color w:val="000000"/>
          <w:sz w:val="30"/>
          <w:szCs w:val="32"/>
        </w:rPr>
        <w:t>1</w:t>
      </w:r>
      <w:bookmarkStart w:id="333" w:name="_Toc296891022"/>
      <w:bookmarkStart w:id="334" w:name="_Toc296347193"/>
      <w:bookmarkStart w:id="335" w:name="_Toc297123541"/>
      <w:bookmarkStart w:id="336" w:name="_Toc296346695"/>
      <w:bookmarkStart w:id="337" w:name="_Toc297120494"/>
      <w:bookmarkStart w:id="338" w:name="_Toc312677500"/>
      <w:bookmarkStart w:id="339" w:name="_Toc303539147"/>
      <w:bookmarkStart w:id="340" w:name="_Toc297048380"/>
      <w:bookmarkStart w:id="341" w:name="_Toc304295567"/>
      <w:bookmarkStart w:id="342" w:name="_Toc300934990"/>
      <w:bookmarkStart w:id="343" w:name="_Toc296944533"/>
      <w:bookmarkStart w:id="344" w:name="_Toc312678026"/>
      <w:bookmarkStart w:id="345" w:name="_Toc296503194"/>
      <w:bookmarkStart w:id="346" w:name="_Toc297216200"/>
      <w:bookmarkStart w:id="347" w:name="_Toc292559399"/>
      <w:bookmarkStart w:id="348" w:name="_Toc292559904"/>
      <w:bookmarkStart w:id="349" w:name="_Toc296891234"/>
      <w:r>
        <w:rPr>
          <w:rFonts w:eastAsia="黑体"/>
          <w:color w:val="000000"/>
          <w:sz w:val="30"/>
          <w:szCs w:val="32"/>
        </w:rPr>
        <w:t>0.1变更的范围</w:t>
      </w:r>
    </w:p>
    <w:p w14:paraId="2D3FA429">
      <w:pPr>
        <w:spacing w:line="360" w:lineRule="auto"/>
        <w:ind w:firstLine="600"/>
        <w:jc w:val="left"/>
        <w:rPr>
          <w:rFonts w:eastAsia="仿宋_GB2312"/>
          <w:color w:val="000000"/>
          <w:sz w:val="30"/>
          <w:szCs w:val="32"/>
        </w:rPr>
      </w:pPr>
      <w:r>
        <w:rPr>
          <w:rFonts w:eastAsia="仿宋_GB2312"/>
          <w:color w:val="000000"/>
          <w:sz w:val="30"/>
          <w:szCs w:val="32"/>
        </w:rPr>
        <w:t>关于变更的范围的约定：</w:t>
      </w:r>
      <w:r>
        <w:rPr>
          <w:rFonts w:hint="eastAsia" w:eastAsia="仿宋_GB2312"/>
          <w:color w:val="000000"/>
          <w:sz w:val="30"/>
          <w:szCs w:val="32"/>
          <w:u w:val="single"/>
        </w:rPr>
        <w:t xml:space="preserve">根据工程建设的需要双方协商确定，承包人不得擅自变更    </w:t>
      </w:r>
      <w:r>
        <w:rPr>
          <w:rFonts w:eastAsia="仿宋_GB2312"/>
          <w:color w:val="000000"/>
          <w:sz w:val="30"/>
          <w:szCs w:val="32"/>
        </w:rPr>
        <w:t>。</w:t>
      </w:r>
    </w:p>
    <w:p w14:paraId="6A7C3BF1">
      <w:pPr>
        <w:pStyle w:val="8"/>
        <w:ind w:left="63" w:right="63" w:firstLine="600" w:firstLineChars="200"/>
      </w:pPr>
      <w:r>
        <w:rPr>
          <w:rFonts w:hint="eastAsia" w:eastAsia="仿宋_GB2312"/>
          <w:color w:val="000000"/>
          <w:sz w:val="30"/>
          <w:szCs w:val="32"/>
        </w:rPr>
        <w:t>承包人必须严格按照发包人提供的已完善审批程序的变更资料实施，如未按照变更资料实施或未收到变更资料擅自实施，则发包人不予认可该部分费用，不支付该部分款项。（发包人设计变更审批制度详见附件6）。</w:t>
      </w:r>
    </w:p>
    <w:p w14:paraId="3812FF35">
      <w:pPr>
        <w:spacing w:line="360" w:lineRule="auto"/>
        <w:ind w:firstLine="600"/>
        <w:jc w:val="left"/>
        <w:rPr>
          <w:rFonts w:eastAsia="仿宋_GB2312"/>
          <w:color w:val="000000"/>
          <w:sz w:val="30"/>
          <w:szCs w:val="32"/>
        </w:rPr>
      </w:pPr>
      <w:r>
        <w:rPr>
          <w:rFonts w:eastAsia="仿宋_GB2312"/>
          <w:color w:val="000000"/>
          <w:sz w:val="30"/>
          <w:szCs w:val="32"/>
        </w:rPr>
        <w:t>10.2</w:t>
      </w:r>
      <w:r>
        <w:rPr>
          <w:rFonts w:hint="eastAsia" w:eastAsia="仿宋_GB2312"/>
          <w:color w:val="000000"/>
          <w:sz w:val="30"/>
          <w:szCs w:val="32"/>
        </w:rPr>
        <w:t>变更权</w:t>
      </w:r>
    </w:p>
    <w:p w14:paraId="21D70167">
      <w:pPr>
        <w:spacing w:line="360" w:lineRule="auto"/>
        <w:ind w:firstLine="600"/>
        <w:jc w:val="left"/>
        <w:rPr>
          <w:rFonts w:eastAsia="仿宋_GB2312"/>
          <w:color w:val="000000"/>
          <w:sz w:val="30"/>
          <w:szCs w:val="32"/>
        </w:rPr>
      </w:pPr>
      <w:r>
        <w:rPr>
          <w:rFonts w:hint="eastAsia" w:eastAsia="仿宋_GB2312"/>
          <w:color w:val="000000"/>
          <w:sz w:val="30"/>
          <w:szCs w:val="32"/>
        </w:rPr>
        <w:t>10.2.1任何变更的经济签证、核定单、变更、工程联系单、洽商等文件须由监理人、发包人现场代表或经授权的对口专业负责人、预决算人员、发包人工装工程中心主管/分管领导共同签字并加盖部门公章后才能生效；</w:t>
      </w:r>
    </w:p>
    <w:p w14:paraId="32285F88">
      <w:pPr>
        <w:spacing w:line="360" w:lineRule="auto"/>
        <w:ind w:firstLine="600"/>
        <w:jc w:val="left"/>
        <w:rPr>
          <w:rFonts w:eastAsia="仿宋_GB2312"/>
          <w:color w:val="000000"/>
          <w:sz w:val="30"/>
          <w:szCs w:val="32"/>
        </w:rPr>
      </w:pPr>
      <w:r>
        <w:rPr>
          <w:rFonts w:eastAsia="仿宋_GB2312"/>
          <w:color w:val="000000"/>
          <w:sz w:val="30"/>
          <w:szCs w:val="32"/>
        </w:rPr>
        <w:t>10.2.2</w:t>
      </w:r>
      <w:r>
        <w:rPr>
          <w:rFonts w:hint="eastAsia" w:eastAsia="仿宋_GB2312"/>
          <w:color w:val="000000"/>
          <w:sz w:val="30"/>
          <w:szCs w:val="32"/>
        </w:rPr>
        <w:t>本工程的所有经济签证承包人须按照发包人《工程经济资料管理办法》执行。所有经济签证应注明工程名称、单位工程（单项工程、分部工程、分项工程）签证部位、施工简图（无法画图的应注明增减工作量）、签证日期、费用发生原因等；</w:t>
      </w:r>
    </w:p>
    <w:p w14:paraId="29A55972">
      <w:pPr>
        <w:spacing w:line="360" w:lineRule="auto"/>
        <w:ind w:firstLine="600"/>
        <w:jc w:val="left"/>
        <w:rPr>
          <w:rFonts w:eastAsia="仿宋_GB2312"/>
          <w:color w:val="000000"/>
          <w:sz w:val="30"/>
          <w:szCs w:val="32"/>
        </w:rPr>
      </w:pPr>
      <w:r>
        <w:rPr>
          <w:rFonts w:eastAsia="仿宋_GB2312"/>
          <w:color w:val="000000"/>
          <w:sz w:val="30"/>
          <w:szCs w:val="32"/>
        </w:rPr>
        <w:t>10.2.3</w:t>
      </w:r>
      <w:r>
        <w:rPr>
          <w:rFonts w:hint="eastAsia" w:eastAsia="仿宋_GB2312"/>
          <w:color w:val="000000"/>
          <w:sz w:val="30"/>
          <w:szCs w:val="32"/>
        </w:rPr>
        <w:t>本工程的所有经济签证必须在签证工作内容完成后七日内办理，否则视为承包人放弃对此签证单进行结算。</w:t>
      </w:r>
    </w:p>
    <w:p w14:paraId="473C4719">
      <w:pPr>
        <w:spacing w:after="120" w:line="360" w:lineRule="auto"/>
        <w:ind w:firstLine="600" w:firstLineChars="200"/>
        <w:outlineLvl w:val="0"/>
        <w:rPr>
          <w:rFonts w:eastAsia="黑体"/>
          <w:color w:val="000000"/>
          <w:sz w:val="30"/>
          <w:szCs w:val="32"/>
        </w:rPr>
      </w:pPr>
      <w:r>
        <w:rPr>
          <w:rFonts w:eastAsia="黑体"/>
          <w:color w:val="000000"/>
          <w:sz w:val="30"/>
          <w:szCs w:val="32"/>
        </w:rPr>
        <w:t>10.4 变更估价</w:t>
      </w:r>
    </w:p>
    <w:p w14:paraId="6D63CF6C">
      <w:pPr>
        <w:spacing w:line="360" w:lineRule="auto"/>
        <w:ind w:firstLine="600" w:firstLineChars="200"/>
        <w:jc w:val="left"/>
        <w:rPr>
          <w:rFonts w:eastAsia="仿宋_GB2312"/>
          <w:sz w:val="30"/>
          <w:szCs w:val="32"/>
        </w:rPr>
      </w:pPr>
      <w:r>
        <w:rPr>
          <w:rFonts w:hint="eastAsia" w:eastAsia="仿宋_GB2312"/>
          <w:sz w:val="30"/>
          <w:szCs w:val="32"/>
        </w:rPr>
        <w:t>10.4.1 变更估价原则</w:t>
      </w:r>
    </w:p>
    <w:p w14:paraId="5E56F32C">
      <w:pPr>
        <w:spacing w:line="360" w:lineRule="auto"/>
        <w:ind w:firstLine="600" w:firstLineChars="200"/>
        <w:jc w:val="left"/>
        <w:rPr>
          <w:rFonts w:eastAsia="仿宋_GB2312"/>
          <w:color w:val="000000"/>
          <w:sz w:val="30"/>
          <w:szCs w:val="32"/>
        </w:rPr>
      </w:pPr>
      <w:r>
        <w:rPr>
          <w:rFonts w:eastAsia="仿宋_GB2312"/>
          <w:color w:val="000000"/>
          <w:sz w:val="30"/>
          <w:szCs w:val="32"/>
        </w:rPr>
        <w:t xml:space="preserve">关于变更估价的约定: </w:t>
      </w:r>
      <w:r>
        <w:rPr>
          <w:rFonts w:eastAsia="仿宋_GB2312"/>
          <w:color w:val="000000"/>
          <w:sz w:val="30"/>
          <w:szCs w:val="32"/>
          <w:u w:val="single"/>
        </w:rPr>
        <w:t xml:space="preserve"> </w:t>
      </w:r>
      <w:r>
        <w:rPr>
          <w:rFonts w:hint="eastAsia" w:eastAsia="仿宋_GB2312"/>
          <w:color w:val="000000"/>
          <w:sz w:val="30"/>
          <w:szCs w:val="32"/>
          <w:u w:val="single"/>
        </w:rPr>
        <w:t>按专用条款14.5条执行</w:t>
      </w:r>
      <w:r>
        <w:rPr>
          <w:rFonts w:eastAsia="仿宋_GB2312"/>
          <w:color w:val="000000"/>
          <w:sz w:val="30"/>
          <w:szCs w:val="32"/>
          <w:u w:val="single"/>
        </w:rPr>
        <w:t xml:space="preserve">     </w:t>
      </w:r>
      <w:r>
        <w:rPr>
          <w:rFonts w:eastAsia="仿宋_GB2312"/>
          <w:color w:val="000000"/>
          <w:sz w:val="30"/>
          <w:szCs w:val="32"/>
        </w:rPr>
        <w:t>；</w:t>
      </w:r>
    </w:p>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p w14:paraId="03265BA2">
      <w:pPr>
        <w:spacing w:after="120" w:line="360" w:lineRule="auto"/>
        <w:ind w:firstLine="600" w:firstLineChars="200"/>
        <w:rPr>
          <w:rFonts w:eastAsia="黑体"/>
          <w:color w:val="000000"/>
          <w:sz w:val="30"/>
          <w:szCs w:val="32"/>
        </w:rPr>
      </w:pPr>
      <w:r>
        <w:rPr>
          <w:rFonts w:eastAsia="黑体"/>
          <w:color w:val="000000"/>
          <w:sz w:val="30"/>
          <w:szCs w:val="32"/>
        </w:rPr>
        <w:t>10.8 暂列金额</w:t>
      </w:r>
    </w:p>
    <w:p w14:paraId="1BBC87AD">
      <w:pPr>
        <w:autoSpaceDE w:val="0"/>
        <w:autoSpaceDN w:val="0"/>
        <w:adjustRightInd w:val="0"/>
        <w:spacing w:line="360" w:lineRule="auto"/>
        <w:jc w:val="left"/>
        <w:rPr>
          <w:rFonts w:eastAsia="仿宋_GB2312"/>
          <w:color w:val="000000"/>
          <w:kern w:val="0"/>
          <w:sz w:val="30"/>
          <w:szCs w:val="32"/>
        </w:rPr>
      </w:pPr>
      <w:r>
        <w:rPr>
          <w:rFonts w:hint="eastAsia" w:eastAsia="仿宋_GB2312"/>
          <w:color w:val="000000"/>
          <w:kern w:val="0"/>
          <w:sz w:val="30"/>
          <w:szCs w:val="32"/>
        </w:rPr>
        <w:t>合同当事人关于暂列金额使用的约定：</w:t>
      </w:r>
      <w:r>
        <w:rPr>
          <w:rFonts w:eastAsia="仿宋_GB2312"/>
          <w:sz w:val="30"/>
          <w:szCs w:val="32"/>
          <w:u w:val="single"/>
        </w:rPr>
        <w:t xml:space="preserve"> </w:t>
      </w:r>
      <w:r>
        <w:rPr>
          <w:rFonts w:hint="eastAsia" w:eastAsia="仿宋_GB2312"/>
          <w:sz w:val="30"/>
          <w:szCs w:val="32"/>
          <w:u w:val="single"/>
        </w:rPr>
        <w:t xml:space="preserve">按通用合同条款执行   </w:t>
      </w:r>
      <w:r>
        <w:rPr>
          <w:rFonts w:hint="eastAsia" w:eastAsia="仿宋_GB2312"/>
          <w:color w:val="000000"/>
          <w:kern w:val="0"/>
          <w:sz w:val="30"/>
          <w:szCs w:val="32"/>
        </w:rPr>
        <w:t>。</w:t>
      </w:r>
    </w:p>
    <w:p w14:paraId="144C7590">
      <w:pPr>
        <w:pStyle w:val="5"/>
        <w:spacing w:before="120" w:after="120" w:line="360" w:lineRule="auto"/>
        <w:rPr>
          <w:rFonts w:ascii="Times New Roman" w:hAnsi="Times New Roman" w:eastAsia="黑体"/>
          <w:b w:val="0"/>
          <w:color w:val="000000"/>
          <w:sz w:val="32"/>
          <w:szCs w:val="32"/>
        </w:rPr>
      </w:pPr>
      <w:bookmarkStart w:id="350" w:name="_Toc351203643"/>
      <w:r>
        <w:rPr>
          <w:rFonts w:ascii="Times New Roman" w:hAnsi="Times New Roman" w:eastAsia="黑体"/>
          <w:b w:val="0"/>
          <w:color w:val="000000"/>
          <w:sz w:val="32"/>
          <w:szCs w:val="32"/>
        </w:rPr>
        <w:t>11. 价格调整</w:t>
      </w:r>
      <w:bookmarkEnd w:id="350"/>
    </w:p>
    <w:p w14:paraId="51701B0F">
      <w:pPr>
        <w:spacing w:after="120" w:line="360" w:lineRule="auto"/>
        <w:ind w:firstLine="600" w:firstLineChars="200"/>
        <w:rPr>
          <w:rFonts w:eastAsia="黑体"/>
          <w:color w:val="000000"/>
          <w:sz w:val="30"/>
          <w:szCs w:val="32"/>
        </w:rPr>
      </w:pPr>
      <w:bookmarkStart w:id="351" w:name="_Toc297120501"/>
      <w:bookmarkStart w:id="352" w:name="_Toc303539157"/>
      <w:bookmarkStart w:id="353" w:name="_Toc292559911"/>
      <w:bookmarkStart w:id="354" w:name="_Toc312678039"/>
      <w:bookmarkStart w:id="355" w:name="_Toc297048387"/>
      <w:bookmarkStart w:id="356" w:name="_Toc296891029"/>
      <w:bookmarkStart w:id="357" w:name="_Toc296503201"/>
      <w:bookmarkStart w:id="358" w:name="_Toc296346702"/>
      <w:bookmarkStart w:id="359" w:name="_Toc296891241"/>
      <w:bookmarkStart w:id="360" w:name="_Toc296347200"/>
      <w:bookmarkStart w:id="361" w:name="_Toc292559406"/>
      <w:bookmarkStart w:id="362" w:name="_Toc297123550"/>
      <w:bookmarkStart w:id="363" w:name="_Toc297216209"/>
      <w:bookmarkStart w:id="364" w:name="_Toc300935000"/>
      <w:bookmarkStart w:id="365" w:name="_Toc304295577"/>
      <w:bookmarkStart w:id="366" w:name="_Toc296944540"/>
      <w:r>
        <w:rPr>
          <w:rFonts w:eastAsia="黑体"/>
          <w:color w:val="000000"/>
          <w:sz w:val="30"/>
          <w:szCs w:val="32"/>
        </w:rPr>
        <w:t>11.1 市场价格波动引起的调整</w:t>
      </w:r>
    </w:p>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p w14:paraId="0BD25DD0">
      <w:pPr>
        <w:spacing w:line="360" w:lineRule="auto"/>
        <w:ind w:firstLine="600" w:firstLineChars="200"/>
        <w:jc w:val="left"/>
        <w:rPr>
          <w:rFonts w:eastAsia="仿宋_GB2312"/>
          <w:sz w:val="30"/>
          <w:szCs w:val="32"/>
        </w:rPr>
      </w:pPr>
      <w:r>
        <w:rPr>
          <w:rFonts w:eastAsia="仿宋_GB2312"/>
          <w:color w:val="000000"/>
          <w:kern w:val="0"/>
          <w:sz w:val="30"/>
          <w:szCs w:val="32"/>
        </w:rPr>
        <w:t>市场价格波动是否调整合同价格的约定：</w:t>
      </w:r>
      <w:r>
        <w:rPr>
          <w:rFonts w:eastAsia="仿宋_GB2312"/>
          <w:sz w:val="30"/>
          <w:szCs w:val="32"/>
          <w:u w:val="single"/>
        </w:rPr>
        <w:t>不调整</w:t>
      </w:r>
      <w:r>
        <w:rPr>
          <w:rFonts w:eastAsia="仿宋_GB2312"/>
          <w:sz w:val="30"/>
          <w:szCs w:val="32"/>
        </w:rPr>
        <w:t>。</w:t>
      </w:r>
    </w:p>
    <w:bookmarkEnd w:id="326"/>
    <w:bookmarkEnd w:id="327"/>
    <w:bookmarkEnd w:id="328"/>
    <w:bookmarkEnd w:id="329"/>
    <w:bookmarkEnd w:id="330"/>
    <w:bookmarkEnd w:id="331"/>
    <w:p w14:paraId="3D6AB58E">
      <w:pPr>
        <w:pStyle w:val="5"/>
        <w:spacing w:before="120" w:after="120" w:line="360" w:lineRule="auto"/>
        <w:rPr>
          <w:rFonts w:ascii="Times New Roman" w:hAnsi="Times New Roman" w:eastAsia="黑体"/>
          <w:b w:val="0"/>
          <w:color w:val="000000"/>
          <w:sz w:val="32"/>
          <w:szCs w:val="32"/>
        </w:rPr>
      </w:pPr>
      <w:bookmarkStart w:id="367" w:name="_Toc296891245"/>
      <w:bookmarkStart w:id="368" w:name="_Toc292559410"/>
      <w:bookmarkStart w:id="369" w:name="_Toc296944544"/>
      <w:bookmarkStart w:id="370" w:name="_Toc296346706"/>
      <w:bookmarkStart w:id="371" w:name="_Toc296503205"/>
      <w:bookmarkStart w:id="372" w:name="_Toc297048391"/>
      <w:bookmarkStart w:id="373" w:name="_Toc296891033"/>
      <w:bookmarkStart w:id="374" w:name="_Toc296347204"/>
      <w:bookmarkStart w:id="375" w:name="_Toc297120505"/>
      <w:bookmarkStart w:id="376" w:name="_Toc292559915"/>
      <w:bookmarkStart w:id="377" w:name="_Toc351203644"/>
      <w:bookmarkStart w:id="378" w:name="_Toc304295579"/>
      <w:bookmarkStart w:id="379" w:name="_Toc312678040"/>
      <w:bookmarkStart w:id="380" w:name="_Toc297123552"/>
      <w:bookmarkStart w:id="381" w:name="_Toc297216211"/>
      <w:bookmarkStart w:id="382" w:name="_Toc300935002"/>
      <w:bookmarkStart w:id="383" w:name="_Toc303539159"/>
      <w:r>
        <w:rPr>
          <w:rFonts w:ascii="Times New Roman" w:hAnsi="Times New Roman" w:eastAsia="黑体"/>
          <w:b w:val="0"/>
          <w:color w:val="000000"/>
          <w:sz w:val="32"/>
          <w:szCs w:val="32"/>
        </w:rPr>
        <w:t xml:space="preserve">12. </w:t>
      </w:r>
      <w:bookmarkEnd w:id="367"/>
      <w:bookmarkEnd w:id="368"/>
      <w:bookmarkEnd w:id="369"/>
      <w:bookmarkEnd w:id="370"/>
      <w:bookmarkEnd w:id="371"/>
      <w:bookmarkEnd w:id="372"/>
      <w:bookmarkEnd w:id="373"/>
      <w:bookmarkEnd w:id="374"/>
      <w:bookmarkEnd w:id="375"/>
      <w:bookmarkEnd w:id="376"/>
      <w:r>
        <w:rPr>
          <w:rFonts w:ascii="Times New Roman" w:hAnsi="Times New Roman" w:eastAsia="黑体"/>
          <w:b w:val="0"/>
          <w:color w:val="000000"/>
          <w:sz w:val="32"/>
          <w:szCs w:val="32"/>
        </w:rPr>
        <w:t>合同价格、计量与支付</w:t>
      </w:r>
      <w:bookmarkEnd w:id="377"/>
    </w:p>
    <w:bookmarkEnd w:id="378"/>
    <w:bookmarkEnd w:id="379"/>
    <w:bookmarkEnd w:id="380"/>
    <w:bookmarkEnd w:id="381"/>
    <w:bookmarkEnd w:id="382"/>
    <w:bookmarkEnd w:id="383"/>
    <w:p w14:paraId="50713032">
      <w:pPr>
        <w:spacing w:after="120" w:line="360" w:lineRule="auto"/>
        <w:ind w:firstLine="600" w:firstLineChars="200"/>
        <w:rPr>
          <w:rFonts w:eastAsia="黑体"/>
          <w:color w:val="000000"/>
          <w:sz w:val="30"/>
          <w:szCs w:val="32"/>
          <w:u w:val="single"/>
        </w:rPr>
      </w:pPr>
      <w:bookmarkStart w:id="384" w:name="_Toc267251461"/>
      <w:bookmarkStart w:id="385" w:name="_Toc292559916"/>
      <w:bookmarkStart w:id="386" w:name="_Toc292559411"/>
      <w:bookmarkStart w:id="387" w:name="_Toc297048392"/>
      <w:bookmarkStart w:id="388" w:name="_Toc296346707"/>
      <w:bookmarkStart w:id="389" w:name="_Toc296347205"/>
      <w:bookmarkStart w:id="390" w:name="_Toc296891034"/>
      <w:bookmarkStart w:id="391" w:name="_Toc296944545"/>
      <w:bookmarkStart w:id="392" w:name="_Toc296503206"/>
      <w:bookmarkStart w:id="393" w:name="_Toc296891246"/>
      <w:bookmarkStart w:id="394" w:name="_Toc297120506"/>
      <w:bookmarkStart w:id="395" w:name="_Toc304295580"/>
      <w:bookmarkStart w:id="396" w:name="_Toc303539160"/>
      <w:bookmarkStart w:id="397" w:name="_Toc297216212"/>
      <w:bookmarkStart w:id="398" w:name="_Toc297123553"/>
      <w:bookmarkStart w:id="399" w:name="_Toc312678041"/>
      <w:bookmarkStart w:id="400" w:name="_Toc300935003"/>
      <w:r>
        <w:rPr>
          <w:rFonts w:eastAsia="黑体"/>
          <w:color w:val="000000"/>
          <w:sz w:val="30"/>
          <w:szCs w:val="32"/>
        </w:rPr>
        <w:t>12.1 合</w:t>
      </w:r>
      <w:bookmarkEnd w:id="384"/>
      <w:bookmarkEnd w:id="385"/>
      <w:bookmarkEnd w:id="386"/>
      <w:r>
        <w:rPr>
          <w:rFonts w:eastAsia="黑体"/>
          <w:color w:val="000000"/>
          <w:sz w:val="30"/>
          <w:szCs w:val="32"/>
        </w:rPr>
        <w:t>同价</w:t>
      </w:r>
      <w:bookmarkEnd w:id="387"/>
      <w:bookmarkEnd w:id="388"/>
      <w:bookmarkEnd w:id="389"/>
      <w:bookmarkEnd w:id="390"/>
      <w:bookmarkEnd w:id="391"/>
      <w:bookmarkEnd w:id="392"/>
      <w:bookmarkEnd w:id="393"/>
      <w:bookmarkEnd w:id="394"/>
      <w:r>
        <w:rPr>
          <w:rFonts w:eastAsia="黑体"/>
          <w:color w:val="000000"/>
          <w:sz w:val="30"/>
          <w:szCs w:val="32"/>
        </w:rPr>
        <w:t>格形式：</w:t>
      </w:r>
      <w:r>
        <w:rPr>
          <w:rFonts w:hint="eastAsia" w:eastAsia="黑体" w:cs="黑体"/>
          <w:color w:val="000000"/>
          <w:sz w:val="30"/>
          <w:szCs w:val="32"/>
          <w:u w:val="single"/>
          <w:lang w:bidi="ar"/>
        </w:rPr>
        <w:t>固定总价合同</w:t>
      </w:r>
      <w:r>
        <w:rPr>
          <w:rFonts w:hint="eastAsia" w:eastAsia="黑体"/>
          <w:color w:val="000000"/>
          <w:sz w:val="30"/>
          <w:szCs w:val="32"/>
          <w:u w:val="single"/>
        </w:rPr>
        <w:t xml:space="preserve">  。</w:t>
      </w:r>
    </w:p>
    <w:bookmarkEnd w:id="395"/>
    <w:bookmarkEnd w:id="396"/>
    <w:bookmarkEnd w:id="397"/>
    <w:bookmarkEnd w:id="398"/>
    <w:bookmarkEnd w:id="399"/>
    <w:bookmarkEnd w:id="400"/>
    <w:p w14:paraId="6EFCBC71">
      <w:pPr>
        <w:spacing w:after="120" w:line="360" w:lineRule="auto"/>
        <w:ind w:firstLine="750" w:firstLineChars="250"/>
        <w:rPr>
          <w:rFonts w:eastAsia="仿宋_GB2312"/>
          <w:color w:val="000000"/>
          <w:sz w:val="30"/>
          <w:szCs w:val="32"/>
        </w:rPr>
      </w:pPr>
      <w:r>
        <w:rPr>
          <w:rFonts w:hint="eastAsia" w:eastAsia="仿宋_GB2312"/>
          <w:color w:val="000000"/>
          <w:sz w:val="30"/>
          <w:szCs w:val="32"/>
        </w:rPr>
        <w:t>合同</w:t>
      </w:r>
      <w:r>
        <w:rPr>
          <w:rFonts w:eastAsia="仿宋_GB2312"/>
          <w:color w:val="000000"/>
          <w:sz w:val="30"/>
          <w:szCs w:val="32"/>
        </w:rPr>
        <w:t>风险范围</w:t>
      </w:r>
      <w:r>
        <w:rPr>
          <w:rFonts w:hint="eastAsia" w:eastAsia="仿宋_GB2312"/>
          <w:color w:val="000000"/>
          <w:sz w:val="30"/>
          <w:szCs w:val="32"/>
        </w:rPr>
        <w:t>包含但不限于</w:t>
      </w:r>
      <w:r>
        <w:rPr>
          <w:rFonts w:eastAsia="仿宋_GB2312"/>
          <w:color w:val="000000"/>
          <w:sz w:val="30"/>
          <w:szCs w:val="32"/>
        </w:rPr>
        <w:t>：</w:t>
      </w:r>
    </w:p>
    <w:p w14:paraId="20252E0F">
      <w:pPr>
        <w:spacing w:after="120" w:line="360" w:lineRule="auto"/>
        <w:ind w:firstLine="750" w:firstLineChars="250"/>
        <w:rPr>
          <w:rFonts w:eastAsia="仿宋_GB2312"/>
          <w:color w:val="000000"/>
          <w:sz w:val="30"/>
          <w:szCs w:val="32"/>
        </w:rPr>
      </w:pPr>
      <w:r>
        <w:rPr>
          <w:rFonts w:hint="eastAsia" w:eastAsia="仿宋_GB2312"/>
          <w:color w:val="000000"/>
          <w:sz w:val="30"/>
          <w:szCs w:val="32"/>
        </w:rPr>
        <w:t>1、 合同期内人工、材料、机械、设备价格变动或其他因素调整、变动；</w:t>
      </w:r>
    </w:p>
    <w:p w14:paraId="687E4CE6">
      <w:pPr>
        <w:spacing w:after="120" w:line="360" w:lineRule="auto"/>
        <w:ind w:firstLine="750" w:firstLineChars="250"/>
        <w:rPr>
          <w:rFonts w:eastAsia="仿宋_GB2312"/>
          <w:color w:val="000000"/>
          <w:sz w:val="30"/>
          <w:szCs w:val="32"/>
        </w:rPr>
      </w:pPr>
      <w:r>
        <w:rPr>
          <w:rFonts w:hint="eastAsia" w:eastAsia="仿宋_GB2312"/>
          <w:color w:val="000000"/>
          <w:sz w:val="30"/>
          <w:szCs w:val="32"/>
        </w:rPr>
        <w:t>2、 在限定的工期内完成施工项目及整项工程并达到合同规定的质量标准所需要的费用，隐含的为完成该项目而必须发生的费用；</w:t>
      </w:r>
    </w:p>
    <w:p w14:paraId="57011B57">
      <w:pPr>
        <w:spacing w:after="120" w:line="360" w:lineRule="auto"/>
        <w:ind w:firstLine="750" w:firstLineChars="250"/>
        <w:rPr>
          <w:rFonts w:eastAsia="仿宋_GB2312"/>
          <w:color w:val="000000"/>
          <w:sz w:val="30"/>
          <w:szCs w:val="32"/>
        </w:rPr>
      </w:pPr>
      <w:r>
        <w:rPr>
          <w:rFonts w:hint="eastAsia" w:eastAsia="仿宋_GB2312"/>
          <w:color w:val="000000"/>
          <w:sz w:val="30"/>
          <w:szCs w:val="32"/>
        </w:rPr>
        <w:t>3、一个月内临时停水、停电在工作时间24小时以内的停工、窝工损失；</w:t>
      </w:r>
    </w:p>
    <w:p w14:paraId="3C416E58">
      <w:pPr>
        <w:spacing w:after="120" w:line="360" w:lineRule="auto"/>
        <w:ind w:firstLine="750" w:firstLineChars="250"/>
        <w:rPr>
          <w:rFonts w:eastAsia="仿宋_GB2312"/>
          <w:color w:val="000000"/>
          <w:sz w:val="30"/>
          <w:szCs w:val="32"/>
        </w:rPr>
      </w:pPr>
      <w:r>
        <w:rPr>
          <w:rFonts w:hint="eastAsia" w:eastAsia="仿宋_GB2312"/>
          <w:color w:val="000000"/>
          <w:sz w:val="30"/>
          <w:szCs w:val="32"/>
        </w:rPr>
        <w:t>4、发包人供应材料设备不及时，造成的停、窝工每月在工作时间24小时以内的损失；</w:t>
      </w:r>
    </w:p>
    <w:p w14:paraId="2B5FC24F">
      <w:pPr>
        <w:spacing w:after="120" w:line="360" w:lineRule="auto"/>
        <w:ind w:firstLine="750" w:firstLineChars="250"/>
        <w:rPr>
          <w:rFonts w:eastAsia="仿宋_GB2312"/>
          <w:color w:val="000000"/>
          <w:sz w:val="30"/>
          <w:szCs w:val="32"/>
        </w:rPr>
      </w:pPr>
      <w:r>
        <w:rPr>
          <w:rFonts w:hint="eastAsia" w:eastAsia="仿宋_GB2312"/>
          <w:color w:val="000000"/>
          <w:sz w:val="30"/>
          <w:szCs w:val="32"/>
        </w:rPr>
        <w:t>5、材料的理论重量与实际重量的差；材料颜色、规格的变动(但不包括钢材)；</w:t>
      </w:r>
    </w:p>
    <w:p w14:paraId="090966C5">
      <w:pPr>
        <w:spacing w:after="120" w:line="360" w:lineRule="auto"/>
        <w:ind w:firstLine="750" w:firstLineChars="250"/>
        <w:rPr>
          <w:rFonts w:eastAsia="仿宋_GB2312"/>
          <w:color w:val="000000"/>
          <w:sz w:val="30"/>
          <w:szCs w:val="32"/>
        </w:rPr>
      </w:pPr>
      <w:r>
        <w:rPr>
          <w:rFonts w:hint="eastAsia" w:eastAsia="仿宋_GB2312"/>
          <w:color w:val="000000"/>
          <w:sz w:val="30"/>
          <w:szCs w:val="32"/>
        </w:rPr>
        <w:t>发生以上事件所延误的工期和增加的费用由承包人承担。</w:t>
      </w:r>
    </w:p>
    <w:p w14:paraId="34D5A4EA">
      <w:pPr>
        <w:spacing w:after="120" w:line="360" w:lineRule="auto"/>
        <w:ind w:firstLine="600" w:firstLineChars="200"/>
        <w:rPr>
          <w:rFonts w:eastAsia="黑体"/>
          <w:color w:val="000000"/>
          <w:sz w:val="30"/>
          <w:szCs w:val="32"/>
        </w:rPr>
      </w:pPr>
      <w:bookmarkStart w:id="401" w:name="_Toc300935004"/>
      <w:bookmarkStart w:id="402" w:name="_Toc312678042"/>
      <w:bookmarkStart w:id="403" w:name="_Toc297123554"/>
      <w:bookmarkStart w:id="404" w:name="_Toc304295581"/>
      <w:bookmarkStart w:id="405" w:name="_Toc297216213"/>
      <w:bookmarkStart w:id="406" w:name="_Toc303539161"/>
      <w:bookmarkStart w:id="407" w:name="_Toc292559412"/>
      <w:bookmarkStart w:id="408" w:name="_Toc296891035"/>
      <w:bookmarkStart w:id="409" w:name="_Toc296347206"/>
      <w:bookmarkStart w:id="410" w:name="_Toc297120507"/>
      <w:bookmarkStart w:id="411" w:name="_Toc296944546"/>
      <w:bookmarkStart w:id="412" w:name="_Toc292559917"/>
      <w:bookmarkStart w:id="413" w:name="_Toc296346708"/>
      <w:bookmarkStart w:id="414" w:name="_Toc296891247"/>
      <w:bookmarkStart w:id="415" w:name="_Toc296503207"/>
      <w:bookmarkStart w:id="416" w:name="_Toc297048393"/>
      <w:r>
        <w:rPr>
          <w:rFonts w:eastAsia="黑体"/>
          <w:color w:val="000000"/>
          <w:sz w:val="30"/>
          <w:szCs w:val="32"/>
        </w:rPr>
        <w:t>12.2 预付款</w:t>
      </w:r>
    </w:p>
    <w:bookmarkEnd w:id="401"/>
    <w:bookmarkEnd w:id="402"/>
    <w:bookmarkEnd w:id="403"/>
    <w:bookmarkEnd w:id="404"/>
    <w:bookmarkEnd w:id="405"/>
    <w:bookmarkEnd w:id="406"/>
    <w:p w14:paraId="03D0A7E9">
      <w:pPr>
        <w:spacing w:line="360" w:lineRule="auto"/>
        <w:ind w:firstLine="600" w:firstLineChars="200"/>
        <w:jc w:val="left"/>
        <w:rPr>
          <w:rFonts w:eastAsia="仿宋_GB2312"/>
          <w:color w:val="000000"/>
          <w:sz w:val="30"/>
          <w:szCs w:val="32"/>
        </w:rPr>
      </w:pPr>
      <w:r>
        <w:rPr>
          <w:rFonts w:eastAsia="仿宋_GB2312"/>
          <w:color w:val="000000"/>
          <w:sz w:val="30"/>
          <w:szCs w:val="32"/>
        </w:rPr>
        <w:t>12.2.1 预付款的支付</w:t>
      </w:r>
    </w:p>
    <w:p w14:paraId="662E1FB2">
      <w:pPr>
        <w:spacing w:line="360" w:lineRule="auto"/>
        <w:ind w:firstLine="600" w:firstLineChars="200"/>
        <w:jc w:val="left"/>
        <w:rPr>
          <w:rFonts w:eastAsia="仿宋_GB2312"/>
          <w:color w:val="000000"/>
          <w:sz w:val="30"/>
          <w:szCs w:val="32"/>
        </w:rPr>
      </w:pPr>
      <w:r>
        <w:rPr>
          <w:rFonts w:eastAsia="仿宋_GB2312"/>
          <w:color w:val="000000"/>
          <w:sz w:val="30"/>
          <w:szCs w:val="32"/>
        </w:rPr>
        <w:t>预付款支付比例或金额：</w:t>
      </w:r>
      <w:r>
        <w:rPr>
          <w:rFonts w:eastAsia="仿宋_GB2312"/>
          <w:color w:val="000000"/>
          <w:sz w:val="30"/>
          <w:szCs w:val="32"/>
          <w:u w:val="single"/>
        </w:rPr>
        <w:t xml:space="preserve"> </w:t>
      </w:r>
      <w:r>
        <w:rPr>
          <w:rFonts w:hint="eastAsia" w:eastAsia="仿宋_GB2312"/>
          <w:color w:val="000000"/>
          <w:sz w:val="30"/>
          <w:szCs w:val="32"/>
          <w:u w:val="single"/>
        </w:rPr>
        <w:t>不支付预付款</w:t>
      </w:r>
      <w:r>
        <w:rPr>
          <w:rFonts w:eastAsia="仿宋_GB2312"/>
          <w:color w:val="000000"/>
          <w:sz w:val="30"/>
          <w:szCs w:val="32"/>
          <w:u w:val="single"/>
        </w:rPr>
        <w:t xml:space="preserve">  </w:t>
      </w:r>
      <w:r>
        <w:rPr>
          <w:rFonts w:eastAsia="仿宋_GB2312"/>
          <w:color w:val="000000"/>
          <w:sz w:val="30"/>
          <w:szCs w:val="32"/>
        </w:rPr>
        <w:t>。</w:t>
      </w:r>
    </w:p>
    <w:bookmarkEnd w:id="407"/>
    <w:bookmarkEnd w:id="408"/>
    <w:bookmarkEnd w:id="409"/>
    <w:bookmarkEnd w:id="410"/>
    <w:bookmarkEnd w:id="411"/>
    <w:bookmarkEnd w:id="412"/>
    <w:bookmarkEnd w:id="413"/>
    <w:bookmarkEnd w:id="414"/>
    <w:bookmarkEnd w:id="415"/>
    <w:bookmarkEnd w:id="416"/>
    <w:p w14:paraId="2D8413CC">
      <w:pPr>
        <w:spacing w:after="120" w:line="360" w:lineRule="auto"/>
        <w:ind w:firstLine="600" w:firstLineChars="200"/>
        <w:rPr>
          <w:rFonts w:eastAsia="黑体"/>
          <w:color w:val="000000"/>
          <w:sz w:val="30"/>
          <w:szCs w:val="32"/>
        </w:rPr>
      </w:pPr>
      <w:r>
        <w:rPr>
          <w:rFonts w:eastAsia="黑体"/>
          <w:color w:val="000000"/>
          <w:sz w:val="30"/>
          <w:szCs w:val="32"/>
        </w:rPr>
        <w:t>12.3 计量</w:t>
      </w:r>
    </w:p>
    <w:p w14:paraId="4BCB5B8E">
      <w:pPr>
        <w:spacing w:line="360" w:lineRule="auto"/>
        <w:ind w:firstLine="600" w:firstLineChars="200"/>
        <w:jc w:val="left"/>
        <w:rPr>
          <w:rFonts w:eastAsia="仿宋_GB2312"/>
          <w:color w:val="000000"/>
          <w:sz w:val="30"/>
          <w:szCs w:val="32"/>
        </w:rPr>
      </w:pPr>
      <w:r>
        <w:rPr>
          <w:rFonts w:eastAsia="仿宋_GB2312"/>
          <w:color w:val="000000"/>
          <w:sz w:val="30"/>
          <w:szCs w:val="32"/>
        </w:rPr>
        <w:t>12.3.1 计量原则</w:t>
      </w:r>
    </w:p>
    <w:p w14:paraId="60778CFF">
      <w:pPr>
        <w:spacing w:line="360" w:lineRule="auto"/>
        <w:ind w:firstLine="600" w:firstLineChars="200"/>
        <w:jc w:val="left"/>
        <w:rPr>
          <w:rFonts w:eastAsia="仿宋_GB2312"/>
          <w:color w:val="000000"/>
          <w:sz w:val="30"/>
          <w:szCs w:val="32"/>
        </w:rPr>
      </w:pPr>
      <w:r>
        <w:rPr>
          <w:rFonts w:eastAsia="仿宋_GB2312"/>
          <w:color w:val="000000"/>
          <w:sz w:val="30"/>
          <w:szCs w:val="32"/>
        </w:rPr>
        <w:t>工程量计算规则：</w:t>
      </w:r>
      <w:r>
        <w:rPr>
          <w:rFonts w:eastAsia="仿宋_GB2312"/>
          <w:color w:val="000000"/>
          <w:sz w:val="30"/>
          <w:szCs w:val="32"/>
          <w:u w:val="single"/>
        </w:rPr>
        <w:t xml:space="preserve"> </w:t>
      </w:r>
      <w:r>
        <w:rPr>
          <w:rFonts w:ascii="宋体" w:hAnsi="宋体"/>
          <w:color w:val="000000"/>
          <w:szCs w:val="21"/>
          <w:u w:val="single"/>
        </w:rPr>
        <w:t xml:space="preserve"> </w:t>
      </w:r>
      <w:r>
        <w:rPr>
          <w:rFonts w:eastAsia="仿宋_GB2312"/>
          <w:color w:val="000000"/>
          <w:sz w:val="30"/>
          <w:szCs w:val="32"/>
          <w:u w:val="single"/>
        </w:rPr>
        <w:t xml:space="preserve"> </w:t>
      </w:r>
      <w:r>
        <w:rPr>
          <w:rFonts w:hint="eastAsia" w:eastAsia="仿宋_GB2312" w:cs="仿宋_GB2312"/>
          <w:color w:val="000000"/>
          <w:sz w:val="30"/>
          <w:szCs w:val="32"/>
          <w:u w:val="single"/>
          <w:lang w:bidi="ar"/>
        </w:rPr>
        <w:t>现场未发生增减（变更）工程时，完成谈判采购文件及现场踏勘时明确的所有拆除工作即完成计量。现场发生增减（变更）工程时，需完成判采购文件及现场踏勘时明确的所有拆除工作，增减（变更）工程按</w:t>
      </w:r>
      <w:r>
        <w:rPr>
          <w:rFonts w:hint="eastAsia" w:eastAsia="仿宋_GB2312"/>
          <w:color w:val="000000"/>
          <w:sz w:val="30"/>
          <w:szCs w:val="32"/>
          <w:u w:val="single"/>
        </w:rPr>
        <w:t>《建设工程工程量清单计价规范》GB50500-2013、《重庆市建设工程工程量清单计价规则》（CQJJGZ-2013）、《重庆市建设工程工程量计算规则》、《重庆市房屋建筑与装饰工程计价定额》（CQ</w:t>
      </w:r>
      <w:r>
        <w:rPr>
          <w:rFonts w:eastAsia="仿宋_GB2312"/>
          <w:color w:val="000000"/>
          <w:sz w:val="30"/>
          <w:szCs w:val="32"/>
          <w:u w:val="single"/>
        </w:rPr>
        <w:t>JZZS</w:t>
      </w:r>
      <w:r>
        <w:rPr>
          <w:rFonts w:hint="eastAsia" w:eastAsia="仿宋_GB2312"/>
          <w:color w:val="000000"/>
          <w:sz w:val="30"/>
          <w:szCs w:val="32"/>
          <w:u w:val="single"/>
        </w:rPr>
        <w:t>DE-2018）、《重庆市市政工程计价定额》（CQSZDE-20</w:t>
      </w:r>
      <w:r>
        <w:rPr>
          <w:rFonts w:eastAsia="仿宋_GB2312"/>
          <w:color w:val="000000"/>
          <w:sz w:val="30"/>
          <w:szCs w:val="32"/>
          <w:u w:val="single"/>
        </w:rPr>
        <w:t>1</w:t>
      </w:r>
      <w:r>
        <w:rPr>
          <w:rFonts w:hint="eastAsia" w:eastAsia="仿宋_GB2312"/>
          <w:color w:val="000000"/>
          <w:sz w:val="30"/>
          <w:szCs w:val="32"/>
          <w:u w:val="single"/>
        </w:rPr>
        <w:t>8）、《重庆市通用安装工程计价定额》（CQAZDE-2018）、《重庆市房屋修缮工程计价定额》（C</w:t>
      </w:r>
      <w:r>
        <w:rPr>
          <w:rFonts w:eastAsia="仿宋_GB2312"/>
          <w:color w:val="000000"/>
          <w:sz w:val="30"/>
          <w:szCs w:val="32"/>
          <w:u w:val="single"/>
        </w:rPr>
        <w:t>QXSDE-2018）、《</w:t>
      </w:r>
      <w:r>
        <w:rPr>
          <w:rFonts w:hint="eastAsia" w:eastAsia="仿宋_GB2312"/>
          <w:color w:val="000000"/>
          <w:sz w:val="30"/>
          <w:szCs w:val="32"/>
          <w:u w:val="single"/>
        </w:rPr>
        <w:t>重庆市绿色建筑工程计价定额》（C</w:t>
      </w:r>
      <w:r>
        <w:rPr>
          <w:rFonts w:eastAsia="仿宋_GB2312"/>
          <w:color w:val="000000"/>
          <w:sz w:val="30"/>
          <w:szCs w:val="32"/>
          <w:u w:val="single"/>
        </w:rPr>
        <w:t>QLSJZDE-2018）、</w:t>
      </w:r>
      <w:r>
        <w:rPr>
          <w:rFonts w:hint="eastAsia" w:eastAsia="仿宋_GB2312"/>
          <w:color w:val="000000"/>
          <w:sz w:val="30"/>
          <w:szCs w:val="32"/>
          <w:u w:val="single"/>
        </w:rPr>
        <w:t>《重庆市建设工程费用定额》（CQFYDE-2018）及相关配套文件明确的计量规则执行</w:t>
      </w:r>
      <w:r>
        <w:rPr>
          <w:rFonts w:eastAsia="仿宋_GB2312"/>
          <w:color w:val="000000"/>
          <w:sz w:val="30"/>
          <w:szCs w:val="32"/>
          <w:u w:val="single"/>
        </w:rPr>
        <w:t xml:space="preserve">    </w:t>
      </w:r>
      <w:r>
        <w:rPr>
          <w:rFonts w:eastAsia="仿宋_GB2312"/>
          <w:color w:val="000000"/>
          <w:sz w:val="30"/>
          <w:szCs w:val="32"/>
        </w:rPr>
        <w:t>。</w:t>
      </w:r>
    </w:p>
    <w:p w14:paraId="023E6277">
      <w:pPr>
        <w:spacing w:line="360" w:lineRule="auto"/>
        <w:ind w:firstLine="600" w:firstLineChars="200"/>
        <w:jc w:val="left"/>
        <w:rPr>
          <w:rFonts w:eastAsia="仿宋_GB2312"/>
          <w:color w:val="000000"/>
          <w:sz w:val="30"/>
          <w:szCs w:val="32"/>
        </w:rPr>
      </w:pPr>
      <w:r>
        <w:rPr>
          <w:rFonts w:eastAsia="仿宋_GB2312"/>
          <w:color w:val="000000"/>
          <w:sz w:val="30"/>
          <w:szCs w:val="32"/>
        </w:rPr>
        <w:t>12.3.2 计量周期</w:t>
      </w:r>
    </w:p>
    <w:p w14:paraId="26602EF0">
      <w:pPr>
        <w:spacing w:line="360" w:lineRule="auto"/>
        <w:ind w:firstLine="600" w:firstLineChars="200"/>
        <w:jc w:val="left"/>
        <w:rPr>
          <w:rFonts w:eastAsia="仿宋_GB2312"/>
          <w:color w:val="000000"/>
          <w:sz w:val="30"/>
          <w:szCs w:val="32"/>
        </w:rPr>
      </w:pPr>
      <w:r>
        <w:rPr>
          <w:rFonts w:eastAsia="仿宋_GB2312"/>
          <w:color w:val="000000"/>
          <w:sz w:val="30"/>
          <w:szCs w:val="32"/>
        </w:rPr>
        <w:t>关于计量周期的约定：</w:t>
      </w:r>
      <w:r>
        <w:rPr>
          <w:rFonts w:eastAsia="仿宋_GB2312"/>
          <w:color w:val="000000"/>
          <w:sz w:val="30"/>
          <w:szCs w:val="32"/>
          <w:u w:val="single"/>
        </w:rPr>
        <w:t xml:space="preserve">  </w:t>
      </w:r>
      <w:r>
        <w:rPr>
          <w:rFonts w:hint="eastAsia" w:eastAsia="仿宋_GB2312" w:cs="仿宋_GB2312"/>
          <w:color w:val="000000"/>
          <w:sz w:val="30"/>
          <w:szCs w:val="32"/>
          <w:u w:val="single"/>
          <w:lang w:bidi="ar"/>
        </w:rPr>
        <w:t>按一次性完成所有拆除工作计量（包含现场发生增减（变更）工程时）</w:t>
      </w:r>
      <w:r>
        <w:rPr>
          <w:rFonts w:eastAsia="仿宋_GB2312"/>
          <w:color w:val="000000"/>
          <w:sz w:val="30"/>
          <w:szCs w:val="32"/>
          <w:u w:val="single"/>
        </w:rPr>
        <w:t xml:space="preserve"> </w:t>
      </w:r>
      <w:r>
        <w:rPr>
          <w:rFonts w:eastAsia="仿宋_GB2312"/>
          <w:color w:val="000000"/>
          <w:sz w:val="30"/>
          <w:szCs w:val="32"/>
        </w:rPr>
        <w:t>。</w:t>
      </w:r>
    </w:p>
    <w:p w14:paraId="7FDA0FC2">
      <w:pPr>
        <w:spacing w:after="120" w:line="360" w:lineRule="auto"/>
        <w:ind w:firstLine="600" w:firstLineChars="200"/>
        <w:rPr>
          <w:rFonts w:eastAsia="黑体"/>
          <w:color w:val="000000"/>
          <w:sz w:val="30"/>
          <w:szCs w:val="32"/>
        </w:rPr>
      </w:pPr>
      <w:r>
        <w:rPr>
          <w:rFonts w:eastAsia="黑体"/>
          <w:color w:val="000000"/>
          <w:sz w:val="30"/>
          <w:szCs w:val="32"/>
        </w:rPr>
        <w:t>12.4 工程进度款支付：</w:t>
      </w:r>
      <w:r>
        <w:rPr>
          <w:rFonts w:hint="eastAsia" w:eastAsia="黑体"/>
          <w:color w:val="000000"/>
          <w:sz w:val="30"/>
          <w:szCs w:val="32"/>
        </w:rPr>
        <w:t>/</w:t>
      </w:r>
      <w:r>
        <w:rPr>
          <w:rFonts w:eastAsia="仿宋_GB2312"/>
          <w:color w:val="000000"/>
          <w:sz w:val="30"/>
          <w:szCs w:val="32"/>
        </w:rPr>
        <w:tab/>
      </w:r>
    </w:p>
    <w:p w14:paraId="33646EE2">
      <w:pPr>
        <w:spacing w:line="360" w:lineRule="auto"/>
        <w:ind w:firstLine="600" w:firstLineChars="200"/>
        <w:jc w:val="left"/>
        <w:rPr>
          <w:rFonts w:eastAsia="黑体"/>
          <w:color w:val="000000"/>
          <w:sz w:val="30"/>
          <w:szCs w:val="32"/>
        </w:rPr>
      </w:pPr>
      <w:r>
        <w:rPr>
          <w:rFonts w:eastAsia="黑体"/>
          <w:color w:val="000000"/>
          <w:sz w:val="30"/>
          <w:szCs w:val="32"/>
        </w:rPr>
        <w:t>12.6 工程</w:t>
      </w:r>
      <w:r>
        <w:rPr>
          <w:rFonts w:hint="eastAsia" w:eastAsia="黑体"/>
          <w:color w:val="000000"/>
          <w:sz w:val="30"/>
          <w:szCs w:val="32"/>
        </w:rPr>
        <w:t>款支付方式</w:t>
      </w:r>
    </w:p>
    <w:p w14:paraId="20796DCF">
      <w:pPr>
        <w:spacing w:line="360" w:lineRule="auto"/>
        <w:ind w:firstLine="600" w:firstLineChars="200"/>
        <w:jc w:val="left"/>
        <w:rPr>
          <w:rFonts w:eastAsia="仿宋_GB2312"/>
          <w:color w:val="000000"/>
          <w:sz w:val="30"/>
          <w:szCs w:val="32"/>
        </w:rPr>
      </w:pPr>
      <w:r>
        <w:rPr>
          <w:rFonts w:hint="eastAsia" w:eastAsia="仿宋_GB2312"/>
          <w:color w:val="000000"/>
          <w:sz w:val="30"/>
          <w:szCs w:val="32"/>
        </w:rPr>
        <w:t>发包人的支付方式约定为银行承兑汇票；如若付款方式调整为电汇付款（银行转账），则承包人对发包人的支付金额给予 1%的现金折扣（其中，需付至农民工工资专户的农民工工资和配置票据后付款尾差≤5000 元的现金支付部分不享受该现金折扣）。</w:t>
      </w:r>
    </w:p>
    <w:bookmarkEnd w:id="332"/>
    <w:p w14:paraId="521EFAC1">
      <w:pPr>
        <w:pStyle w:val="5"/>
        <w:spacing w:before="120" w:after="120" w:line="360" w:lineRule="auto"/>
        <w:rPr>
          <w:rFonts w:ascii="Times New Roman" w:hAnsi="Times New Roman" w:eastAsia="黑体"/>
          <w:b w:val="0"/>
          <w:color w:val="000000"/>
          <w:sz w:val="32"/>
          <w:szCs w:val="32"/>
        </w:rPr>
      </w:pPr>
      <w:bookmarkStart w:id="417" w:name="_Toc351203645"/>
      <w:bookmarkStart w:id="418" w:name="_Toc297048405"/>
      <w:bookmarkStart w:id="419" w:name="_Toc296347218"/>
      <w:bookmarkStart w:id="420" w:name="_Toc296944558"/>
      <w:bookmarkStart w:id="421" w:name="_Toc303539172"/>
      <w:bookmarkStart w:id="422" w:name="_Toc296346720"/>
      <w:bookmarkStart w:id="423" w:name="_Toc296891047"/>
      <w:bookmarkStart w:id="424" w:name="_Toc312678053"/>
      <w:bookmarkStart w:id="425" w:name="_Toc292559424"/>
      <w:bookmarkStart w:id="426" w:name="_Toc304295593"/>
      <w:bookmarkStart w:id="427" w:name="_Toc297216223"/>
      <w:bookmarkStart w:id="428" w:name="_Toc297120519"/>
      <w:bookmarkStart w:id="429" w:name="_Toc292559929"/>
      <w:bookmarkStart w:id="430" w:name="_Toc296891259"/>
      <w:bookmarkStart w:id="431" w:name="_Toc296503219"/>
      <w:bookmarkStart w:id="432" w:name="_Toc297123564"/>
      <w:bookmarkStart w:id="433" w:name="_Toc300935015"/>
      <w:r>
        <w:rPr>
          <w:rFonts w:ascii="Times New Roman" w:hAnsi="Times New Roman" w:eastAsia="黑体"/>
          <w:b w:val="0"/>
          <w:color w:val="000000"/>
          <w:sz w:val="32"/>
          <w:szCs w:val="32"/>
        </w:rPr>
        <w:t>13.</w:t>
      </w:r>
      <w:r>
        <w:rPr>
          <w:rFonts w:hint="eastAsia" w:ascii="Times New Roman" w:hAnsi="Times New Roman" w:eastAsia="黑体"/>
          <w:b w:val="0"/>
          <w:color w:val="000000"/>
          <w:sz w:val="32"/>
          <w:szCs w:val="32"/>
        </w:rPr>
        <w:t xml:space="preserve"> </w:t>
      </w:r>
      <w:r>
        <w:rPr>
          <w:rFonts w:ascii="Times New Roman" w:hAnsi="Times New Roman" w:eastAsia="黑体"/>
          <w:b w:val="0"/>
          <w:color w:val="000000"/>
          <w:sz w:val="32"/>
          <w:szCs w:val="32"/>
        </w:rPr>
        <w:t>验收和工程试车</w:t>
      </w:r>
      <w:bookmarkEnd w:id="417"/>
    </w:p>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p w14:paraId="1C167357">
      <w:pPr>
        <w:spacing w:after="120" w:line="360" w:lineRule="auto"/>
        <w:ind w:firstLine="600" w:firstLineChars="200"/>
        <w:rPr>
          <w:rFonts w:eastAsia="黑体"/>
          <w:color w:val="000000"/>
          <w:sz w:val="30"/>
          <w:szCs w:val="32"/>
        </w:rPr>
      </w:pPr>
      <w:r>
        <w:rPr>
          <w:rFonts w:eastAsia="黑体"/>
          <w:color w:val="000000"/>
          <w:sz w:val="30"/>
          <w:szCs w:val="32"/>
        </w:rPr>
        <w:t>13.1 分部分项工程验收</w:t>
      </w:r>
    </w:p>
    <w:p w14:paraId="613F9D36">
      <w:pPr>
        <w:spacing w:line="360" w:lineRule="auto"/>
        <w:ind w:firstLine="600" w:firstLineChars="200"/>
        <w:jc w:val="left"/>
        <w:rPr>
          <w:rFonts w:eastAsia="仿宋_GB2312"/>
          <w:sz w:val="30"/>
          <w:szCs w:val="32"/>
        </w:rPr>
      </w:pPr>
      <w:r>
        <w:rPr>
          <w:rFonts w:eastAsia="仿宋_GB2312"/>
          <w:sz w:val="30"/>
          <w:szCs w:val="32"/>
        </w:rPr>
        <w:t>13.1.2监理人不能按时进行验收时，应提前</w:t>
      </w:r>
      <w:r>
        <w:rPr>
          <w:rFonts w:eastAsia="仿宋_GB2312"/>
          <w:sz w:val="30"/>
          <w:szCs w:val="32"/>
          <w:u w:val="single"/>
        </w:rPr>
        <w:t xml:space="preserve">  24  </w:t>
      </w:r>
      <w:r>
        <w:rPr>
          <w:rFonts w:eastAsia="仿宋_GB2312"/>
          <w:sz w:val="30"/>
          <w:szCs w:val="32"/>
        </w:rPr>
        <w:t>小时提交书面延期要求。</w:t>
      </w:r>
    </w:p>
    <w:p w14:paraId="1939042E">
      <w:pPr>
        <w:spacing w:line="360" w:lineRule="auto"/>
        <w:ind w:firstLine="600" w:firstLineChars="200"/>
        <w:jc w:val="left"/>
        <w:rPr>
          <w:rFonts w:eastAsia="仿宋_GB2312"/>
          <w:b/>
          <w:color w:val="000000"/>
          <w:sz w:val="30"/>
          <w:szCs w:val="32"/>
        </w:rPr>
      </w:pPr>
      <w:r>
        <w:rPr>
          <w:rFonts w:eastAsia="仿宋_GB2312"/>
          <w:sz w:val="30"/>
          <w:szCs w:val="32"/>
        </w:rPr>
        <w:t>关于延期最长不得超过：</w:t>
      </w:r>
      <w:r>
        <w:rPr>
          <w:rFonts w:eastAsia="仿宋_GB2312"/>
          <w:sz w:val="30"/>
          <w:szCs w:val="32"/>
          <w:u w:val="single"/>
        </w:rPr>
        <w:t xml:space="preserve">   48   </w:t>
      </w:r>
      <w:r>
        <w:rPr>
          <w:rFonts w:eastAsia="仿宋_GB2312"/>
          <w:sz w:val="30"/>
          <w:szCs w:val="32"/>
        </w:rPr>
        <w:t>小时。</w:t>
      </w:r>
    </w:p>
    <w:p w14:paraId="58539390">
      <w:pPr>
        <w:spacing w:after="120" w:line="360" w:lineRule="auto"/>
        <w:ind w:firstLine="600" w:firstLineChars="200"/>
        <w:rPr>
          <w:rFonts w:eastAsia="黑体"/>
          <w:color w:val="000000"/>
          <w:sz w:val="30"/>
          <w:szCs w:val="32"/>
        </w:rPr>
      </w:pPr>
      <w:bookmarkStart w:id="434" w:name="_Toc296891051"/>
      <w:bookmarkStart w:id="435" w:name="_Toc296503223"/>
      <w:bookmarkStart w:id="436" w:name="_Toc296891263"/>
      <w:bookmarkStart w:id="437" w:name="_Toc303539173"/>
      <w:bookmarkStart w:id="438" w:name="_Toc297123565"/>
      <w:bookmarkStart w:id="439" w:name="_Toc296944562"/>
      <w:bookmarkStart w:id="440" w:name="_Toc297120523"/>
      <w:bookmarkStart w:id="441" w:name="_Toc312678056"/>
      <w:bookmarkStart w:id="442" w:name="_Toc292559428"/>
      <w:bookmarkStart w:id="443" w:name="_Toc300935016"/>
      <w:bookmarkStart w:id="444" w:name="_Toc297216224"/>
      <w:bookmarkStart w:id="445" w:name="_Toc296347222"/>
      <w:bookmarkStart w:id="446" w:name="_Toc297048409"/>
      <w:bookmarkStart w:id="447" w:name="_Toc296346724"/>
      <w:bookmarkStart w:id="448" w:name="_Toc292559933"/>
      <w:bookmarkStart w:id="449" w:name="_Toc304295596"/>
      <w:bookmarkStart w:id="450" w:name="_Toc267251473"/>
      <w:bookmarkStart w:id="451" w:name="_Toc267251470"/>
      <w:bookmarkStart w:id="452" w:name="_Toc267251472"/>
      <w:bookmarkStart w:id="453" w:name="_Toc267251476"/>
      <w:bookmarkStart w:id="454" w:name="_Toc267251474"/>
      <w:bookmarkStart w:id="455" w:name="_Toc267251471"/>
      <w:bookmarkStart w:id="456" w:name="_Toc267251475"/>
      <w:r>
        <w:rPr>
          <w:rFonts w:eastAsia="黑体"/>
          <w:color w:val="000000"/>
          <w:sz w:val="30"/>
          <w:szCs w:val="32"/>
        </w:rPr>
        <w:t>13.2 竣工验收</w:t>
      </w:r>
    </w:p>
    <w:p w14:paraId="2D5D2714">
      <w:pPr>
        <w:spacing w:line="360" w:lineRule="auto"/>
        <w:ind w:firstLine="600" w:firstLineChars="200"/>
        <w:jc w:val="left"/>
        <w:rPr>
          <w:rFonts w:eastAsia="仿宋_GB2312"/>
          <w:color w:val="000000"/>
          <w:sz w:val="30"/>
          <w:szCs w:val="32"/>
        </w:rPr>
      </w:pPr>
      <w:r>
        <w:rPr>
          <w:rFonts w:eastAsia="仿宋_GB2312"/>
          <w:color w:val="000000"/>
          <w:sz w:val="30"/>
          <w:szCs w:val="32"/>
        </w:rPr>
        <w:t>13.2.1</w:t>
      </w:r>
      <w:r>
        <w:rPr>
          <w:rFonts w:hint="eastAsia" w:eastAsia="仿宋_GB2312"/>
          <w:color w:val="000000"/>
          <w:sz w:val="30"/>
          <w:szCs w:val="32"/>
        </w:rPr>
        <w:t>竣工资料</w:t>
      </w:r>
    </w:p>
    <w:p w14:paraId="1511900B">
      <w:pPr>
        <w:spacing w:after="120" w:line="360" w:lineRule="auto"/>
        <w:ind w:firstLine="600" w:firstLineChars="200"/>
        <w:rPr>
          <w:rFonts w:ascii="宋体" w:hAnsi="宋体"/>
          <w:color w:val="000000"/>
          <w:szCs w:val="21"/>
        </w:rPr>
      </w:pPr>
      <w:r>
        <w:rPr>
          <w:rFonts w:hint="eastAsia" w:eastAsia="仿宋_GB2312"/>
          <w:color w:val="000000"/>
          <w:kern w:val="0"/>
          <w:sz w:val="30"/>
          <w:szCs w:val="32"/>
        </w:rPr>
        <w:t>竣工资料内容：</w:t>
      </w:r>
      <w:r>
        <w:rPr>
          <w:rFonts w:hint="eastAsia" w:eastAsia="仿宋_GB2312"/>
          <w:color w:val="000000"/>
          <w:sz w:val="30"/>
          <w:szCs w:val="32"/>
          <w:u w:val="single"/>
        </w:rPr>
        <w:t xml:space="preserve">   建设工程档案验收所需的所有资料  </w:t>
      </w:r>
      <w:r>
        <w:rPr>
          <w:rFonts w:hint="eastAsia" w:eastAsia="仿宋_GB2312"/>
          <w:color w:val="000000"/>
          <w:sz w:val="30"/>
          <w:szCs w:val="32"/>
        </w:rPr>
        <w:t>。</w:t>
      </w:r>
    </w:p>
    <w:p w14:paraId="1E0B170C">
      <w:pPr>
        <w:spacing w:line="360" w:lineRule="auto"/>
        <w:ind w:firstLine="600" w:firstLineChars="200"/>
        <w:jc w:val="left"/>
        <w:rPr>
          <w:rFonts w:eastAsia="仿宋_GB2312"/>
          <w:color w:val="000000"/>
          <w:sz w:val="30"/>
          <w:szCs w:val="32"/>
        </w:rPr>
      </w:pPr>
      <w:r>
        <w:rPr>
          <w:rFonts w:hint="eastAsia" w:eastAsia="仿宋_GB2312"/>
          <w:color w:val="000000"/>
          <w:kern w:val="0"/>
          <w:sz w:val="30"/>
          <w:szCs w:val="32"/>
        </w:rPr>
        <w:t>竣工资料份数：</w:t>
      </w:r>
      <w:r>
        <w:rPr>
          <w:rFonts w:hint="eastAsia" w:eastAsia="仿宋_GB2312"/>
          <w:color w:val="000000"/>
          <w:sz w:val="30"/>
          <w:szCs w:val="32"/>
          <w:u w:val="single"/>
        </w:rPr>
        <w:t xml:space="preserve"> 竣工验收后承包人向发包人提交验收合格的完整的竣工图和工程竣工技术档案资料一式三份，电子文档及竣工图三份</w:t>
      </w:r>
      <w:r>
        <w:rPr>
          <w:rFonts w:hint="eastAsia" w:eastAsia="仿宋_GB2312"/>
          <w:color w:val="000000"/>
          <w:sz w:val="30"/>
          <w:szCs w:val="32"/>
        </w:rPr>
        <w:t>。</w:t>
      </w:r>
    </w:p>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p w14:paraId="3AC5711E">
      <w:pPr>
        <w:spacing w:line="360" w:lineRule="auto"/>
        <w:ind w:firstLine="600" w:firstLineChars="200"/>
        <w:jc w:val="left"/>
        <w:rPr>
          <w:rFonts w:eastAsia="仿宋_GB2312"/>
          <w:color w:val="000000"/>
          <w:sz w:val="30"/>
          <w:szCs w:val="32"/>
        </w:rPr>
      </w:pPr>
      <w:bookmarkStart w:id="457" w:name="_Toc280868704"/>
      <w:bookmarkStart w:id="458" w:name="_Toc280868705"/>
      <w:bookmarkStart w:id="459" w:name="_Toc280868706"/>
      <w:bookmarkStart w:id="460" w:name="_Toc280868707"/>
      <w:bookmarkStart w:id="461" w:name="_Toc280868708"/>
      <w:bookmarkStart w:id="462" w:name="_Toc280868709"/>
      <w:r>
        <w:rPr>
          <w:rFonts w:eastAsia="仿宋_GB2312"/>
          <w:color w:val="000000"/>
          <w:sz w:val="30"/>
          <w:szCs w:val="32"/>
        </w:rPr>
        <w:t>13.2.2竣工验收程序</w:t>
      </w:r>
    </w:p>
    <w:bookmarkEnd w:id="457"/>
    <w:p w14:paraId="6E58A06E">
      <w:pPr>
        <w:rPr>
          <w:rFonts w:eastAsia="仿宋_GB2312"/>
          <w:color w:val="000000"/>
          <w:sz w:val="30"/>
          <w:szCs w:val="32"/>
        </w:rPr>
      </w:pPr>
      <w:r>
        <w:rPr>
          <w:rFonts w:eastAsia="仿宋_GB2312"/>
          <w:color w:val="000000"/>
          <w:kern w:val="0"/>
          <w:sz w:val="30"/>
          <w:szCs w:val="32"/>
        </w:rPr>
        <w:t>关于竣工验收程序的约定：</w:t>
      </w:r>
      <w:r>
        <w:rPr>
          <w:rFonts w:eastAsia="仿宋_GB2312"/>
          <w:color w:val="000000"/>
          <w:sz w:val="30"/>
          <w:szCs w:val="32"/>
          <w:u w:val="single"/>
        </w:rPr>
        <w:t xml:space="preserve"> </w:t>
      </w:r>
      <w:r>
        <w:rPr>
          <w:rFonts w:hint="eastAsia" w:eastAsia="仿宋_GB2312"/>
          <w:color w:val="000000"/>
          <w:kern w:val="0"/>
          <w:sz w:val="30"/>
          <w:szCs w:val="32"/>
          <w:u w:val="single"/>
        </w:rPr>
        <w:t>按住房城乡建设部关于印发《房屋建筑和市政基础设施工程竣工验收规定》的通知（建质〔2013〕171号）文件执行</w:t>
      </w:r>
      <w:r>
        <w:rPr>
          <w:rFonts w:eastAsia="仿宋_GB2312"/>
          <w:color w:val="000000"/>
          <w:sz w:val="30"/>
          <w:szCs w:val="32"/>
          <w:u w:val="single"/>
        </w:rPr>
        <w:t xml:space="preserve"> </w:t>
      </w:r>
      <w:r>
        <w:rPr>
          <w:rFonts w:eastAsia="仿宋_GB2312"/>
          <w:color w:val="000000"/>
          <w:sz w:val="30"/>
          <w:szCs w:val="32"/>
        </w:rPr>
        <w:t>。</w:t>
      </w:r>
    </w:p>
    <w:p w14:paraId="1754A1F9">
      <w:pPr>
        <w:spacing w:line="360" w:lineRule="auto"/>
        <w:ind w:firstLine="600" w:firstLineChars="200"/>
        <w:jc w:val="left"/>
        <w:rPr>
          <w:rFonts w:eastAsia="仿宋_GB2312"/>
          <w:color w:val="000000"/>
          <w:sz w:val="30"/>
          <w:szCs w:val="32"/>
        </w:rPr>
      </w:pPr>
      <w:r>
        <w:rPr>
          <w:rFonts w:eastAsia="仿宋_GB2312"/>
          <w:color w:val="000000"/>
          <w:kern w:val="0"/>
          <w:sz w:val="30"/>
          <w:szCs w:val="32"/>
        </w:rPr>
        <w:t>发包人不按照本项约定组织竣工验收、颁发工程接收证书的违约金的计算方法：</w:t>
      </w:r>
      <w:r>
        <w:rPr>
          <w:rFonts w:eastAsia="仿宋_GB2312"/>
          <w:color w:val="000000"/>
          <w:sz w:val="30"/>
          <w:szCs w:val="32"/>
          <w:u w:val="single"/>
        </w:rPr>
        <w:t xml:space="preserve">  每逾期一天，应以签约合同价</w:t>
      </w:r>
      <w:r>
        <w:rPr>
          <w:rFonts w:hint="eastAsia" w:eastAsia="仿宋_GB2312"/>
          <w:color w:val="000000"/>
          <w:sz w:val="30"/>
          <w:szCs w:val="32"/>
          <w:u w:val="single"/>
        </w:rPr>
        <w:t>扣除已支付工程款</w:t>
      </w:r>
      <w:r>
        <w:rPr>
          <w:rFonts w:eastAsia="仿宋_GB2312"/>
          <w:color w:val="000000"/>
          <w:sz w:val="30"/>
          <w:szCs w:val="32"/>
          <w:u w:val="single"/>
        </w:rPr>
        <w:t xml:space="preserve">为基数，按照中国人民银行发布的同期同类贷款基准利率支付违约金   </w:t>
      </w:r>
      <w:r>
        <w:rPr>
          <w:rFonts w:eastAsia="仿宋_GB2312"/>
          <w:color w:val="000000"/>
          <w:sz w:val="30"/>
          <w:szCs w:val="32"/>
        </w:rPr>
        <w:t>。</w:t>
      </w:r>
    </w:p>
    <w:bookmarkEnd w:id="458"/>
    <w:p w14:paraId="50E7F1D9">
      <w:pPr>
        <w:spacing w:line="360" w:lineRule="auto"/>
        <w:ind w:firstLine="600" w:firstLineChars="200"/>
        <w:jc w:val="left"/>
        <w:rPr>
          <w:rFonts w:eastAsia="仿宋_GB2312"/>
          <w:color w:val="000000"/>
          <w:sz w:val="30"/>
          <w:szCs w:val="32"/>
        </w:rPr>
      </w:pPr>
      <w:r>
        <w:rPr>
          <w:rFonts w:eastAsia="仿宋_GB2312"/>
          <w:color w:val="000000"/>
          <w:sz w:val="30"/>
          <w:szCs w:val="32"/>
        </w:rPr>
        <w:t>13.2.5移交、接收全部与部分工程</w:t>
      </w:r>
    </w:p>
    <w:bookmarkEnd w:id="459"/>
    <w:p w14:paraId="4326E00C">
      <w:pPr>
        <w:spacing w:line="360" w:lineRule="auto"/>
        <w:ind w:firstLine="600" w:firstLineChars="200"/>
        <w:jc w:val="left"/>
        <w:rPr>
          <w:rFonts w:eastAsia="仿宋_GB2312"/>
          <w:color w:val="000000"/>
          <w:kern w:val="0"/>
          <w:sz w:val="30"/>
          <w:szCs w:val="32"/>
        </w:rPr>
      </w:pPr>
      <w:r>
        <w:rPr>
          <w:rFonts w:hint="eastAsia" w:eastAsia="仿宋_GB2312"/>
          <w:color w:val="000000"/>
          <w:kern w:val="0"/>
          <w:sz w:val="30"/>
          <w:szCs w:val="32"/>
        </w:rPr>
        <w:t>承包人向发包人移交工程的期限：</w:t>
      </w:r>
      <w:r>
        <w:rPr>
          <w:rFonts w:eastAsia="仿宋_GB2312"/>
          <w:color w:val="000000"/>
          <w:sz w:val="30"/>
          <w:szCs w:val="32"/>
          <w:u w:val="single"/>
        </w:rPr>
        <w:t xml:space="preserve"> </w:t>
      </w:r>
      <w:r>
        <w:rPr>
          <w:rFonts w:hint="eastAsia" w:eastAsia="仿宋_GB2312"/>
          <w:color w:val="000000"/>
          <w:sz w:val="30"/>
          <w:szCs w:val="32"/>
          <w:u w:val="single"/>
        </w:rPr>
        <w:t>通过工程竣工验收后，承包人应在28天内，同发包人办理工程移交手续</w:t>
      </w:r>
      <w:r>
        <w:rPr>
          <w:rFonts w:eastAsia="仿宋_GB2312"/>
          <w:color w:val="000000"/>
          <w:sz w:val="30"/>
          <w:szCs w:val="32"/>
          <w:u w:val="single"/>
        </w:rPr>
        <w:t xml:space="preserve"> </w:t>
      </w:r>
      <w:r>
        <w:rPr>
          <w:rFonts w:hint="eastAsia" w:eastAsia="仿宋_GB2312"/>
          <w:color w:val="000000"/>
          <w:sz w:val="30"/>
          <w:szCs w:val="32"/>
          <w:u w:val="single"/>
        </w:rPr>
        <w:t xml:space="preserve"> </w:t>
      </w:r>
      <w:r>
        <w:rPr>
          <w:rFonts w:hint="eastAsia" w:eastAsia="仿宋_GB2312"/>
          <w:color w:val="000000"/>
          <w:sz w:val="30"/>
          <w:szCs w:val="32"/>
        </w:rPr>
        <w:t>。</w:t>
      </w:r>
    </w:p>
    <w:p w14:paraId="33FD466E">
      <w:pPr>
        <w:spacing w:line="360" w:lineRule="auto"/>
        <w:ind w:firstLine="600" w:firstLineChars="200"/>
        <w:jc w:val="left"/>
        <w:rPr>
          <w:rFonts w:eastAsia="仿宋_GB2312"/>
          <w:color w:val="000000"/>
          <w:sz w:val="30"/>
          <w:szCs w:val="32"/>
          <w:u w:val="single"/>
        </w:rPr>
      </w:pPr>
      <w:r>
        <w:rPr>
          <w:rFonts w:eastAsia="仿宋_GB2312"/>
          <w:color w:val="000000"/>
          <w:kern w:val="0"/>
          <w:sz w:val="30"/>
          <w:szCs w:val="32"/>
        </w:rPr>
        <w:t>发包人未按本合同约定接收全部或部分工程的，违约金的计算方法为：</w:t>
      </w:r>
      <w:r>
        <w:rPr>
          <w:rFonts w:hint="eastAsia" w:eastAsia="仿宋_GB2312"/>
          <w:color w:val="000000"/>
          <w:sz w:val="30"/>
          <w:szCs w:val="32"/>
          <w:u w:val="single"/>
        </w:rPr>
        <w:t xml:space="preserve">由双方确定与此相关的工程照管与养护费用补偿额  </w:t>
      </w:r>
      <w:r>
        <w:rPr>
          <w:rFonts w:eastAsia="仿宋_GB2312"/>
          <w:color w:val="000000"/>
          <w:sz w:val="30"/>
          <w:szCs w:val="32"/>
          <w:u w:val="single"/>
        </w:rPr>
        <w:t xml:space="preserve">  </w:t>
      </w:r>
      <w:r>
        <w:rPr>
          <w:rFonts w:eastAsia="仿宋_GB2312"/>
          <w:color w:val="000000"/>
          <w:sz w:val="30"/>
          <w:szCs w:val="32"/>
        </w:rPr>
        <w:t>。</w:t>
      </w:r>
    </w:p>
    <w:bookmarkEnd w:id="460"/>
    <w:p w14:paraId="412005EF">
      <w:pPr>
        <w:spacing w:line="360" w:lineRule="auto"/>
        <w:ind w:firstLine="600" w:firstLineChars="200"/>
        <w:jc w:val="left"/>
        <w:rPr>
          <w:rFonts w:eastAsia="仿宋_GB2312"/>
          <w:color w:val="000000"/>
          <w:sz w:val="30"/>
          <w:szCs w:val="32"/>
        </w:rPr>
      </w:pPr>
      <w:r>
        <w:rPr>
          <w:rFonts w:eastAsia="仿宋_GB2312"/>
          <w:color w:val="000000"/>
          <w:sz w:val="30"/>
          <w:szCs w:val="32"/>
        </w:rPr>
        <w:t>承包人未按时移交工程的，违约金的计算方法为：</w:t>
      </w:r>
      <w:r>
        <w:rPr>
          <w:rFonts w:hint="eastAsia" w:eastAsia="仿宋_GB2312"/>
          <w:color w:val="000000"/>
          <w:sz w:val="30"/>
          <w:szCs w:val="32"/>
          <w:u w:val="single"/>
        </w:rPr>
        <w:t>按专用合同条款7.5.2执行</w:t>
      </w:r>
      <w:r>
        <w:rPr>
          <w:rFonts w:eastAsia="仿宋_GB2312"/>
          <w:color w:val="000000"/>
          <w:sz w:val="30"/>
          <w:szCs w:val="32"/>
          <w:u w:val="single"/>
        </w:rPr>
        <w:t xml:space="preserve">  </w:t>
      </w:r>
      <w:r>
        <w:rPr>
          <w:rFonts w:eastAsia="仿宋_GB2312"/>
          <w:color w:val="000000"/>
          <w:sz w:val="30"/>
          <w:szCs w:val="32"/>
        </w:rPr>
        <w:t>。</w:t>
      </w:r>
    </w:p>
    <w:bookmarkEnd w:id="461"/>
    <w:p w14:paraId="2327A32B">
      <w:pPr>
        <w:spacing w:after="120" w:line="360" w:lineRule="auto"/>
        <w:ind w:firstLine="600" w:firstLineChars="200"/>
        <w:outlineLvl w:val="0"/>
        <w:rPr>
          <w:rFonts w:eastAsia="黑体"/>
          <w:color w:val="000000"/>
          <w:sz w:val="30"/>
          <w:szCs w:val="32"/>
        </w:rPr>
      </w:pPr>
      <w:r>
        <w:rPr>
          <w:rFonts w:eastAsia="黑体"/>
          <w:color w:val="000000"/>
          <w:sz w:val="30"/>
          <w:szCs w:val="32"/>
        </w:rPr>
        <w:t>13.6 竣工退场</w:t>
      </w:r>
    </w:p>
    <w:p w14:paraId="3E4707FB">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13.6.1 竣工退场</w:t>
      </w:r>
    </w:p>
    <w:p w14:paraId="0929A3CF">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承包人完成竣工退场的期限：</w:t>
      </w:r>
      <w:r>
        <w:rPr>
          <w:rFonts w:hint="eastAsia" w:eastAsia="仿宋_GB2312"/>
          <w:color w:val="000000"/>
          <w:sz w:val="30"/>
          <w:szCs w:val="32"/>
          <w:u w:val="single"/>
        </w:rPr>
        <w:t>颁发工程接收证书后7天内</w:t>
      </w:r>
      <w:r>
        <w:rPr>
          <w:rFonts w:eastAsia="仿宋_GB2312"/>
          <w:color w:val="000000"/>
          <w:sz w:val="30"/>
          <w:szCs w:val="32"/>
          <w:u w:val="single"/>
        </w:rPr>
        <w:t xml:space="preserve"> </w:t>
      </w:r>
      <w:r>
        <w:rPr>
          <w:rFonts w:eastAsia="仿宋_GB2312"/>
          <w:color w:val="000000"/>
          <w:kern w:val="0"/>
          <w:sz w:val="30"/>
          <w:szCs w:val="32"/>
        </w:rPr>
        <w:t>。</w:t>
      </w:r>
    </w:p>
    <w:p w14:paraId="343472D3">
      <w:pPr>
        <w:pStyle w:val="5"/>
        <w:spacing w:before="120" w:after="120" w:line="360" w:lineRule="auto"/>
        <w:rPr>
          <w:rFonts w:ascii="Times New Roman" w:hAnsi="Times New Roman" w:eastAsia="黑体"/>
          <w:b w:val="0"/>
          <w:color w:val="000000"/>
          <w:sz w:val="32"/>
          <w:szCs w:val="32"/>
        </w:rPr>
      </w:pPr>
      <w:bookmarkStart w:id="463" w:name="_Toc351203646"/>
      <w:r>
        <w:rPr>
          <w:rFonts w:ascii="Times New Roman" w:hAnsi="Times New Roman" w:eastAsia="黑体"/>
          <w:b w:val="0"/>
          <w:color w:val="000000"/>
          <w:sz w:val="32"/>
          <w:szCs w:val="32"/>
        </w:rPr>
        <w:t>14. 竣工结算</w:t>
      </w:r>
      <w:bookmarkEnd w:id="463"/>
    </w:p>
    <w:p w14:paraId="40DB46A0">
      <w:pPr>
        <w:spacing w:after="120" w:line="360" w:lineRule="auto"/>
        <w:ind w:firstLine="600" w:firstLineChars="200"/>
        <w:rPr>
          <w:rFonts w:eastAsia="黑体"/>
          <w:color w:val="000000"/>
          <w:sz w:val="30"/>
          <w:szCs w:val="32"/>
        </w:rPr>
      </w:pPr>
      <w:r>
        <w:rPr>
          <w:rFonts w:eastAsia="黑体"/>
          <w:color w:val="000000"/>
          <w:sz w:val="30"/>
          <w:szCs w:val="32"/>
        </w:rPr>
        <w:t>14.1 竣工</w:t>
      </w:r>
      <w:r>
        <w:rPr>
          <w:rFonts w:hint="eastAsia" w:eastAsia="黑体"/>
          <w:color w:val="000000"/>
          <w:sz w:val="30"/>
          <w:szCs w:val="32"/>
        </w:rPr>
        <w:t>结算</w:t>
      </w:r>
      <w:r>
        <w:rPr>
          <w:rFonts w:eastAsia="黑体"/>
          <w:color w:val="000000"/>
          <w:sz w:val="30"/>
          <w:szCs w:val="32"/>
        </w:rPr>
        <w:t>申请</w:t>
      </w:r>
    </w:p>
    <w:p w14:paraId="000C6A9B">
      <w:pPr>
        <w:spacing w:line="360" w:lineRule="auto"/>
        <w:ind w:firstLine="600" w:firstLineChars="200"/>
        <w:jc w:val="left"/>
        <w:rPr>
          <w:rFonts w:eastAsia="仿宋_GB2312"/>
          <w:color w:val="000000"/>
          <w:sz w:val="30"/>
          <w:szCs w:val="32"/>
        </w:rPr>
      </w:pPr>
      <w:r>
        <w:rPr>
          <w:rFonts w:eastAsia="仿宋_GB2312"/>
          <w:sz w:val="30"/>
          <w:szCs w:val="32"/>
        </w:rPr>
        <w:t>承包人提交竣工</w:t>
      </w:r>
      <w:r>
        <w:rPr>
          <w:rFonts w:hint="eastAsia" w:eastAsia="仿宋_GB2312"/>
          <w:sz w:val="30"/>
          <w:szCs w:val="32"/>
        </w:rPr>
        <w:t>结算</w:t>
      </w:r>
      <w:r>
        <w:rPr>
          <w:rFonts w:eastAsia="仿宋_GB2312"/>
          <w:sz w:val="30"/>
          <w:szCs w:val="32"/>
        </w:rPr>
        <w:t>申请单的期限：</w:t>
      </w:r>
      <w:r>
        <w:rPr>
          <w:rFonts w:eastAsia="仿宋_GB2312"/>
          <w:color w:val="000000"/>
          <w:sz w:val="30"/>
          <w:szCs w:val="32"/>
          <w:u w:val="single"/>
        </w:rPr>
        <w:t xml:space="preserve"> </w:t>
      </w:r>
      <w:r>
        <w:rPr>
          <w:rFonts w:hint="eastAsia" w:eastAsia="仿宋_GB2312"/>
          <w:color w:val="000000"/>
          <w:sz w:val="30"/>
          <w:szCs w:val="32"/>
          <w:u w:val="single"/>
        </w:rPr>
        <w:t>竣工验收合格后60日历天内</w:t>
      </w:r>
      <w:r>
        <w:rPr>
          <w:rFonts w:eastAsia="仿宋_GB2312"/>
          <w:color w:val="000000"/>
          <w:sz w:val="30"/>
          <w:szCs w:val="32"/>
          <w:u w:val="single"/>
        </w:rPr>
        <w:t xml:space="preserve">  </w:t>
      </w:r>
      <w:r>
        <w:rPr>
          <w:rFonts w:eastAsia="仿宋_GB2312"/>
          <w:color w:val="000000"/>
          <w:sz w:val="30"/>
          <w:szCs w:val="32"/>
        </w:rPr>
        <w:t>。</w:t>
      </w:r>
    </w:p>
    <w:p w14:paraId="4A364ED4">
      <w:pPr>
        <w:spacing w:line="360" w:lineRule="auto"/>
        <w:ind w:firstLine="600" w:firstLineChars="200"/>
        <w:jc w:val="left"/>
        <w:rPr>
          <w:rFonts w:eastAsia="仿宋_GB2312"/>
          <w:color w:val="000000"/>
          <w:sz w:val="30"/>
          <w:szCs w:val="32"/>
        </w:rPr>
      </w:pPr>
      <w:r>
        <w:rPr>
          <w:rFonts w:hint="eastAsia" w:eastAsia="仿宋_GB2312"/>
          <w:sz w:val="30"/>
          <w:szCs w:val="32"/>
        </w:rPr>
        <w:t>承包人提交竣工付款申请单的份数：</w:t>
      </w:r>
      <w:r>
        <w:rPr>
          <w:rFonts w:eastAsia="仿宋_GB2312"/>
          <w:color w:val="000000"/>
          <w:sz w:val="30"/>
          <w:szCs w:val="32"/>
          <w:u w:val="single"/>
        </w:rPr>
        <w:t xml:space="preserve">  </w:t>
      </w:r>
      <w:r>
        <w:rPr>
          <w:rFonts w:hint="eastAsia" w:eastAsia="仿宋_GB2312"/>
          <w:color w:val="000000"/>
          <w:sz w:val="30"/>
          <w:szCs w:val="32"/>
          <w:u w:val="single"/>
        </w:rPr>
        <w:t>三份</w:t>
      </w:r>
      <w:r>
        <w:rPr>
          <w:rFonts w:eastAsia="仿宋_GB2312"/>
          <w:color w:val="000000"/>
          <w:sz w:val="30"/>
          <w:szCs w:val="32"/>
          <w:u w:val="single"/>
        </w:rPr>
        <w:t xml:space="preserve">      </w:t>
      </w:r>
      <w:r>
        <w:rPr>
          <w:rFonts w:eastAsia="仿宋_GB2312"/>
          <w:color w:val="000000"/>
          <w:sz w:val="30"/>
          <w:szCs w:val="32"/>
        </w:rPr>
        <w:t>。</w:t>
      </w:r>
    </w:p>
    <w:p w14:paraId="1596834C">
      <w:pPr>
        <w:spacing w:line="360" w:lineRule="auto"/>
        <w:ind w:firstLine="600" w:firstLineChars="200"/>
        <w:jc w:val="left"/>
        <w:rPr>
          <w:rFonts w:eastAsia="仿宋_GB2312"/>
          <w:color w:val="000000"/>
          <w:sz w:val="30"/>
          <w:szCs w:val="32"/>
        </w:rPr>
      </w:pPr>
      <w:r>
        <w:rPr>
          <w:rFonts w:eastAsia="仿宋_GB2312"/>
          <w:color w:val="000000"/>
          <w:sz w:val="30"/>
          <w:szCs w:val="32"/>
        </w:rPr>
        <w:t>竣工</w:t>
      </w:r>
      <w:r>
        <w:rPr>
          <w:rFonts w:hint="eastAsia" w:eastAsia="仿宋_GB2312"/>
          <w:color w:val="000000"/>
          <w:sz w:val="30"/>
          <w:szCs w:val="32"/>
        </w:rPr>
        <w:t>结算</w:t>
      </w:r>
      <w:r>
        <w:rPr>
          <w:rFonts w:eastAsia="仿宋_GB2312"/>
          <w:color w:val="000000"/>
          <w:sz w:val="30"/>
          <w:szCs w:val="32"/>
        </w:rPr>
        <w:t>申请单应包括的内容：</w:t>
      </w:r>
      <w:r>
        <w:rPr>
          <w:rFonts w:eastAsia="仿宋_GB2312"/>
          <w:color w:val="000000"/>
          <w:sz w:val="30"/>
          <w:szCs w:val="32"/>
          <w:u w:val="single"/>
        </w:rPr>
        <w:t xml:space="preserve"> </w:t>
      </w:r>
      <w:r>
        <w:rPr>
          <w:rFonts w:hint="eastAsia" w:eastAsia="仿宋_GB2312"/>
          <w:color w:val="000000"/>
          <w:sz w:val="30"/>
          <w:szCs w:val="32"/>
          <w:u w:val="single"/>
        </w:rPr>
        <w:t>(1)竣工结算合同价格。(2)发包人已支付承包人的款项。(3)应扣留的质量保证金，已缴纳履约保证金的或提供其他工程质量担保方式的除外。(4)发包人应支付承包人的合同价款</w:t>
      </w:r>
      <w:r>
        <w:rPr>
          <w:rFonts w:eastAsia="仿宋_GB2312"/>
          <w:color w:val="000000"/>
          <w:sz w:val="30"/>
          <w:szCs w:val="32"/>
          <w:u w:val="single"/>
        </w:rPr>
        <w:t xml:space="preserve"> </w:t>
      </w:r>
      <w:r>
        <w:rPr>
          <w:rFonts w:eastAsia="仿宋_GB2312"/>
          <w:color w:val="000000"/>
          <w:sz w:val="30"/>
          <w:szCs w:val="32"/>
        </w:rPr>
        <w:t>。</w:t>
      </w:r>
    </w:p>
    <w:p w14:paraId="4A9AC84D">
      <w:pPr>
        <w:spacing w:line="360" w:lineRule="auto"/>
        <w:ind w:firstLine="600" w:firstLineChars="200"/>
        <w:jc w:val="left"/>
        <w:rPr>
          <w:rFonts w:eastAsia="仿宋_GB2312"/>
          <w:color w:val="000000"/>
          <w:sz w:val="30"/>
          <w:szCs w:val="32"/>
        </w:rPr>
      </w:pPr>
      <w:r>
        <w:rPr>
          <w:rFonts w:hint="eastAsia" w:eastAsia="仿宋_GB2312"/>
          <w:color w:val="000000"/>
          <w:sz w:val="30"/>
          <w:szCs w:val="32"/>
        </w:rPr>
        <w:t>承包人须向发包人一次性递交完整的竣工结算资料，并以发包人一次性签收的竣工结算资料办理竣工结算，承包人此后补交的任何竣工结算资料发包人均拒绝接受。在递交完整竣工结算资料时承包人应提供发包人和承包人双方签认的《交接验收证书》，否则发包人有权拒绝接收竣工结算资料。</w:t>
      </w:r>
    </w:p>
    <w:p w14:paraId="2B24164F">
      <w:pPr>
        <w:spacing w:after="120" w:line="360" w:lineRule="auto"/>
        <w:ind w:firstLine="600" w:firstLineChars="200"/>
        <w:outlineLvl w:val="0"/>
        <w:rPr>
          <w:rFonts w:eastAsia="黑体"/>
          <w:color w:val="000000"/>
          <w:sz w:val="30"/>
          <w:szCs w:val="32"/>
        </w:rPr>
      </w:pPr>
      <w:r>
        <w:rPr>
          <w:rFonts w:eastAsia="黑体"/>
          <w:color w:val="000000"/>
          <w:sz w:val="30"/>
          <w:szCs w:val="32"/>
        </w:rPr>
        <w:t>14.2 竣工结算审核</w:t>
      </w:r>
    </w:p>
    <w:p w14:paraId="6602B846">
      <w:pPr>
        <w:spacing w:after="120" w:line="360" w:lineRule="auto"/>
        <w:ind w:firstLine="600" w:firstLineChars="200"/>
        <w:outlineLvl w:val="0"/>
        <w:rPr>
          <w:rFonts w:eastAsia="仿宋_GB2312" w:cs="仿宋_GB2312"/>
          <w:color w:val="000000"/>
          <w:sz w:val="30"/>
          <w:szCs w:val="32"/>
          <w:lang w:bidi="ar"/>
        </w:rPr>
      </w:pPr>
      <w:r>
        <w:rPr>
          <w:rFonts w:eastAsia="仿宋_GB2312"/>
          <w:color w:val="000000"/>
          <w:sz w:val="30"/>
          <w:szCs w:val="32"/>
          <w:lang w:bidi="ar"/>
        </w:rPr>
        <w:t>14.2.1</w:t>
      </w:r>
      <w:r>
        <w:rPr>
          <w:rFonts w:hint="eastAsia" w:eastAsia="仿宋_GB2312" w:cs="仿宋_GB2312"/>
          <w:color w:val="000000"/>
          <w:sz w:val="30"/>
          <w:szCs w:val="32"/>
          <w:lang w:bidi="ar"/>
        </w:rPr>
        <w:t>、现场未发生增减（变更）工程时，结算金额等于合同包干价金额，不用办理结算，竣工验收后支付至合同包干价的</w:t>
      </w:r>
      <w:r>
        <w:rPr>
          <w:rFonts w:eastAsia="仿宋_GB2312"/>
          <w:color w:val="000000"/>
          <w:sz w:val="30"/>
          <w:szCs w:val="32"/>
          <w:lang w:bidi="ar"/>
        </w:rPr>
        <w:t>100%</w:t>
      </w:r>
      <w:r>
        <w:rPr>
          <w:rFonts w:hint="eastAsia" w:eastAsia="仿宋_GB2312" w:cs="仿宋_GB2312"/>
          <w:color w:val="000000"/>
          <w:sz w:val="30"/>
          <w:szCs w:val="32"/>
          <w:lang w:bidi="ar"/>
        </w:rPr>
        <w:t>。</w:t>
      </w:r>
    </w:p>
    <w:p w14:paraId="70FAC7AF">
      <w:pPr>
        <w:spacing w:after="120" w:line="360" w:lineRule="auto"/>
        <w:ind w:firstLine="600" w:firstLineChars="200"/>
        <w:outlineLvl w:val="0"/>
        <w:rPr>
          <w:rFonts w:eastAsia="黑体"/>
          <w:color w:val="000000"/>
          <w:sz w:val="30"/>
          <w:szCs w:val="32"/>
        </w:rPr>
      </w:pPr>
      <w:r>
        <w:rPr>
          <w:rFonts w:eastAsia="仿宋_GB2312"/>
          <w:color w:val="000000"/>
          <w:sz w:val="30"/>
          <w:szCs w:val="32"/>
          <w:lang w:bidi="ar"/>
        </w:rPr>
        <w:t>14.2.2</w:t>
      </w:r>
      <w:r>
        <w:rPr>
          <w:rFonts w:hint="eastAsia" w:eastAsia="仿宋_GB2312" w:cs="仿宋_GB2312"/>
          <w:color w:val="000000"/>
          <w:sz w:val="30"/>
          <w:szCs w:val="32"/>
          <w:lang w:bidi="ar"/>
        </w:rPr>
        <w:t>、现场发生增减（变更）工程时，按以下原则进行结算：</w:t>
      </w:r>
    </w:p>
    <w:p w14:paraId="2CAF15A2">
      <w:pPr>
        <w:spacing w:line="360" w:lineRule="auto"/>
        <w:ind w:firstLine="600" w:firstLineChars="200"/>
        <w:jc w:val="left"/>
        <w:rPr>
          <w:rFonts w:eastAsia="仿宋_GB2312"/>
          <w:color w:val="000000"/>
          <w:sz w:val="30"/>
          <w:szCs w:val="32"/>
        </w:rPr>
      </w:pPr>
      <w:r>
        <w:rPr>
          <w:rFonts w:hint="eastAsia" w:eastAsia="仿宋_GB2312"/>
          <w:color w:val="000000"/>
          <w:sz w:val="30"/>
          <w:szCs w:val="32"/>
        </w:rPr>
        <w:t>1、竣工验收合格后，发包人收到承包人提交的完整的竣工结算报告及结算资料后</w:t>
      </w:r>
      <w:r>
        <w:rPr>
          <w:rFonts w:eastAsia="仿宋_GB2312"/>
          <w:color w:val="000000"/>
          <w:kern w:val="0"/>
          <w:sz w:val="30"/>
          <w:szCs w:val="32"/>
        </w:rPr>
        <w:t>40</w:t>
      </w:r>
      <w:r>
        <w:rPr>
          <w:rFonts w:hint="eastAsia" w:eastAsia="仿宋_GB2312"/>
          <w:color w:val="000000"/>
          <w:sz w:val="30"/>
          <w:szCs w:val="32"/>
        </w:rPr>
        <w:t>天内进行核实，给予确认或者提出修改意见 ；</w:t>
      </w:r>
    </w:p>
    <w:p w14:paraId="48F2D470">
      <w:pPr>
        <w:spacing w:line="360" w:lineRule="auto"/>
        <w:ind w:firstLine="600" w:firstLineChars="200"/>
        <w:jc w:val="left"/>
        <w:rPr>
          <w:rFonts w:eastAsia="仿宋_GB2312"/>
          <w:color w:val="000000"/>
          <w:sz w:val="30"/>
          <w:szCs w:val="32"/>
        </w:rPr>
      </w:pPr>
      <w:r>
        <w:rPr>
          <w:rFonts w:hint="eastAsia" w:eastAsia="仿宋_GB2312"/>
          <w:color w:val="000000"/>
          <w:sz w:val="30"/>
          <w:szCs w:val="32"/>
        </w:rPr>
        <w:t>2、自工程竣工验收合格之日起60天内，承包人未能向发包人提交竣工结算报告及完整的结算资料，逾期提交一天，承包人承担2000元违约金；或虽提交了完整的结算资料，承包人的相关人员未按时配合发包人及造价咨询机构完成结算审核，造成工程竣工结算不能正常进行或工程竣工结算价款不能及时支付，发包人不承担相应责任，并经发包人书面通知催告后仍未配合，自发出书面通知催告七日后，每逾期一日，承包人承担2000元违约金。发包人及造价咨询机构完成结算审核并向承包人反馈审核结果后 30 日内，双方未签署结算定案表且承包人未提出书面异议的，发包人向承包人发送书面催告；承包人收到催告文件后 15 日内仍未提出异议的，视为认可发包人及造价咨询机构出具的结算审核金额，催告期限届满之次日，视为结算定案表已签订；</w:t>
      </w:r>
    </w:p>
    <w:p w14:paraId="24949FEE">
      <w:pPr>
        <w:spacing w:line="360" w:lineRule="auto"/>
        <w:ind w:firstLine="600" w:firstLineChars="200"/>
        <w:jc w:val="left"/>
        <w:rPr>
          <w:rFonts w:eastAsia="仿宋_GB2312"/>
          <w:color w:val="000000"/>
          <w:sz w:val="30"/>
          <w:szCs w:val="32"/>
        </w:rPr>
      </w:pPr>
      <w:r>
        <w:rPr>
          <w:rFonts w:hint="eastAsia" w:eastAsia="仿宋_GB2312"/>
          <w:color w:val="000000"/>
          <w:sz w:val="30"/>
          <w:szCs w:val="32"/>
        </w:rPr>
        <w:t>3、</w:t>
      </w:r>
      <w:bookmarkStart w:id="464" w:name="auto_fouce_21"/>
      <w:r>
        <w:rPr>
          <w:rFonts w:eastAsia="仿宋_GB2312"/>
          <w:color w:val="000000"/>
          <w:sz w:val="30"/>
          <w:szCs w:val="32"/>
        </w:rPr>
        <w:t>发包人在收到承包人提交</w:t>
      </w:r>
      <w:r>
        <w:rPr>
          <w:rFonts w:hint="eastAsia" w:eastAsia="仿宋_GB2312"/>
          <w:color w:val="000000"/>
          <w:sz w:val="30"/>
          <w:szCs w:val="32"/>
        </w:rPr>
        <w:t>的完整</w:t>
      </w:r>
      <w:r>
        <w:rPr>
          <w:rFonts w:eastAsia="仿宋_GB2312"/>
          <w:color w:val="000000"/>
          <w:sz w:val="30"/>
          <w:szCs w:val="32"/>
        </w:rPr>
        <w:t>竣工结算</w:t>
      </w:r>
      <w:r>
        <w:rPr>
          <w:rFonts w:hint="eastAsia" w:eastAsia="仿宋_GB2312"/>
          <w:color w:val="000000"/>
          <w:sz w:val="30"/>
          <w:szCs w:val="32"/>
        </w:rPr>
        <w:t>报告及结算资料</w:t>
      </w:r>
      <w:r>
        <w:rPr>
          <w:rFonts w:eastAsia="仿宋_GB2312"/>
          <w:color w:val="000000"/>
          <w:sz w:val="30"/>
          <w:szCs w:val="32"/>
        </w:rPr>
        <w:t>后</w:t>
      </w:r>
      <w:r>
        <w:rPr>
          <w:rFonts w:hint="eastAsia" w:eastAsia="仿宋_GB2312"/>
          <w:color w:val="000000"/>
          <w:sz w:val="30"/>
          <w:szCs w:val="32"/>
        </w:rPr>
        <w:t xml:space="preserve"> </w:t>
      </w:r>
      <w:r>
        <w:rPr>
          <w:rFonts w:eastAsia="仿宋_GB2312"/>
          <w:color w:val="000000"/>
          <w:sz w:val="30"/>
          <w:szCs w:val="32"/>
        </w:rPr>
        <w:t>40天未完成审核</w:t>
      </w:r>
      <w:r>
        <w:rPr>
          <w:rFonts w:hint="eastAsia" w:eastAsia="仿宋_GB2312"/>
          <w:color w:val="000000"/>
          <w:sz w:val="30"/>
          <w:szCs w:val="32"/>
        </w:rPr>
        <w:t>又</w:t>
      </w:r>
      <w:r>
        <w:rPr>
          <w:rFonts w:eastAsia="仿宋_GB2312"/>
          <w:color w:val="000000"/>
          <w:sz w:val="30"/>
          <w:szCs w:val="32"/>
        </w:rPr>
        <w:t>未提出异议的，</w:t>
      </w:r>
      <w:r>
        <w:rPr>
          <w:rFonts w:hint="eastAsia" w:eastAsia="仿宋_GB2312"/>
          <w:color w:val="000000"/>
          <w:sz w:val="30"/>
          <w:szCs w:val="32"/>
        </w:rPr>
        <w:t>承</w:t>
      </w:r>
      <w:r>
        <w:rPr>
          <w:rFonts w:eastAsia="仿宋_GB2312"/>
          <w:color w:val="000000"/>
          <w:sz w:val="30"/>
          <w:szCs w:val="32"/>
        </w:rPr>
        <w:t>包人</w:t>
      </w:r>
      <w:r>
        <w:rPr>
          <w:rFonts w:hint="eastAsia" w:eastAsia="仿宋_GB2312"/>
          <w:color w:val="000000"/>
          <w:sz w:val="30"/>
          <w:szCs w:val="32"/>
        </w:rPr>
        <w:t>应向发</w:t>
      </w:r>
      <w:r>
        <w:rPr>
          <w:rFonts w:eastAsia="仿宋_GB2312"/>
          <w:color w:val="000000"/>
          <w:sz w:val="30"/>
          <w:szCs w:val="32"/>
        </w:rPr>
        <w:t>包人</w:t>
      </w:r>
      <w:r>
        <w:rPr>
          <w:rFonts w:hint="eastAsia" w:eastAsia="仿宋_GB2312"/>
          <w:color w:val="000000"/>
          <w:sz w:val="30"/>
          <w:szCs w:val="32"/>
        </w:rPr>
        <w:t>发出书面催告</w:t>
      </w:r>
      <w:r>
        <w:rPr>
          <w:rFonts w:eastAsia="仿宋_GB2312"/>
          <w:color w:val="000000"/>
          <w:sz w:val="30"/>
          <w:szCs w:val="32"/>
        </w:rPr>
        <w:t>，发包人收到</w:t>
      </w:r>
      <w:r>
        <w:rPr>
          <w:rFonts w:hint="eastAsia" w:eastAsia="仿宋_GB2312"/>
          <w:color w:val="000000"/>
          <w:sz w:val="30"/>
          <w:szCs w:val="32"/>
        </w:rPr>
        <w:t>催告后</w:t>
      </w:r>
      <w:r>
        <w:rPr>
          <w:rFonts w:eastAsia="仿宋_GB2312"/>
          <w:color w:val="000000"/>
          <w:sz w:val="30"/>
          <w:szCs w:val="32"/>
        </w:rPr>
        <w:t>14</w:t>
      </w:r>
      <w:r>
        <w:rPr>
          <w:rFonts w:hint="eastAsia" w:eastAsia="仿宋_GB2312"/>
          <w:color w:val="000000"/>
          <w:sz w:val="30"/>
          <w:szCs w:val="32"/>
        </w:rPr>
        <w:t>天仍未完成审核且未提出异议的，视为认可</w:t>
      </w:r>
      <w:r>
        <w:rPr>
          <w:rFonts w:eastAsia="仿宋_GB2312"/>
          <w:color w:val="000000"/>
          <w:sz w:val="30"/>
          <w:szCs w:val="32"/>
        </w:rPr>
        <w:t>承包人提交的竣工结算</w:t>
      </w:r>
      <w:r>
        <w:rPr>
          <w:rFonts w:hint="eastAsia" w:eastAsia="仿宋_GB2312"/>
          <w:color w:val="000000"/>
          <w:sz w:val="30"/>
          <w:szCs w:val="32"/>
        </w:rPr>
        <w:t>报告，自催告期满次日</w:t>
      </w:r>
      <w:r>
        <w:rPr>
          <w:rFonts w:eastAsia="仿宋_GB2312"/>
          <w:color w:val="000000"/>
          <w:sz w:val="30"/>
          <w:szCs w:val="32"/>
        </w:rPr>
        <w:t>起视为已</w:t>
      </w:r>
      <w:r>
        <w:rPr>
          <w:rFonts w:hint="eastAsia" w:eastAsia="仿宋_GB2312"/>
          <w:color w:val="000000"/>
          <w:sz w:val="30"/>
          <w:szCs w:val="32"/>
        </w:rPr>
        <w:t>签订结算定案表；</w:t>
      </w:r>
      <w:bookmarkEnd w:id="464"/>
    </w:p>
    <w:p w14:paraId="5AF52FA2">
      <w:pPr>
        <w:spacing w:line="360" w:lineRule="auto"/>
        <w:ind w:firstLine="600" w:firstLineChars="200"/>
        <w:jc w:val="left"/>
        <w:rPr>
          <w:rFonts w:eastAsia="仿宋_GB2312"/>
          <w:color w:val="000000"/>
          <w:sz w:val="30"/>
          <w:szCs w:val="32"/>
        </w:rPr>
      </w:pPr>
      <w:r>
        <w:rPr>
          <w:rFonts w:hint="eastAsia" w:eastAsia="仿宋_GB2312"/>
          <w:color w:val="000000"/>
          <w:sz w:val="30"/>
          <w:szCs w:val="32"/>
        </w:rPr>
        <w:t>4、</w:t>
      </w:r>
      <w:r>
        <w:rPr>
          <w:rFonts w:eastAsia="仿宋_GB2312"/>
          <w:color w:val="000000"/>
          <w:sz w:val="30"/>
          <w:szCs w:val="32"/>
        </w:rPr>
        <w:t>发包人应在</w:t>
      </w:r>
      <w:r>
        <w:rPr>
          <w:rFonts w:hint="eastAsia" w:eastAsia="仿宋_GB2312"/>
          <w:color w:val="000000"/>
          <w:sz w:val="30"/>
          <w:szCs w:val="32"/>
        </w:rPr>
        <w:t>签订一审结算定案表</w:t>
      </w:r>
      <w:r>
        <w:rPr>
          <w:rFonts w:eastAsia="仿宋_GB2312"/>
          <w:color w:val="000000"/>
          <w:sz w:val="30"/>
          <w:szCs w:val="32"/>
        </w:rPr>
        <w:t>后的</w:t>
      </w:r>
      <w:r>
        <w:rPr>
          <w:rFonts w:hint="eastAsia" w:eastAsia="仿宋_GB2312"/>
          <w:color w:val="000000"/>
          <w:sz w:val="30"/>
          <w:szCs w:val="32"/>
        </w:rPr>
        <w:t>28</w:t>
      </w:r>
      <w:r>
        <w:rPr>
          <w:rFonts w:eastAsia="仿宋_GB2312"/>
          <w:color w:val="000000"/>
          <w:sz w:val="30"/>
          <w:szCs w:val="32"/>
        </w:rPr>
        <w:t xml:space="preserve"> 天内，</w:t>
      </w:r>
      <w:r>
        <w:rPr>
          <w:rFonts w:hint="eastAsia" w:eastAsia="仿宋_GB2312"/>
          <w:color w:val="000000"/>
          <w:sz w:val="30"/>
          <w:szCs w:val="32"/>
        </w:rPr>
        <w:t>累计支付至竣工结算价款的</w:t>
      </w:r>
      <w:r>
        <w:rPr>
          <w:rFonts w:eastAsia="仿宋_GB2312"/>
          <w:color w:val="000000"/>
          <w:sz w:val="30"/>
          <w:szCs w:val="32"/>
        </w:rPr>
        <w:t>100%。</w:t>
      </w:r>
    </w:p>
    <w:p w14:paraId="081075AD">
      <w:pPr>
        <w:spacing w:line="360" w:lineRule="auto"/>
        <w:ind w:firstLine="600" w:firstLineChars="200"/>
        <w:jc w:val="left"/>
        <w:rPr>
          <w:rFonts w:eastAsia="仿宋_GB2312"/>
          <w:color w:val="000000"/>
          <w:sz w:val="30"/>
          <w:szCs w:val="32"/>
        </w:rPr>
      </w:pPr>
      <w:r>
        <w:rPr>
          <w:rFonts w:eastAsia="仿宋_GB2312"/>
          <w:color w:val="000000"/>
          <w:sz w:val="30"/>
          <w:szCs w:val="32"/>
        </w:rPr>
        <w:t>14.5</w:t>
      </w:r>
      <w:r>
        <w:rPr>
          <w:rFonts w:hint="eastAsia" w:eastAsia="仿宋_GB2312" w:cs="仿宋_GB2312"/>
          <w:color w:val="000000"/>
          <w:sz w:val="30"/>
          <w:szCs w:val="32"/>
          <w:lang w:bidi="ar"/>
        </w:rPr>
        <w:t>现场发生增减（变更）工程时，</w:t>
      </w:r>
      <w:r>
        <w:rPr>
          <w:rFonts w:hint="eastAsia" w:eastAsia="仿宋_GB2312"/>
          <w:color w:val="000000"/>
          <w:sz w:val="30"/>
          <w:szCs w:val="32"/>
        </w:rPr>
        <w:t>竣工结算办理依据</w:t>
      </w:r>
    </w:p>
    <w:p w14:paraId="2C7B2D21">
      <w:pPr>
        <w:spacing w:line="360" w:lineRule="auto"/>
        <w:ind w:firstLine="600" w:firstLineChars="200"/>
        <w:jc w:val="left"/>
        <w:rPr>
          <w:rFonts w:eastAsia="仿宋_GB2312"/>
          <w:color w:val="000000"/>
          <w:sz w:val="30"/>
          <w:szCs w:val="32"/>
        </w:rPr>
      </w:pPr>
      <w:r>
        <w:rPr>
          <w:rFonts w:hint="eastAsia" w:eastAsia="仿宋_GB2312"/>
          <w:color w:val="000000"/>
          <w:sz w:val="30"/>
          <w:szCs w:val="32"/>
        </w:rPr>
        <w:t>1. 结算总价=</w:t>
      </w:r>
      <w:r>
        <w:rPr>
          <w:rFonts w:hint="eastAsia" w:eastAsia="仿宋_GB2312" w:cs="仿宋_GB2312"/>
          <w:color w:val="000000"/>
          <w:sz w:val="30"/>
          <w:szCs w:val="32"/>
          <w:lang w:bidi="ar"/>
        </w:rPr>
        <w:t>合同包干总价±增减（变更）工程结算；</w:t>
      </w:r>
      <w:r>
        <w:rPr>
          <w:rFonts w:hint="eastAsia" w:eastAsia="仿宋_GB2312"/>
          <w:color w:val="000000"/>
          <w:sz w:val="30"/>
          <w:szCs w:val="32"/>
        </w:rPr>
        <w:t xml:space="preserve">    </w:t>
      </w:r>
    </w:p>
    <w:p w14:paraId="1C5AC35E">
      <w:pPr>
        <w:spacing w:line="360" w:lineRule="auto"/>
        <w:ind w:firstLine="600" w:firstLineChars="200"/>
        <w:jc w:val="left"/>
        <w:rPr>
          <w:rFonts w:eastAsia="仿宋_GB2312"/>
          <w:color w:val="000000"/>
          <w:sz w:val="30"/>
          <w:szCs w:val="32"/>
        </w:rPr>
      </w:pPr>
      <w:r>
        <w:rPr>
          <w:rFonts w:hint="eastAsia" w:eastAsia="仿宋_GB2312"/>
          <w:color w:val="000000"/>
          <w:sz w:val="30"/>
          <w:szCs w:val="32"/>
        </w:rPr>
        <w:t>2.增减（变更）工程结算：</w:t>
      </w:r>
    </w:p>
    <w:p w14:paraId="2E98603D">
      <w:pPr>
        <w:spacing w:line="360" w:lineRule="auto"/>
        <w:ind w:firstLine="600" w:firstLineChars="200"/>
        <w:jc w:val="left"/>
        <w:rPr>
          <w:rFonts w:eastAsia="仿宋_GB2312"/>
          <w:color w:val="000000"/>
          <w:sz w:val="30"/>
          <w:szCs w:val="32"/>
        </w:rPr>
      </w:pPr>
      <w:r>
        <w:rPr>
          <w:rFonts w:hint="eastAsia" w:eastAsia="仿宋_GB2312"/>
          <w:color w:val="000000"/>
          <w:sz w:val="30"/>
          <w:szCs w:val="32"/>
        </w:rPr>
        <w:t>（1）、工程内容与已标价工程量清单中有相同的子项或类似子项，则按投标时的相同子项或类似子项的综合单价执行（类似子项的综合单价由发包人审定）；</w:t>
      </w:r>
    </w:p>
    <w:p w14:paraId="40E3988F">
      <w:pPr>
        <w:spacing w:line="360" w:lineRule="auto"/>
        <w:ind w:firstLine="600" w:firstLineChars="200"/>
        <w:jc w:val="left"/>
        <w:rPr>
          <w:rFonts w:eastAsia="仿宋_GB2312"/>
          <w:color w:val="000000"/>
          <w:sz w:val="30"/>
          <w:szCs w:val="32"/>
        </w:rPr>
      </w:pPr>
      <w:r>
        <w:rPr>
          <w:rFonts w:hint="eastAsia" w:eastAsia="仿宋_GB2312"/>
          <w:color w:val="000000"/>
          <w:sz w:val="30"/>
          <w:szCs w:val="32"/>
        </w:rPr>
        <w:t xml:space="preserve"> (2)、工程内容如有与已标价工程量清单（包括技术措施项目部分）不同的子项（既无相同子项，又无类似子项），按《建设工程工程量清单计价规范》（GB50500-2013）、《重庆市建设工程工程量清单计价规则》（CQJJGZ-2013）、《重庆市建设工程工程量计算规则》（CQJLGZ-2013）、《重庆市房屋建筑与装饰工程计价定额》（CQ</w:t>
      </w:r>
      <w:r>
        <w:rPr>
          <w:rFonts w:eastAsia="仿宋_GB2312"/>
          <w:color w:val="000000"/>
          <w:sz w:val="30"/>
          <w:szCs w:val="32"/>
        </w:rPr>
        <w:t>JZZS</w:t>
      </w:r>
      <w:r>
        <w:rPr>
          <w:rFonts w:hint="eastAsia" w:eastAsia="仿宋_GB2312"/>
          <w:color w:val="000000"/>
          <w:sz w:val="30"/>
          <w:szCs w:val="32"/>
        </w:rPr>
        <w:t>DE-2018）、《重庆市市政工程计价定额》（CQSZDE-20</w:t>
      </w:r>
      <w:r>
        <w:rPr>
          <w:rFonts w:eastAsia="仿宋_GB2312"/>
          <w:color w:val="000000"/>
          <w:sz w:val="30"/>
          <w:szCs w:val="32"/>
        </w:rPr>
        <w:t>1</w:t>
      </w:r>
      <w:r>
        <w:rPr>
          <w:rFonts w:hint="eastAsia" w:eastAsia="仿宋_GB2312"/>
          <w:color w:val="000000"/>
          <w:sz w:val="30"/>
          <w:szCs w:val="32"/>
        </w:rPr>
        <w:t>8）、《重庆市通用安装工程计价定额》（CQAZDE-2018）、《重庆市房屋修缮工程计价定额》（C</w:t>
      </w:r>
      <w:r>
        <w:rPr>
          <w:rFonts w:eastAsia="仿宋_GB2312"/>
          <w:color w:val="000000"/>
          <w:sz w:val="30"/>
          <w:szCs w:val="32"/>
        </w:rPr>
        <w:t>QXSDE-2018）、《</w:t>
      </w:r>
      <w:r>
        <w:rPr>
          <w:rFonts w:hint="eastAsia" w:eastAsia="仿宋_GB2312"/>
          <w:color w:val="000000"/>
          <w:sz w:val="30"/>
          <w:szCs w:val="32"/>
        </w:rPr>
        <w:t>重庆市绿色建筑工程计价定额》（C</w:t>
      </w:r>
      <w:r>
        <w:rPr>
          <w:rFonts w:eastAsia="仿宋_GB2312"/>
          <w:color w:val="000000"/>
          <w:sz w:val="30"/>
          <w:szCs w:val="32"/>
        </w:rPr>
        <w:t>QLSJZDE-2018）、</w:t>
      </w:r>
      <w:r>
        <w:rPr>
          <w:rFonts w:hint="eastAsia" w:eastAsia="仿宋_GB2312"/>
          <w:color w:val="000000"/>
          <w:sz w:val="30"/>
          <w:szCs w:val="32"/>
        </w:rPr>
        <w:t>《重庆市建设工程费用定额》（CQFYDE-2018）、《重庆市建设工程混凝土及砂浆配合比表》（CQP</w:t>
      </w:r>
      <w:r>
        <w:rPr>
          <w:rFonts w:eastAsia="仿宋_GB2312"/>
          <w:color w:val="000000"/>
          <w:sz w:val="30"/>
          <w:szCs w:val="32"/>
        </w:rPr>
        <w:t>HBB</w:t>
      </w:r>
      <w:r>
        <w:rPr>
          <w:rFonts w:hint="eastAsia" w:eastAsia="仿宋_GB2312"/>
          <w:color w:val="000000"/>
          <w:sz w:val="30"/>
          <w:szCs w:val="32"/>
        </w:rPr>
        <w:t>-20</w:t>
      </w:r>
      <w:r>
        <w:rPr>
          <w:rFonts w:eastAsia="仿宋_GB2312"/>
          <w:color w:val="000000"/>
          <w:sz w:val="30"/>
          <w:szCs w:val="32"/>
        </w:rPr>
        <w:t>1</w:t>
      </w:r>
      <w:r>
        <w:rPr>
          <w:rFonts w:hint="eastAsia" w:eastAsia="仿宋_GB2312"/>
          <w:color w:val="000000"/>
          <w:sz w:val="30"/>
          <w:szCs w:val="32"/>
        </w:rPr>
        <w:t>8）、《重庆市建设工程施工机械台班定额》（CQ</w:t>
      </w:r>
      <w:r>
        <w:rPr>
          <w:rFonts w:eastAsia="仿宋_GB2312"/>
          <w:color w:val="000000"/>
          <w:sz w:val="30"/>
          <w:szCs w:val="32"/>
        </w:rPr>
        <w:t>JXDE</w:t>
      </w:r>
      <w:r>
        <w:rPr>
          <w:rFonts w:hint="eastAsia" w:eastAsia="仿宋_GB2312"/>
          <w:color w:val="000000"/>
          <w:sz w:val="30"/>
          <w:szCs w:val="32"/>
        </w:rPr>
        <w:t>-20</w:t>
      </w:r>
      <w:r>
        <w:rPr>
          <w:rFonts w:eastAsia="仿宋_GB2312"/>
          <w:color w:val="000000"/>
          <w:sz w:val="30"/>
          <w:szCs w:val="32"/>
        </w:rPr>
        <w:t>1</w:t>
      </w:r>
      <w:r>
        <w:rPr>
          <w:rFonts w:hint="eastAsia" w:eastAsia="仿宋_GB2312"/>
          <w:color w:val="000000"/>
          <w:sz w:val="30"/>
          <w:szCs w:val="32"/>
        </w:rPr>
        <w:t>8）、《重庆市建设工程施工仪器仪表台班定额》（CQ</w:t>
      </w:r>
      <w:r>
        <w:rPr>
          <w:rFonts w:eastAsia="仿宋_GB2312"/>
          <w:color w:val="000000"/>
          <w:sz w:val="30"/>
          <w:szCs w:val="32"/>
        </w:rPr>
        <w:t>YQYBDE</w:t>
      </w:r>
      <w:r>
        <w:rPr>
          <w:rFonts w:hint="eastAsia" w:eastAsia="仿宋_GB2312"/>
          <w:color w:val="000000"/>
          <w:sz w:val="30"/>
          <w:szCs w:val="32"/>
        </w:rPr>
        <w:t>-20</w:t>
      </w:r>
      <w:r>
        <w:rPr>
          <w:rFonts w:eastAsia="仿宋_GB2312"/>
          <w:color w:val="000000"/>
          <w:sz w:val="30"/>
          <w:szCs w:val="32"/>
        </w:rPr>
        <w:t>1</w:t>
      </w:r>
      <w:r>
        <w:rPr>
          <w:rFonts w:hint="eastAsia" w:eastAsia="仿宋_GB2312"/>
          <w:color w:val="000000"/>
          <w:sz w:val="30"/>
          <w:szCs w:val="32"/>
        </w:rPr>
        <w:t>8）及相关配套文件执行，</w:t>
      </w:r>
      <w:r>
        <w:rPr>
          <w:rFonts w:hint="eastAsia" w:eastAsia="仿宋_GB2312" w:cs="仿宋_GB2312"/>
          <w:color w:val="000000"/>
          <w:sz w:val="30"/>
          <w:szCs w:val="32"/>
          <w:lang w:bidi="ar"/>
        </w:rPr>
        <w:t>，然后税前下浮</w:t>
      </w:r>
      <w:r>
        <w:rPr>
          <w:rFonts w:eastAsia="仿宋_GB2312"/>
          <w:color w:val="000000"/>
          <w:sz w:val="30"/>
          <w:szCs w:val="32"/>
          <w:lang w:bidi="ar"/>
        </w:rPr>
        <w:t>50%</w:t>
      </w:r>
      <w:r>
        <w:rPr>
          <w:rFonts w:hint="eastAsia" w:eastAsia="仿宋_GB2312" w:cs="仿宋_GB2312"/>
          <w:color w:val="000000"/>
          <w:sz w:val="30"/>
          <w:szCs w:val="32"/>
          <w:lang w:bidi="ar"/>
        </w:rPr>
        <w:t>，在税前下浮</w:t>
      </w:r>
      <w:r>
        <w:rPr>
          <w:rFonts w:eastAsia="仿宋_GB2312"/>
          <w:color w:val="000000"/>
          <w:sz w:val="30"/>
          <w:szCs w:val="32"/>
          <w:lang w:bidi="ar"/>
        </w:rPr>
        <w:t>50%</w:t>
      </w:r>
      <w:r>
        <w:rPr>
          <w:rFonts w:hint="eastAsia" w:eastAsia="仿宋_GB2312" w:cs="仿宋_GB2312"/>
          <w:color w:val="000000"/>
          <w:sz w:val="30"/>
          <w:szCs w:val="32"/>
          <w:lang w:bidi="ar"/>
        </w:rPr>
        <w:t>的基础上再按承包人报价浮动费率</w:t>
      </w:r>
      <w:r>
        <w:rPr>
          <w:rFonts w:eastAsia="仿宋_GB2312"/>
          <w:color w:val="000000"/>
          <w:sz w:val="30"/>
          <w:szCs w:val="32"/>
          <w:lang w:bidi="ar"/>
        </w:rPr>
        <w:t>{</w:t>
      </w:r>
      <w:r>
        <w:rPr>
          <w:rFonts w:hint="eastAsia" w:eastAsia="仿宋_GB2312" w:cs="仿宋_GB2312"/>
          <w:color w:val="000000"/>
          <w:sz w:val="30"/>
          <w:szCs w:val="32"/>
          <w:lang w:bidi="ar"/>
        </w:rPr>
        <w:t>承包人报价浮动率</w:t>
      </w:r>
      <w:r>
        <w:rPr>
          <w:rFonts w:eastAsia="仿宋_GB2312"/>
          <w:color w:val="000000"/>
          <w:sz w:val="30"/>
          <w:szCs w:val="32"/>
          <w:lang w:bidi="ar"/>
        </w:rPr>
        <w:t>=</w:t>
      </w:r>
      <w:r>
        <w:rPr>
          <w:rFonts w:hint="eastAsia" w:eastAsia="仿宋_GB2312" w:cs="仿宋_GB2312"/>
          <w:color w:val="000000"/>
          <w:sz w:val="30"/>
          <w:szCs w:val="32"/>
          <w:lang w:bidi="ar"/>
        </w:rPr>
        <w:t>【</w:t>
      </w:r>
      <w:r>
        <w:rPr>
          <w:rFonts w:eastAsia="仿宋_GB2312"/>
          <w:color w:val="000000"/>
          <w:sz w:val="30"/>
          <w:szCs w:val="32"/>
          <w:lang w:bidi="ar"/>
        </w:rPr>
        <w:t>1-</w:t>
      </w:r>
      <w:r>
        <w:rPr>
          <w:rFonts w:hint="eastAsia" w:eastAsia="仿宋_GB2312" w:cs="仿宋_GB2312"/>
          <w:color w:val="000000"/>
          <w:sz w:val="30"/>
          <w:szCs w:val="32"/>
          <w:lang w:bidi="ar"/>
        </w:rPr>
        <w:t>（含税中标价）</w:t>
      </w:r>
      <w:r>
        <w:rPr>
          <w:rFonts w:eastAsia="仿宋_GB2312"/>
          <w:color w:val="000000"/>
          <w:sz w:val="30"/>
          <w:szCs w:val="32"/>
          <w:lang w:bidi="ar"/>
        </w:rPr>
        <w:t>/</w:t>
      </w:r>
      <w:r>
        <w:rPr>
          <w:rFonts w:hint="eastAsia" w:eastAsia="仿宋_GB2312" w:cs="仿宋_GB2312"/>
          <w:color w:val="000000"/>
          <w:sz w:val="30"/>
          <w:szCs w:val="32"/>
          <w:lang w:bidi="ar"/>
        </w:rPr>
        <w:t>（含税投标总报价最高限价）】×</w:t>
      </w:r>
      <w:r>
        <w:rPr>
          <w:rFonts w:eastAsia="仿宋_GB2312"/>
          <w:color w:val="000000"/>
          <w:sz w:val="30"/>
          <w:szCs w:val="32"/>
          <w:lang w:bidi="ar"/>
        </w:rPr>
        <w:t>100%}</w:t>
      </w:r>
      <w:r>
        <w:rPr>
          <w:rFonts w:hint="eastAsia" w:eastAsia="仿宋_GB2312" w:cs="仿宋_GB2312"/>
          <w:color w:val="000000"/>
          <w:sz w:val="30"/>
          <w:szCs w:val="32"/>
          <w:lang w:bidi="ar"/>
        </w:rPr>
        <w:t>进行税前下浮后结算</w:t>
      </w:r>
      <w:r>
        <w:rPr>
          <w:rFonts w:hint="eastAsia" w:eastAsia="仿宋_GB2312"/>
          <w:color w:val="000000"/>
          <w:sz w:val="30"/>
          <w:szCs w:val="32"/>
        </w:rPr>
        <w:t>，其中：</w:t>
      </w:r>
    </w:p>
    <w:p w14:paraId="3B1FAF7F">
      <w:pPr>
        <w:spacing w:line="360" w:lineRule="auto"/>
        <w:ind w:firstLine="600" w:firstLineChars="200"/>
        <w:jc w:val="left"/>
        <w:rPr>
          <w:rFonts w:eastAsia="仿宋_GB2312"/>
          <w:color w:val="000000"/>
          <w:sz w:val="30"/>
          <w:szCs w:val="32"/>
        </w:rPr>
      </w:pPr>
      <w:r>
        <w:rPr>
          <w:rFonts w:hint="eastAsia" w:eastAsia="仿宋_GB2312"/>
          <w:color w:val="000000"/>
          <w:sz w:val="30"/>
          <w:szCs w:val="32"/>
        </w:rPr>
        <w:t>人工工日单价按《重庆工程造价信息》公布的</w:t>
      </w:r>
      <w:r>
        <w:rPr>
          <w:rFonts w:eastAsia="仿宋_GB2312"/>
          <w:color w:val="000000"/>
          <w:kern w:val="0"/>
          <w:sz w:val="30"/>
          <w:szCs w:val="32"/>
        </w:rPr>
        <w:t>2026</w:t>
      </w:r>
      <w:r>
        <w:rPr>
          <w:rFonts w:hint="eastAsia" w:eastAsia="仿宋_GB2312"/>
          <w:color w:val="000000"/>
          <w:sz w:val="30"/>
          <w:szCs w:val="32"/>
        </w:rPr>
        <w:t>年第</w:t>
      </w:r>
      <w:r>
        <w:rPr>
          <w:rFonts w:eastAsia="仿宋_GB2312"/>
          <w:color w:val="000000"/>
          <w:kern w:val="0"/>
          <w:sz w:val="30"/>
          <w:szCs w:val="32"/>
        </w:rPr>
        <w:t>3</w:t>
      </w:r>
      <w:r>
        <w:rPr>
          <w:rFonts w:hint="eastAsia" w:eastAsia="仿宋_GB2312"/>
          <w:color w:val="000000"/>
          <w:sz w:val="30"/>
          <w:szCs w:val="32"/>
        </w:rPr>
        <w:t>季度项目所在地人工信息价计算；</w:t>
      </w:r>
    </w:p>
    <w:p w14:paraId="5813D30F">
      <w:pPr>
        <w:spacing w:line="360" w:lineRule="auto"/>
        <w:ind w:firstLine="600" w:firstLineChars="200"/>
        <w:jc w:val="left"/>
        <w:rPr>
          <w:rFonts w:eastAsia="仿宋_GB2312"/>
          <w:color w:val="000000"/>
          <w:sz w:val="30"/>
          <w:szCs w:val="32"/>
        </w:rPr>
      </w:pPr>
      <w:r>
        <w:rPr>
          <w:rFonts w:hint="eastAsia" w:eastAsia="仿宋_GB2312"/>
          <w:color w:val="000000"/>
          <w:sz w:val="30"/>
          <w:szCs w:val="32"/>
        </w:rPr>
        <w:t>材料单价：</w:t>
      </w:r>
    </w:p>
    <w:p w14:paraId="4AD02BE6">
      <w:pPr>
        <w:spacing w:line="360" w:lineRule="auto"/>
        <w:ind w:firstLine="600" w:firstLineChars="200"/>
        <w:jc w:val="left"/>
        <w:rPr>
          <w:rFonts w:eastAsia="仿宋_GB2312"/>
          <w:color w:val="000000"/>
          <w:sz w:val="30"/>
          <w:szCs w:val="32"/>
        </w:rPr>
      </w:pPr>
      <w:r>
        <w:rPr>
          <w:rFonts w:hint="eastAsia" w:eastAsia="仿宋_GB2312"/>
          <w:color w:val="000000"/>
          <w:sz w:val="30"/>
          <w:szCs w:val="32"/>
        </w:rPr>
        <w:t>①按合同签订日期《重庆工程造价信息》发布的项目所在地的信息价（厂商推荐价格和厂商推广价格除外）执行，如所在地区县没有相关材料信息价，则按主城区信息价（综合价格信息）执行；</w:t>
      </w:r>
    </w:p>
    <w:p w14:paraId="2B2FC382">
      <w:pPr>
        <w:spacing w:line="360" w:lineRule="auto"/>
        <w:ind w:firstLine="600" w:firstLineChars="200"/>
        <w:jc w:val="left"/>
        <w:rPr>
          <w:rFonts w:eastAsia="仿宋_GB2312"/>
          <w:color w:val="000000"/>
          <w:sz w:val="30"/>
          <w:szCs w:val="32"/>
        </w:rPr>
      </w:pPr>
      <w:r>
        <w:rPr>
          <w:rFonts w:hint="eastAsia" w:eastAsia="仿宋_GB2312"/>
          <w:color w:val="000000"/>
          <w:sz w:val="30"/>
          <w:szCs w:val="32"/>
        </w:rPr>
        <w:t>②阻燃、耐火、低烟无卤等电缆的单价在普通电缆信息价基础上按以下比例上浮，再执行合同约定的下浮费率：</w:t>
      </w:r>
    </w:p>
    <w:p w14:paraId="7BCFB88B">
      <w:pPr>
        <w:spacing w:line="360" w:lineRule="auto"/>
        <w:ind w:firstLine="600" w:firstLineChars="200"/>
        <w:jc w:val="left"/>
        <w:rPr>
          <w:rFonts w:eastAsia="仿宋_GB2312"/>
          <w:color w:val="000000"/>
          <w:sz w:val="30"/>
          <w:szCs w:val="32"/>
        </w:rPr>
      </w:pPr>
      <w:r>
        <w:rPr>
          <w:rFonts w:hint="eastAsia" w:eastAsia="仿宋_GB2312"/>
          <w:color w:val="000000"/>
          <w:sz w:val="30"/>
          <w:szCs w:val="32"/>
        </w:rPr>
        <w:t>⒈阻燃线缆在同截面普通线缆上C类加2%、B类加4.3%、A类加6.7%；</w:t>
      </w:r>
    </w:p>
    <w:p w14:paraId="00E2A9D3">
      <w:pPr>
        <w:spacing w:line="360" w:lineRule="auto"/>
        <w:ind w:firstLine="600" w:firstLineChars="200"/>
        <w:jc w:val="left"/>
        <w:rPr>
          <w:rFonts w:eastAsia="仿宋_GB2312"/>
          <w:color w:val="000000"/>
          <w:sz w:val="30"/>
          <w:szCs w:val="32"/>
        </w:rPr>
      </w:pPr>
      <w:r>
        <w:rPr>
          <w:rFonts w:hint="eastAsia" w:eastAsia="仿宋_GB2312"/>
          <w:color w:val="000000"/>
          <w:sz w:val="30"/>
          <w:szCs w:val="32"/>
        </w:rPr>
        <w:t>⒉耐火线缆在同截面普通线缆上加15%（50mm</w:t>
      </w:r>
      <w:r>
        <w:rPr>
          <w:rFonts w:ascii="Calibri" w:hAnsi="Calibri" w:eastAsia="仿宋_GB2312" w:cs="Calibri"/>
          <w:color w:val="000000"/>
          <w:sz w:val="30"/>
          <w:szCs w:val="32"/>
        </w:rPr>
        <w:t>²</w:t>
      </w:r>
      <w:r>
        <w:rPr>
          <w:rFonts w:hint="eastAsia" w:ascii="仿宋" w:hAnsi="仿宋" w:eastAsia="仿宋" w:cs="仿宋"/>
          <w:color w:val="000000"/>
          <w:sz w:val="30"/>
          <w:szCs w:val="32"/>
        </w:rPr>
        <w:t>以上），</w:t>
      </w:r>
      <w:r>
        <w:rPr>
          <w:rFonts w:hint="eastAsia" w:eastAsia="仿宋_GB2312"/>
          <w:color w:val="000000"/>
          <w:sz w:val="30"/>
          <w:szCs w:val="32"/>
        </w:rPr>
        <w:t>19%（10mm</w:t>
      </w:r>
      <w:r>
        <w:rPr>
          <w:rFonts w:ascii="Calibri" w:hAnsi="Calibri" w:eastAsia="仿宋_GB2312" w:cs="Calibri"/>
          <w:color w:val="000000"/>
          <w:sz w:val="30"/>
          <w:szCs w:val="32"/>
        </w:rPr>
        <w:t>²</w:t>
      </w:r>
      <w:r>
        <w:rPr>
          <w:rFonts w:hint="eastAsia" w:eastAsia="仿宋_GB2312"/>
          <w:color w:val="000000"/>
          <w:sz w:val="30"/>
          <w:szCs w:val="32"/>
        </w:rPr>
        <w:t>-50mm</w:t>
      </w:r>
      <w:r>
        <w:rPr>
          <w:rFonts w:ascii="Calibri" w:hAnsi="Calibri" w:eastAsia="仿宋_GB2312" w:cs="Calibri"/>
          <w:color w:val="000000"/>
          <w:sz w:val="30"/>
          <w:szCs w:val="32"/>
        </w:rPr>
        <w:t>²</w:t>
      </w:r>
      <w:r>
        <w:rPr>
          <w:rFonts w:hint="eastAsia" w:ascii="仿宋" w:hAnsi="仿宋" w:eastAsia="仿宋" w:cs="仿宋"/>
          <w:color w:val="000000"/>
          <w:sz w:val="30"/>
          <w:szCs w:val="32"/>
        </w:rPr>
        <w:t>），</w:t>
      </w:r>
      <w:r>
        <w:rPr>
          <w:rFonts w:hint="eastAsia" w:eastAsia="仿宋_GB2312"/>
          <w:color w:val="000000"/>
          <w:sz w:val="30"/>
          <w:szCs w:val="32"/>
        </w:rPr>
        <w:t>28%（10mm</w:t>
      </w:r>
      <w:r>
        <w:rPr>
          <w:rFonts w:ascii="Calibri" w:hAnsi="Calibri" w:eastAsia="仿宋_GB2312" w:cs="Calibri"/>
          <w:color w:val="000000"/>
          <w:sz w:val="30"/>
          <w:szCs w:val="32"/>
        </w:rPr>
        <w:t>²</w:t>
      </w:r>
      <w:r>
        <w:rPr>
          <w:rFonts w:hint="eastAsia" w:ascii="仿宋" w:hAnsi="仿宋" w:eastAsia="仿宋" w:cs="仿宋"/>
          <w:color w:val="000000"/>
          <w:sz w:val="30"/>
          <w:szCs w:val="32"/>
        </w:rPr>
        <w:t>以下</w:t>
      </w:r>
      <w:r>
        <w:rPr>
          <w:rFonts w:hint="eastAsia" w:eastAsia="仿宋_GB2312"/>
          <w:color w:val="000000"/>
          <w:sz w:val="30"/>
          <w:szCs w:val="32"/>
        </w:rPr>
        <w:t>）；</w:t>
      </w:r>
    </w:p>
    <w:p w14:paraId="310E20C6">
      <w:pPr>
        <w:spacing w:line="360" w:lineRule="auto"/>
        <w:ind w:firstLine="600" w:firstLineChars="200"/>
        <w:jc w:val="left"/>
        <w:rPr>
          <w:rFonts w:eastAsia="仿宋_GB2312"/>
          <w:color w:val="000000"/>
          <w:sz w:val="30"/>
          <w:szCs w:val="32"/>
        </w:rPr>
      </w:pPr>
      <w:r>
        <w:rPr>
          <w:rFonts w:hint="eastAsia" w:eastAsia="仿宋_GB2312"/>
          <w:color w:val="000000"/>
          <w:sz w:val="30"/>
          <w:szCs w:val="32"/>
        </w:rPr>
        <w:t>⒊低烟无卤阻燃（B类）线缆在同截面普通线缆价格上加10%(50mm</w:t>
      </w:r>
      <w:r>
        <w:rPr>
          <w:rFonts w:ascii="Calibri" w:hAnsi="Calibri" w:eastAsia="仿宋_GB2312" w:cs="Calibri"/>
          <w:color w:val="000000"/>
          <w:sz w:val="30"/>
          <w:szCs w:val="32"/>
        </w:rPr>
        <w:t>²</w:t>
      </w:r>
      <w:r>
        <w:rPr>
          <w:rFonts w:hint="eastAsia" w:ascii="仿宋" w:hAnsi="仿宋" w:eastAsia="仿宋" w:cs="仿宋"/>
          <w:color w:val="000000"/>
          <w:sz w:val="30"/>
          <w:szCs w:val="32"/>
        </w:rPr>
        <w:t>以上</w:t>
      </w:r>
      <w:r>
        <w:rPr>
          <w:rFonts w:hint="eastAsia" w:eastAsia="仿宋_GB2312"/>
          <w:color w:val="000000"/>
          <w:sz w:val="30"/>
          <w:szCs w:val="32"/>
        </w:rPr>
        <w:t>)、13%（10mm</w:t>
      </w:r>
      <w:r>
        <w:rPr>
          <w:rFonts w:ascii="Calibri" w:hAnsi="Calibri" w:eastAsia="仿宋_GB2312" w:cs="Calibri"/>
          <w:color w:val="000000"/>
          <w:sz w:val="30"/>
          <w:szCs w:val="32"/>
        </w:rPr>
        <w:t>²</w:t>
      </w:r>
      <w:r>
        <w:rPr>
          <w:rFonts w:hint="eastAsia" w:eastAsia="仿宋_GB2312"/>
          <w:color w:val="000000"/>
          <w:sz w:val="30"/>
          <w:szCs w:val="32"/>
        </w:rPr>
        <w:t>-50mm</w:t>
      </w:r>
      <w:r>
        <w:rPr>
          <w:rFonts w:ascii="Calibri" w:hAnsi="Calibri" w:eastAsia="仿宋_GB2312" w:cs="Calibri"/>
          <w:color w:val="000000"/>
          <w:sz w:val="30"/>
          <w:szCs w:val="32"/>
        </w:rPr>
        <w:t>²</w:t>
      </w:r>
      <w:r>
        <w:rPr>
          <w:rFonts w:hint="eastAsia" w:ascii="仿宋" w:hAnsi="仿宋" w:eastAsia="仿宋" w:cs="仿宋"/>
          <w:color w:val="000000"/>
          <w:sz w:val="30"/>
          <w:szCs w:val="32"/>
        </w:rPr>
        <w:t>）、</w:t>
      </w:r>
      <w:r>
        <w:rPr>
          <w:rFonts w:hint="eastAsia" w:eastAsia="仿宋_GB2312"/>
          <w:color w:val="000000"/>
          <w:sz w:val="30"/>
          <w:szCs w:val="32"/>
        </w:rPr>
        <w:t>17%（10mm</w:t>
      </w:r>
      <w:r>
        <w:rPr>
          <w:rFonts w:ascii="Calibri" w:hAnsi="Calibri" w:eastAsia="仿宋_GB2312" w:cs="Calibri"/>
          <w:color w:val="000000"/>
          <w:sz w:val="30"/>
          <w:szCs w:val="32"/>
        </w:rPr>
        <w:t>²</w:t>
      </w:r>
      <w:r>
        <w:rPr>
          <w:rFonts w:hint="eastAsia" w:ascii="仿宋" w:hAnsi="仿宋" w:eastAsia="仿宋" w:cs="仿宋"/>
          <w:color w:val="000000"/>
          <w:sz w:val="30"/>
          <w:szCs w:val="32"/>
        </w:rPr>
        <w:t>以下）；低烟无卤阻燃耐火（</w:t>
      </w:r>
      <w:r>
        <w:rPr>
          <w:rFonts w:hint="eastAsia" w:eastAsia="仿宋_GB2312"/>
          <w:color w:val="000000"/>
          <w:sz w:val="30"/>
          <w:szCs w:val="32"/>
        </w:rPr>
        <w:t>B类）线缆在同截面普通线缆价格上加22%（50mm</w:t>
      </w:r>
      <w:r>
        <w:rPr>
          <w:rFonts w:ascii="Calibri" w:hAnsi="Calibri" w:eastAsia="仿宋_GB2312" w:cs="Calibri"/>
          <w:color w:val="000000"/>
          <w:sz w:val="30"/>
          <w:szCs w:val="32"/>
        </w:rPr>
        <w:t>²</w:t>
      </w:r>
      <w:r>
        <w:rPr>
          <w:rFonts w:hint="eastAsia" w:ascii="仿宋" w:hAnsi="仿宋" w:eastAsia="仿宋" w:cs="仿宋"/>
          <w:color w:val="000000"/>
          <w:sz w:val="30"/>
          <w:szCs w:val="32"/>
        </w:rPr>
        <w:t>以上）、</w:t>
      </w:r>
      <w:r>
        <w:rPr>
          <w:rFonts w:hint="eastAsia" w:eastAsia="仿宋_GB2312"/>
          <w:color w:val="000000"/>
          <w:sz w:val="30"/>
          <w:szCs w:val="32"/>
        </w:rPr>
        <w:t>29%（10mm</w:t>
      </w:r>
      <w:r>
        <w:rPr>
          <w:rFonts w:ascii="Calibri" w:hAnsi="Calibri" w:eastAsia="仿宋_GB2312" w:cs="Calibri"/>
          <w:color w:val="000000"/>
          <w:sz w:val="30"/>
          <w:szCs w:val="32"/>
        </w:rPr>
        <w:t>²</w:t>
      </w:r>
      <w:r>
        <w:rPr>
          <w:rFonts w:hint="eastAsia" w:eastAsia="仿宋_GB2312"/>
          <w:color w:val="000000"/>
          <w:sz w:val="30"/>
          <w:szCs w:val="32"/>
        </w:rPr>
        <w:t>-50mm</w:t>
      </w:r>
      <w:r>
        <w:rPr>
          <w:rFonts w:ascii="Calibri" w:hAnsi="Calibri" w:eastAsia="仿宋_GB2312" w:cs="Calibri"/>
          <w:color w:val="000000"/>
          <w:sz w:val="30"/>
          <w:szCs w:val="32"/>
        </w:rPr>
        <w:t>²</w:t>
      </w:r>
      <w:r>
        <w:rPr>
          <w:rFonts w:hint="eastAsia" w:ascii="仿宋" w:hAnsi="仿宋" w:eastAsia="仿宋" w:cs="仿宋"/>
          <w:color w:val="000000"/>
          <w:sz w:val="30"/>
          <w:szCs w:val="32"/>
        </w:rPr>
        <w:t>）、</w:t>
      </w:r>
      <w:r>
        <w:rPr>
          <w:rFonts w:hint="eastAsia" w:eastAsia="仿宋_GB2312"/>
          <w:color w:val="000000"/>
          <w:sz w:val="30"/>
          <w:szCs w:val="32"/>
        </w:rPr>
        <w:t>34%（10mm</w:t>
      </w:r>
      <w:r>
        <w:rPr>
          <w:rFonts w:ascii="Calibri" w:hAnsi="Calibri" w:eastAsia="仿宋_GB2312" w:cs="Calibri"/>
          <w:color w:val="000000"/>
          <w:sz w:val="30"/>
          <w:szCs w:val="32"/>
        </w:rPr>
        <w:t>²</w:t>
      </w:r>
      <w:r>
        <w:rPr>
          <w:rFonts w:hint="eastAsia" w:ascii="仿宋" w:hAnsi="仿宋" w:eastAsia="仿宋" w:cs="仿宋"/>
          <w:color w:val="000000"/>
          <w:sz w:val="30"/>
          <w:szCs w:val="32"/>
        </w:rPr>
        <w:t>以下）；低烟无卤</w:t>
      </w:r>
      <w:r>
        <w:rPr>
          <w:rFonts w:hint="eastAsia" w:eastAsia="仿宋_GB2312"/>
          <w:color w:val="000000"/>
          <w:sz w:val="30"/>
          <w:szCs w:val="32"/>
        </w:rPr>
        <w:t>A类单价按B类单价乘1.05系数，低烟无卤C类单价按B类单价乘0.93系数；</w:t>
      </w:r>
    </w:p>
    <w:p w14:paraId="339D5200">
      <w:pPr>
        <w:spacing w:line="360" w:lineRule="auto"/>
        <w:ind w:firstLine="600" w:firstLineChars="200"/>
        <w:jc w:val="left"/>
        <w:rPr>
          <w:rFonts w:eastAsia="仿宋_GB2312"/>
          <w:color w:val="000000"/>
          <w:sz w:val="30"/>
          <w:szCs w:val="32"/>
        </w:rPr>
      </w:pPr>
      <w:r>
        <w:rPr>
          <w:rFonts w:hint="eastAsia" w:eastAsia="仿宋_GB2312"/>
          <w:color w:val="000000"/>
          <w:sz w:val="30"/>
          <w:szCs w:val="32"/>
        </w:rPr>
        <w:t>⒋燃烧性能B1级按低烟无卤阻燃（B类）线缆相同截面价格基础上乘1.09系数。</w:t>
      </w:r>
    </w:p>
    <w:p w14:paraId="351C8528">
      <w:pPr>
        <w:spacing w:line="360" w:lineRule="auto"/>
        <w:ind w:firstLine="600" w:firstLineChars="200"/>
        <w:jc w:val="left"/>
        <w:rPr>
          <w:rFonts w:eastAsia="仿宋_GB2312"/>
          <w:color w:val="000000"/>
          <w:sz w:val="30"/>
          <w:szCs w:val="32"/>
        </w:rPr>
      </w:pPr>
      <w:r>
        <w:rPr>
          <w:rFonts w:hint="eastAsia" w:eastAsia="仿宋_GB2312"/>
          <w:color w:val="000000"/>
          <w:sz w:val="30"/>
          <w:szCs w:val="32"/>
        </w:rPr>
        <w:t>③信息价中虽载有同类型钢材，但所刊载的具体型号、规格与工程实际使用钢材不完全一致时，按以下原则参照近似规格的信息价执行，仍须适用本合同约定的价格下浮费率：</w:t>
      </w:r>
    </w:p>
    <w:p w14:paraId="67492A93">
      <w:pPr>
        <w:spacing w:line="360" w:lineRule="auto"/>
        <w:ind w:firstLine="600" w:firstLineChars="200"/>
        <w:jc w:val="left"/>
        <w:rPr>
          <w:rFonts w:eastAsia="仿宋_GB2312"/>
          <w:color w:val="000000"/>
          <w:sz w:val="30"/>
          <w:szCs w:val="32"/>
        </w:rPr>
      </w:pPr>
      <w:r>
        <w:rPr>
          <w:rFonts w:hint="eastAsia" w:eastAsia="仿宋_GB2312"/>
          <w:color w:val="000000"/>
          <w:sz w:val="30"/>
          <w:szCs w:val="32"/>
        </w:rPr>
        <w:t>⒈实际规格低于信息价所列最小规格，按信息价中最接近的较小规格区间价格执行（示例： 槽钢实际规格低于 8# 的，参照信息价中“8–14#”区间价格执行）。</w:t>
      </w:r>
    </w:p>
    <w:p w14:paraId="665262F1">
      <w:pPr>
        <w:spacing w:line="360" w:lineRule="auto"/>
        <w:ind w:firstLine="600" w:firstLineChars="200"/>
        <w:jc w:val="left"/>
        <w:rPr>
          <w:rFonts w:eastAsia="仿宋_GB2312"/>
          <w:color w:val="000000"/>
          <w:sz w:val="30"/>
          <w:szCs w:val="32"/>
        </w:rPr>
      </w:pPr>
      <w:r>
        <w:rPr>
          <w:rFonts w:hint="eastAsia" w:eastAsia="仿宋_GB2312"/>
          <w:color w:val="000000"/>
          <w:sz w:val="30"/>
          <w:szCs w:val="32"/>
        </w:rPr>
        <w:t>⒉实际规格高于信息价所列最大规格，按信息价中最接近的较大规格区间价格执行（示例： 槽钢实际规格高于 40# 的，参照信息价中“36–40#”区间价格执行）。</w:t>
      </w:r>
    </w:p>
    <w:p w14:paraId="5DC4FB9E">
      <w:pPr>
        <w:spacing w:line="360" w:lineRule="auto"/>
        <w:ind w:firstLine="600" w:firstLineChars="200"/>
        <w:jc w:val="left"/>
        <w:rPr>
          <w:rFonts w:eastAsia="仿宋_GB2312"/>
          <w:color w:val="000000"/>
          <w:sz w:val="30"/>
          <w:szCs w:val="32"/>
        </w:rPr>
      </w:pPr>
      <w:r>
        <w:rPr>
          <w:rFonts w:hint="eastAsia" w:eastAsia="仿宋_GB2312"/>
          <w:color w:val="000000"/>
          <w:sz w:val="30"/>
          <w:szCs w:val="32"/>
        </w:rPr>
        <w:t>⒊其他规格差异情形参照上述原则，选择与工程实际使用钢材在性能参数、尺寸规格方面最为接近的信息价对应区间执行。</w:t>
      </w:r>
    </w:p>
    <w:p w14:paraId="4DA5109F">
      <w:pPr>
        <w:spacing w:line="360" w:lineRule="auto"/>
        <w:ind w:firstLine="600" w:firstLineChars="200"/>
        <w:jc w:val="left"/>
        <w:rPr>
          <w:rFonts w:eastAsia="仿宋_GB2312"/>
          <w:color w:val="000000"/>
          <w:sz w:val="30"/>
          <w:szCs w:val="32"/>
        </w:rPr>
      </w:pPr>
      <w:r>
        <w:rPr>
          <w:rFonts w:hint="eastAsia" w:eastAsia="仿宋_GB2312"/>
          <w:color w:val="000000"/>
          <w:sz w:val="30"/>
          <w:szCs w:val="32"/>
        </w:rPr>
        <w:t>④信息价没有的按承包人中标文件中相同材料单价的最低值执行；</w:t>
      </w:r>
    </w:p>
    <w:p w14:paraId="37151C2D">
      <w:pPr>
        <w:spacing w:line="360" w:lineRule="auto"/>
        <w:ind w:firstLine="600" w:firstLineChars="200"/>
        <w:jc w:val="left"/>
        <w:rPr>
          <w:rFonts w:eastAsia="仿宋_GB2312"/>
          <w:color w:val="000000"/>
          <w:sz w:val="30"/>
          <w:szCs w:val="32"/>
        </w:rPr>
      </w:pPr>
      <w:r>
        <w:rPr>
          <w:rFonts w:hint="eastAsia" w:eastAsia="仿宋_GB2312"/>
          <w:color w:val="000000"/>
          <w:sz w:val="30"/>
          <w:szCs w:val="32"/>
        </w:rPr>
        <w:t>⑤信息价和承包人中标文件都没有的，按发包人结合市场行情认质核价确定；</w:t>
      </w:r>
    </w:p>
    <w:p w14:paraId="37468315">
      <w:pPr>
        <w:spacing w:line="360" w:lineRule="auto"/>
        <w:ind w:firstLine="600" w:firstLineChars="200"/>
        <w:jc w:val="left"/>
        <w:rPr>
          <w:rFonts w:eastAsia="仿宋_GB2312"/>
          <w:color w:val="000000"/>
          <w:sz w:val="30"/>
          <w:szCs w:val="32"/>
        </w:rPr>
      </w:pPr>
      <w:r>
        <w:rPr>
          <w:rFonts w:hint="eastAsia" w:eastAsia="仿宋_GB2312"/>
          <w:color w:val="000000"/>
          <w:sz w:val="30"/>
          <w:szCs w:val="32"/>
        </w:rPr>
        <w:t>⑥不再另行计取采保费；</w:t>
      </w:r>
    </w:p>
    <w:p w14:paraId="14C5F5F7">
      <w:pPr>
        <w:spacing w:line="360" w:lineRule="auto"/>
        <w:ind w:firstLine="600" w:firstLineChars="200"/>
        <w:jc w:val="left"/>
        <w:rPr>
          <w:rFonts w:eastAsia="仿宋_GB2312"/>
          <w:color w:val="000000"/>
          <w:sz w:val="30"/>
          <w:szCs w:val="32"/>
        </w:rPr>
      </w:pPr>
      <w:r>
        <w:rPr>
          <w:rFonts w:hint="eastAsia" w:eastAsia="仿宋_GB2312"/>
          <w:color w:val="000000"/>
          <w:sz w:val="30"/>
          <w:szCs w:val="32"/>
        </w:rPr>
        <w:t>下浮基数不含安全文明施工费、认质核价的费用、甲供材、规费；</w:t>
      </w:r>
    </w:p>
    <w:p w14:paraId="54525310">
      <w:pPr>
        <w:spacing w:line="360" w:lineRule="auto"/>
        <w:ind w:firstLine="600" w:firstLineChars="200"/>
        <w:jc w:val="left"/>
        <w:rPr>
          <w:rFonts w:eastAsia="仿宋_GB2312"/>
          <w:color w:val="000000"/>
          <w:sz w:val="30"/>
          <w:szCs w:val="32"/>
        </w:rPr>
      </w:pPr>
      <w:r>
        <w:rPr>
          <w:rFonts w:hint="eastAsia" w:eastAsia="仿宋_GB2312"/>
          <w:color w:val="000000"/>
          <w:sz w:val="30"/>
          <w:szCs w:val="32"/>
        </w:rPr>
        <w:t>（3）、零星机械台班和经审批的特殊施工方案中明确的机械台班按发包人核价执行，零星材料和经审批的特殊施工方案中明确的材料按前款第（2）条中的约定执行；</w:t>
      </w:r>
    </w:p>
    <w:p w14:paraId="07B37E53">
      <w:pPr>
        <w:spacing w:line="360" w:lineRule="auto"/>
        <w:ind w:firstLine="600" w:firstLineChars="200"/>
        <w:jc w:val="left"/>
        <w:rPr>
          <w:rFonts w:eastAsia="仿宋_GB2312"/>
          <w:color w:val="000000"/>
          <w:sz w:val="30"/>
          <w:szCs w:val="32"/>
        </w:rPr>
      </w:pPr>
      <w:r>
        <w:rPr>
          <w:rFonts w:hint="eastAsia" w:eastAsia="仿宋_GB2312"/>
          <w:color w:val="000000"/>
          <w:sz w:val="30"/>
          <w:szCs w:val="32"/>
        </w:rPr>
        <w:t>（4）、施工组织措施项目费：完成合同范围约定内的工作内容，则按投标时施工组织措施项目费的报价作为结算价，若有新增工作内容，施工组织措施项目费费率高于重庆市建设工程费用定额（CQFYDE-2018）规定的，结算时按定额标准计取，否则按投标报价费率计取；</w:t>
      </w:r>
    </w:p>
    <w:p w14:paraId="4F27ACAF">
      <w:pPr>
        <w:spacing w:line="360" w:lineRule="auto"/>
        <w:ind w:firstLine="600" w:firstLineChars="200"/>
        <w:jc w:val="left"/>
        <w:rPr>
          <w:rFonts w:eastAsia="仿宋_GB2312"/>
          <w:color w:val="000000"/>
          <w:sz w:val="30"/>
          <w:szCs w:val="32"/>
        </w:rPr>
      </w:pPr>
      <w:r>
        <w:rPr>
          <w:rFonts w:hint="eastAsia" w:eastAsia="仿宋_GB2312"/>
          <w:color w:val="000000"/>
          <w:sz w:val="30"/>
          <w:szCs w:val="32"/>
        </w:rPr>
        <w:t xml:space="preserve">（5）、施工技术措施项目费中以项计列的项目，完成合同范围约定内的工作内容，则按投标时施工技术措施项目费的报价作为结算价；技术措施清单中以项目编码、项目名称、项目特征、工程内容、工程量及计量单位列项的项目，以中标人投标报价的综合单价乘以按《建设工程工程量清单计价规范》（GB50500-2013）约定的计量规则计算的实际变更及调整合格工程量办理结算；    </w:t>
      </w:r>
    </w:p>
    <w:p w14:paraId="7B763D74">
      <w:pPr>
        <w:spacing w:line="360" w:lineRule="auto"/>
        <w:ind w:firstLine="600" w:firstLineChars="200"/>
        <w:jc w:val="left"/>
        <w:rPr>
          <w:rFonts w:eastAsia="仿宋_GB2312"/>
          <w:color w:val="000000"/>
          <w:sz w:val="30"/>
          <w:szCs w:val="32"/>
        </w:rPr>
      </w:pPr>
      <w:r>
        <w:rPr>
          <w:rFonts w:hint="eastAsia" w:eastAsia="仿宋_GB2312"/>
          <w:color w:val="000000"/>
          <w:sz w:val="30"/>
          <w:szCs w:val="32"/>
        </w:rPr>
        <w:t>3．安全文明施工费：按《关于修订发布《重庆市建设工程安全文明施工费计取及使用管理规定》的通知》（渝建管〔2024〕38号）规定进行结算，即在结算时先减去投标时的暂列金额，再按渝建管〔2024〕38号结算；</w:t>
      </w:r>
      <w:r>
        <w:rPr>
          <w:rFonts w:eastAsia="仿宋_GB2312"/>
          <w:color w:val="000000"/>
          <w:sz w:val="30"/>
          <w:szCs w:val="32"/>
        </w:rPr>
        <w:t xml:space="preserve"> </w:t>
      </w:r>
    </w:p>
    <w:p w14:paraId="63AA9A8E">
      <w:pPr>
        <w:spacing w:line="360" w:lineRule="auto"/>
        <w:ind w:firstLine="600" w:firstLineChars="200"/>
        <w:jc w:val="left"/>
        <w:rPr>
          <w:rFonts w:eastAsia="仿宋_GB2312"/>
          <w:color w:val="000000"/>
          <w:sz w:val="30"/>
          <w:szCs w:val="32"/>
        </w:rPr>
      </w:pPr>
      <w:r>
        <w:rPr>
          <w:rFonts w:hint="eastAsia" w:eastAsia="仿宋_GB2312"/>
          <w:color w:val="000000"/>
          <w:sz w:val="30"/>
          <w:szCs w:val="32"/>
        </w:rPr>
        <w:t xml:space="preserve">4. 规费按2018年重庆市建设工程费用定额规定结算。税金按《重庆市城乡建设委员会关于建筑业营业税改征增值税调整建设工程计价依据的通知》（渝建发[2016]35号）文件及《重庆市城乡建设委员会关于适用增值税新税率调整建设工程计价依据的通知》（渝建〔2019〕143 号）文件规定执行。  </w:t>
      </w:r>
    </w:p>
    <w:p w14:paraId="5AB669B4">
      <w:pPr>
        <w:spacing w:line="360" w:lineRule="auto"/>
        <w:ind w:firstLine="600" w:firstLineChars="200"/>
        <w:jc w:val="left"/>
        <w:rPr>
          <w:rFonts w:eastAsia="仿宋_GB2312"/>
          <w:color w:val="000000"/>
          <w:sz w:val="30"/>
          <w:szCs w:val="32"/>
        </w:rPr>
      </w:pPr>
      <w:r>
        <w:rPr>
          <w:rFonts w:hint="eastAsia" w:eastAsia="仿宋_GB2312"/>
          <w:color w:val="000000"/>
          <w:sz w:val="30"/>
          <w:szCs w:val="32"/>
        </w:rPr>
        <w:t>5. 承包人不得以工程量增减变化为由向发包人提出利润、管理费等费用索赔；</w:t>
      </w:r>
    </w:p>
    <w:p w14:paraId="443125CF">
      <w:pPr>
        <w:spacing w:line="360" w:lineRule="auto"/>
        <w:ind w:firstLine="600" w:firstLineChars="200"/>
        <w:jc w:val="left"/>
        <w:rPr>
          <w:rFonts w:eastAsia="仿宋_GB2312"/>
          <w:color w:val="000000"/>
          <w:sz w:val="30"/>
          <w:szCs w:val="32"/>
        </w:rPr>
      </w:pPr>
      <w:r>
        <w:rPr>
          <w:rFonts w:hint="eastAsia" w:eastAsia="仿宋_GB2312"/>
          <w:color w:val="000000"/>
          <w:sz w:val="30"/>
          <w:szCs w:val="32"/>
        </w:rPr>
        <w:t>6.甲供材消耗量按投标文件对应综合单价分析表中材料损耗率计算，如无对应综合单价分析表则参照本条增减工程结算约定的计价定额中相关定额子目材料损耗率计算。承包人领取材料量大于结算材料消耗量则视为材料过剩，如非承包人原因所造成的，则承包人需将多余材料移交发包人，并完成移交手续，双方签字确认；如未完成移交手续或承包人无法证明过剩材料非承包人原因所造成，则按发包人对应材料采购合同中材料单价计算，并在结算工程款中扣除。另外，若承包人领取的单项材料量超过结算材料消耗量的10%时，超过部分材料，承包人除承担该部分材料价款外，还将按发包人采购价的50%作为承包人应承担的违约金，并在结算工程款中扣除。</w:t>
      </w:r>
    </w:p>
    <w:bookmarkEnd w:id="450"/>
    <w:bookmarkEnd w:id="451"/>
    <w:bookmarkEnd w:id="452"/>
    <w:bookmarkEnd w:id="453"/>
    <w:bookmarkEnd w:id="454"/>
    <w:bookmarkEnd w:id="455"/>
    <w:bookmarkEnd w:id="456"/>
    <w:bookmarkEnd w:id="462"/>
    <w:p w14:paraId="10125424">
      <w:pPr>
        <w:pStyle w:val="5"/>
        <w:spacing w:before="120" w:after="120" w:line="360" w:lineRule="auto"/>
        <w:rPr>
          <w:rFonts w:ascii="Times New Roman" w:hAnsi="Times New Roman" w:eastAsia="黑体"/>
          <w:b w:val="0"/>
          <w:color w:val="000000"/>
          <w:sz w:val="32"/>
          <w:szCs w:val="32"/>
        </w:rPr>
      </w:pPr>
      <w:bookmarkStart w:id="465" w:name="_Toc351203647"/>
      <w:bookmarkStart w:id="466" w:name="_Toc267251483"/>
      <w:bookmarkStart w:id="467" w:name="_Toc267251484"/>
      <w:bookmarkStart w:id="468" w:name="_Toc267251482"/>
      <w:bookmarkStart w:id="469" w:name="_Toc267251485"/>
      <w:bookmarkStart w:id="470" w:name="_Toc267251486"/>
      <w:bookmarkStart w:id="471" w:name="_Toc267251490"/>
      <w:bookmarkStart w:id="472" w:name="_Toc267251489"/>
      <w:bookmarkStart w:id="473" w:name="_Toc267251488"/>
      <w:bookmarkStart w:id="474" w:name="_Toc267251491"/>
      <w:bookmarkStart w:id="475" w:name="_Toc267251492"/>
      <w:bookmarkStart w:id="476" w:name="_Toc267251497"/>
      <w:bookmarkStart w:id="477" w:name="_Toc267251498"/>
      <w:bookmarkStart w:id="478" w:name="_Toc267251494"/>
      <w:bookmarkStart w:id="479" w:name="_Toc267251493"/>
      <w:bookmarkStart w:id="480" w:name="_Toc267251496"/>
      <w:bookmarkStart w:id="481" w:name="_Toc267251495"/>
      <w:bookmarkStart w:id="482" w:name="_Toc267251503"/>
      <w:bookmarkStart w:id="483" w:name="_Toc267251501"/>
      <w:bookmarkStart w:id="484" w:name="_Toc267251499"/>
      <w:bookmarkStart w:id="485" w:name="_Toc267251502"/>
      <w:bookmarkStart w:id="486" w:name="_Toc267251506"/>
      <w:bookmarkStart w:id="487" w:name="_Toc267251507"/>
      <w:bookmarkStart w:id="488" w:name="_Toc267251504"/>
      <w:bookmarkStart w:id="489" w:name="_Toc267251508"/>
      <w:bookmarkStart w:id="490" w:name="_Toc267251513"/>
      <w:bookmarkStart w:id="491" w:name="_Toc267251515"/>
      <w:bookmarkStart w:id="492" w:name="_Toc267251510"/>
      <w:bookmarkStart w:id="493" w:name="_Toc267251511"/>
      <w:bookmarkStart w:id="494" w:name="_Toc267251509"/>
      <w:bookmarkStart w:id="495" w:name="_Toc267251514"/>
      <w:r>
        <w:rPr>
          <w:rFonts w:ascii="Times New Roman" w:hAnsi="Times New Roman" w:eastAsia="黑体"/>
          <w:b w:val="0"/>
          <w:color w:val="000000"/>
          <w:sz w:val="32"/>
          <w:szCs w:val="32"/>
        </w:rPr>
        <w:t>15. 缺陷责任期与保修</w:t>
      </w:r>
      <w:bookmarkEnd w:id="465"/>
    </w:p>
    <w:p w14:paraId="3CF9171E">
      <w:pPr>
        <w:spacing w:after="120" w:line="360" w:lineRule="auto"/>
        <w:ind w:firstLine="600" w:firstLineChars="200"/>
        <w:rPr>
          <w:rFonts w:eastAsia="黑体"/>
          <w:color w:val="000000"/>
          <w:sz w:val="30"/>
          <w:szCs w:val="32"/>
        </w:rPr>
      </w:pPr>
      <w:r>
        <w:rPr>
          <w:rFonts w:eastAsia="黑体"/>
          <w:color w:val="000000"/>
          <w:sz w:val="30"/>
          <w:szCs w:val="32"/>
        </w:rPr>
        <w:t>15.2缺陷责任期</w:t>
      </w:r>
      <w:bookmarkEnd w:id="466"/>
    </w:p>
    <w:p w14:paraId="4BD8C2BC">
      <w:pPr>
        <w:spacing w:line="360" w:lineRule="auto"/>
        <w:ind w:firstLine="600" w:firstLineChars="200"/>
        <w:jc w:val="left"/>
        <w:rPr>
          <w:rFonts w:eastAsia="仿宋_GB2312"/>
          <w:color w:val="000000"/>
          <w:sz w:val="30"/>
          <w:szCs w:val="32"/>
        </w:rPr>
      </w:pPr>
      <w:r>
        <w:rPr>
          <w:rFonts w:eastAsia="仿宋_GB2312"/>
          <w:color w:val="000000"/>
          <w:sz w:val="30"/>
          <w:szCs w:val="32"/>
        </w:rPr>
        <w:t>缺陷责任期的具体期限：</w:t>
      </w:r>
      <w:r>
        <w:rPr>
          <w:rFonts w:eastAsia="仿宋_GB2312"/>
          <w:color w:val="000000"/>
          <w:sz w:val="30"/>
          <w:szCs w:val="32"/>
          <w:u w:val="single"/>
        </w:rPr>
        <w:t xml:space="preserve">  </w:t>
      </w:r>
      <w:r>
        <w:rPr>
          <w:rFonts w:hint="eastAsia" w:eastAsia="仿宋_GB2312"/>
          <w:color w:val="000000"/>
          <w:sz w:val="30"/>
          <w:szCs w:val="32"/>
          <w:u w:val="single"/>
        </w:rPr>
        <w:t>无</w:t>
      </w:r>
      <w:r>
        <w:rPr>
          <w:rFonts w:eastAsia="仿宋_GB2312"/>
          <w:color w:val="000000"/>
          <w:sz w:val="30"/>
          <w:szCs w:val="32"/>
          <w:u w:val="single"/>
        </w:rPr>
        <w:t xml:space="preserve">  </w:t>
      </w:r>
      <w:r>
        <w:rPr>
          <w:rFonts w:eastAsia="仿宋_GB2312"/>
          <w:color w:val="000000"/>
          <w:sz w:val="30"/>
          <w:szCs w:val="32"/>
        </w:rPr>
        <w:t>。</w:t>
      </w:r>
    </w:p>
    <w:p w14:paraId="238D5879">
      <w:pPr>
        <w:spacing w:after="120" w:line="360" w:lineRule="auto"/>
        <w:ind w:firstLine="600" w:firstLineChars="200"/>
        <w:outlineLvl w:val="0"/>
        <w:rPr>
          <w:rFonts w:eastAsia="黑体"/>
          <w:color w:val="000000"/>
          <w:sz w:val="30"/>
          <w:szCs w:val="32"/>
        </w:rPr>
      </w:pPr>
      <w:r>
        <w:rPr>
          <w:rFonts w:eastAsia="黑体"/>
          <w:color w:val="000000"/>
          <w:sz w:val="30"/>
          <w:szCs w:val="32"/>
        </w:rPr>
        <w:t>15.3 质量保证金</w:t>
      </w:r>
    </w:p>
    <w:p w14:paraId="33B5075B">
      <w:pPr>
        <w:spacing w:line="360" w:lineRule="auto"/>
        <w:ind w:firstLine="600" w:firstLineChars="200"/>
        <w:jc w:val="left"/>
        <w:rPr>
          <w:rFonts w:eastAsia="仿宋_GB2312"/>
          <w:color w:val="000000"/>
          <w:sz w:val="30"/>
          <w:szCs w:val="32"/>
        </w:rPr>
      </w:pPr>
      <w:r>
        <w:rPr>
          <w:rFonts w:hint="eastAsia" w:eastAsia="仿宋_GB2312"/>
          <w:color w:val="000000"/>
          <w:sz w:val="30"/>
          <w:szCs w:val="32"/>
        </w:rPr>
        <w:t>关于是否扣留质量保证金的约定：</w:t>
      </w:r>
      <w:r>
        <w:rPr>
          <w:rFonts w:eastAsia="仿宋_GB2312"/>
          <w:color w:val="000000"/>
          <w:sz w:val="30"/>
          <w:szCs w:val="32"/>
          <w:u w:val="single"/>
        </w:rPr>
        <w:t xml:space="preserve"> </w:t>
      </w:r>
      <w:r>
        <w:rPr>
          <w:rFonts w:hint="eastAsia" w:eastAsia="仿宋_GB2312"/>
          <w:color w:val="000000"/>
          <w:sz w:val="30"/>
          <w:szCs w:val="32"/>
          <w:u w:val="single"/>
        </w:rPr>
        <w:t>否</w:t>
      </w:r>
      <w:r>
        <w:rPr>
          <w:rFonts w:eastAsia="仿宋_GB2312"/>
          <w:color w:val="000000"/>
          <w:sz w:val="30"/>
          <w:szCs w:val="32"/>
          <w:u w:val="single"/>
        </w:rPr>
        <w:t xml:space="preserve">  </w:t>
      </w:r>
      <w:r>
        <w:rPr>
          <w:rFonts w:eastAsia="仿宋_GB2312"/>
          <w:color w:val="000000"/>
          <w:sz w:val="30"/>
          <w:szCs w:val="32"/>
        </w:rPr>
        <w:t>。</w:t>
      </w:r>
    </w:p>
    <w:bookmarkEnd w:id="467"/>
    <w:bookmarkEnd w:id="468"/>
    <w:p w14:paraId="68578A42">
      <w:pPr>
        <w:spacing w:after="120" w:line="360" w:lineRule="auto"/>
        <w:ind w:firstLine="600" w:firstLineChars="200"/>
        <w:rPr>
          <w:rFonts w:eastAsia="黑体"/>
          <w:color w:val="000000"/>
          <w:sz w:val="30"/>
          <w:szCs w:val="32"/>
        </w:rPr>
      </w:pPr>
      <w:r>
        <w:rPr>
          <w:rFonts w:eastAsia="黑体"/>
          <w:color w:val="000000"/>
          <w:sz w:val="30"/>
          <w:szCs w:val="32"/>
        </w:rPr>
        <w:t>15.4保修</w:t>
      </w:r>
      <w:bookmarkEnd w:id="469"/>
      <w:r>
        <w:rPr>
          <w:rFonts w:eastAsia="黑体"/>
          <w:color w:val="000000"/>
          <w:sz w:val="30"/>
          <w:szCs w:val="32"/>
        </w:rPr>
        <w:t>：</w:t>
      </w:r>
      <w:r>
        <w:rPr>
          <w:rFonts w:hint="eastAsia" w:eastAsia="黑体"/>
          <w:color w:val="000000"/>
          <w:sz w:val="30"/>
          <w:szCs w:val="32"/>
        </w:rPr>
        <w:t>/</w:t>
      </w:r>
    </w:p>
    <w:bookmarkEnd w:id="470"/>
    <w:bookmarkEnd w:id="471"/>
    <w:bookmarkEnd w:id="472"/>
    <w:bookmarkEnd w:id="473"/>
    <w:p w14:paraId="78DF8B8E">
      <w:pPr>
        <w:pStyle w:val="5"/>
        <w:spacing w:before="120" w:after="120" w:line="360" w:lineRule="auto"/>
        <w:rPr>
          <w:rFonts w:ascii="Times New Roman" w:hAnsi="Times New Roman" w:eastAsia="黑体"/>
          <w:b w:val="0"/>
          <w:color w:val="000000"/>
          <w:sz w:val="32"/>
          <w:szCs w:val="32"/>
        </w:rPr>
      </w:pPr>
      <w:bookmarkStart w:id="496" w:name="_Toc351203648"/>
      <w:bookmarkStart w:id="497" w:name="_Toc280868717"/>
      <w:bookmarkStart w:id="498" w:name="_Toc280868718"/>
      <w:r>
        <w:rPr>
          <w:rFonts w:ascii="Times New Roman" w:hAnsi="Times New Roman" w:eastAsia="黑体"/>
          <w:b w:val="0"/>
          <w:color w:val="000000"/>
          <w:sz w:val="32"/>
          <w:szCs w:val="32"/>
        </w:rPr>
        <w:t>16. 违约</w:t>
      </w:r>
      <w:bookmarkEnd w:id="496"/>
    </w:p>
    <w:p w14:paraId="7203B70E">
      <w:pPr>
        <w:spacing w:after="120" w:line="360" w:lineRule="auto"/>
        <w:ind w:firstLine="600" w:firstLineChars="200"/>
        <w:outlineLvl w:val="0"/>
        <w:rPr>
          <w:rFonts w:eastAsia="黑体"/>
          <w:color w:val="000000"/>
          <w:sz w:val="30"/>
          <w:szCs w:val="32"/>
        </w:rPr>
      </w:pPr>
      <w:r>
        <w:rPr>
          <w:rFonts w:eastAsia="黑体"/>
          <w:color w:val="000000"/>
          <w:sz w:val="30"/>
          <w:szCs w:val="32"/>
        </w:rPr>
        <w:t>16.1 发包人违约</w:t>
      </w:r>
    </w:p>
    <w:p w14:paraId="02FDC049">
      <w:pPr>
        <w:spacing w:line="360" w:lineRule="auto"/>
        <w:ind w:left="1500" w:hanging="1500" w:hangingChars="500"/>
        <w:jc w:val="left"/>
        <w:rPr>
          <w:rFonts w:eastAsia="仿宋_GB2312"/>
          <w:color w:val="000000"/>
          <w:kern w:val="0"/>
          <w:sz w:val="30"/>
          <w:szCs w:val="32"/>
        </w:rPr>
      </w:pPr>
      <w:r>
        <w:rPr>
          <w:rFonts w:eastAsia="仿宋_GB2312"/>
          <w:color w:val="000000"/>
          <w:kern w:val="0"/>
          <w:sz w:val="30"/>
          <w:szCs w:val="32"/>
        </w:rPr>
        <w:t xml:space="preserve">    16.1.2 发包人违约的责任</w:t>
      </w:r>
    </w:p>
    <w:p w14:paraId="750408F0">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发包人违约责任的承担方式和计算方法：</w:t>
      </w:r>
    </w:p>
    <w:p w14:paraId="306EC92A">
      <w:pPr>
        <w:spacing w:line="360" w:lineRule="auto"/>
        <w:ind w:firstLine="600" w:firstLineChars="200"/>
        <w:jc w:val="left"/>
        <w:rPr>
          <w:rFonts w:eastAsia="仿宋_GB2312"/>
          <w:color w:val="000000"/>
          <w:kern w:val="0"/>
          <w:sz w:val="30"/>
          <w:szCs w:val="32"/>
          <w:u w:val="single"/>
        </w:rPr>
      </w:pPr>
      <w:r>
        <w:rPr>
          <w:rFonts w:eastAsia="仿宋_GB2312"/>
          <w:color w:val="000000"/>
          <w:kern w:val="0"/>
          <w:sz w:val="30"/>
          <w:szCs w:val="32"/>
        </w:rPr>
        <w:t>（1）因发包人原因未能在计划开工日期前7天内下达开工通知的违约责任：</w:t>
      </w:r>
      <w:r>
        <w:rPr>
          <w:rFonts w:eastAsia="仿宋_GB2312"/>
          <w:color w:val="000000"/>
          <w:kern w:val="0"/>
          <w:sz w:val="30"/>
          <w:szCs w:val="32"/>
          <w:u w:val="single"/>
        </w:rPr>
        <w:t xml:space="preserve"> </w:t>
      </w:r>
      <w:r>
        <w:rPr>
          <w:rFonts w:hint="eastAsia" w:eastAsia="仿宋_GB2312"/>
          <w:color w:val="000000"/>
          <w:kern w:val="0"/>
          <w:sz w:val="30"/>
          <w:szCs w:val="32"/>
          <w:u w:val="single"/>
        </w:rPr>
        <w:t xml:space="preserve">相关风险已包含在合同金额内，发包人不再承担违约责任 </w:t>
      </w:r>
      <w:r>
        <w:rPr>
          <w:rFonts w:eastAsia="仿宋_GB2312"/>
          <w:color w:val="000000"/>
          <w:kern w:val="0"/>
          <w:sz w:val="30"/>
          <w:szCs w:val="32"/>
        </w:rPr>
        <w:t>。</w:t>
      </w:r>
    </w:p>
    <w:p w14:paraId="72A08328">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（2）因发包人原因未能按合同约定支付合同价款的违约责任：</w:t>
      </w:r>
      <w:r>
        <w:rPr>
          <w:rFonts w:eastAsia="仿宋_GB2312"/>
          <w:color w:val="000000"/>
          <w:kern w:val="0"/>
          <w:sz w:val="30"/>
          <w:szCs w:val="32"/>
          <w:u w:val="single"/>
        </w:rPr>
        <w:t xml:space="preserve">  按照中国人民银行发布的同期</w:t>
      </w:r>
      <w:r>
        <w:rPr>
          <w:rFonts w:hint="eastAsia" w:eastAsia="仿宋_GB2312"/>
          <w:color w:val="000000"/>
          <w:kern w:val="0"/>
          <w:sz w:val="30"/>
          <w:szCs w:val="32"/>
          <w:u w:val="single"/>
        </w:rPr>
        <w:t>、同类贷款基准利率</w:t>
      </w:r>
      <w:r>
        <w:rPr>
          <w:rFonts w:eastAsia="仿宋_GB2312"/>
          <w:color w:val="000000"/>
          <w:kern w:val="0"/>
          <w:sz w:val="30"/>
          <w:szCs w:val="32"/>
          <w:u w:val="single"/>
        </w:rPr>
        <w:t xml:space="preserve">支付违约金 </w:t>
      </w:r>
      <w:r>
        <w:rPr>
          <w:rFonts w:eastAsia="仿宋_GB2312"/>
          <w:color w:val="000000"/>
          <w:kern w:val="0"/>
          <w:sz w:val="30"/>
          <w:szCs w:val="32"/>
        </w:rPr>
        <w:t>。</w:t>
      </w:r>
    </w:p>
    <w:p w14:paraId="003DCF5A">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（3）发包人违反第10.1款</w:t>
      </w:r>
      <w:r>
        <w:rPr>
          <w:rFonts w:hint="eastAsia" w:eastAsia="仿宋_GB2312"/>
          <w:color w:val="000000"/>
          <w:kern w:val="0"/>
          <w:sz w:val="30"/>
          <w:szCs w:val="32"/>
        </w:rPr>
        <w:t>〔</w:t>
      </w:r>
      <w:r>
        <w:rPr>
          <w:rFonts w:eastAsia="仿宋_GB2312"/>
          <w:color w:val="000000"/>
          <w:kern w:val="0"/>
          <w:sz w:val="30"/>
          <w:szCs w:val="32"/>
        </w:rPr>
        <w:t>变更的范围</w:t>
      </w:r>
      <w:r>
        <w:rPr>
          <w:rFonts w:hint="eastAsia" w:eastAsia="仿宋_GB2312"/>
          <w:color w:val="000000"/>
          <w:kern w:val="0"/>
          <w:sz w:val="30"/>
          <w:szCs w:val="32"/>
        </w:rPr>
        <w:t>〕</w:t>
      </w:r>
      <w:r>
        <w:rPr>
          <w:rFonts w:eastAsia="仿宋_GB2312"/>
          <w:color w:val="000000"/>
          <w:kern w:val="0"/>
          <w:sz w:val="30"/>
          <w:szCs w:val="32"/>
        </w:rPr>
        <w:t>第（2）项约定，自行实施被取消的工作或转由他人实施的违约责任：</w:t>
      </w:r>
      <w:r>
        <w:rPr>
          <w:rFonts w:hint="eastAsia" w:eastAsia="仿宋_GB2312"/>
          <w:color w:val="000000"/>
          <w:kern w:val="0"/>
          <w:sz w:val="30"/>
          <w:szCs w:val="32"/>
          <w:u w:val="single"/>
        </w:rPr>
        <w:t xml:space="preserve">应支付承包人相应工作的合理利润 </w:t>
      </w:r>
      <w:r>
        <w:rPr>
          <w:rFonts w:eastAsia="仿宋_GB2312"/>
          <w:color w:val="000000"/>
          <w:kern w:val="0"/>
          <w:sz w:val="30"/>
          <w:szCs w:val="32"/>
          <w:u w:val="single"/>
        </w:rPr>
        <w:t xml:space="preserve"> </w:t>
      </w:r>
      <w:r>
        <w:rPr>
          <w:rFonts w:eastAsia="仿宋_GB2312"/>
          <w:color w:val="000000"/>
          <w:kern w:val="0"/>
          <w:sz w:val="30"/>
          <w:szCs w:val="32"/>
        </w:rPr>
        <w:t>。</w:t>
      </w:r>
    </w:p>
    <w:p w14:paraId="3A2083BC">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（4）发包人提供的材料、工程设备的规格、数量或质量不符合合同约定，或因发包人原因导致交货日期延误或交货地点变更等情况的违约责任：</w:t>
      </w:r>
      <w:r>
        <w:rPr>
          <w:rFonts w:eastAsia="仿宋_GB2312"/>
          <w:color w:val="000000"/>
          <w:kern w:val="0"/>
          <w:sz w:val="30"/>
          <w:szCs w:val="32"/>
          <w:u w:val="single"/>
        </w:rPr>
        <w:t xml:space="preserve">  </w:t>
      </w:r>
      <w:r>
        <w:rPr>
          <w:rFonts w:hint="eastAsia" w:eastAsia="仿宋_GB2312"/>
          <w:color w:val="000000"/>
          <w:kern w:val="0"/>
          <w:sz w:val="30"/>
          <w:szCs w:val="32"/>
          <w:u w:val="single"/>
        </w:rPr>
        <w:t>相应工期顺延</w:t>
      </w:r>
      <w:r>
        <w:rPr>
          <w:rFonts w:eastAsia="仿宋_GB2312"/>
          <w:color w:val="000000"/>
          <w:kern w:val="0"/>
          <w:sz w:val="30"/>
          <w:szCs w:val="32"/>
          <w:u w:val="single"/>
        </w:rPr>
        <w:t xml:space="preserve"> </w:t>
      </w:r>
      <w:r>
        <w:rPr>
          <w:rFonts w:eastAsia="仿宋_GB2312"/>
          <w:color w:val="000000"/>
          <w:kern w:val="0"/>
          <w:sz w:val="30"/>
          <w:szCs w:val="32"/>
        </w:rPr>
        <w:t>。</w:t>
      </w:r>
    </w:p>
    <w:p w14:paraId="11A5AC02">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（7）</w:t>
      </w:r>
      <w:r>
        <w:rPr>
          <w:rFonts w:hint="eastAsia" w:eastAsia="仿宋_GB2312"/>
          <w:color w:val="000000"/>
          <w:kern w:val="0"/>
          <w:sz w:val="30"/>
          <w:szCs w:val="32"/>
        </w:rPr>
        <w:t>其他：</w:t>
      </w:r>
      <w:r>
        <w:rPr>
          <w:rFonts w:hint="eastAsia" w:eastAsia="仿宋_GB2312"/>
          <w:color w:val="000000"/>
          <w:kern w:val="0"/>
          <w:sz w:val="30"/>
          <w:szCs w:val="32"/>
          <w:u w:val="single"/>
        </w:rPr>
        <w:t>因发包人违约给承包人造成的损失，发包人只对直接损失给予赔偿，对间接损失不予任何费用赔偿</w:t>
      </w:r>
      <w:r>
        <w:rPr>
          <w:rFonts w:eastAsia="仿宋_GB2312"/>
          <w:color w:val="000000"/>
          <w:kern w:val="0"/>
          <w:sz w:val="30"/>
          <w:szCs w:val="32"/>
          <w:u w:val="single"/>
        </w:rPr>
        <w:t xml:space="preserve">  </w:t>
      </w:r>
      <w:r>
        <w:rPr>
          <w:rFonts w:eastAsia="仿宋_GB2312"/>
          <w:color w:val="000000"/>
          <w:kern w:val="0"/>
          <w:sz w:val="30"/>
          <w:szCs w:val="32"/>
        </w:rPr>
        <w:t>。</w:t>
      </w:r>
    </w:p>
    <w:p w14:paraId="794F5E8A">
      <w:pPr>
        <w:spacing w:after="120" w:line="360" w:lineRule="auto"/>
        <w:ind w:firstLine="600" w:firstLineChars="200"/>
        <w:outlineLvl w:val="0"/>
        <w:rPr>
          <w:rFonts w:eastAsia="黑体"/>
          <w:color w:val="000000"/>
          <w:sz w:val="30"/>
          <w:szCs w:val="32"/>
        </w:rPr>
      </w:pPr>
      <w:r>
        <w:rPr>
          <w:rFonts w:eastAsia="黑体"/>
          <w:color w:val="000000"/>
          <w:sz w:val="30"/>
          <w:szCs w:val="32"/>
        </w:rPr>
        <w:t>16.2 承包人违约</w:t>
      </w:r>
    </w:p>
    <w:p w14:paraId="2D00A19C">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16.2.2承包人违约的责任</w:t>
      </w:r>
    </w:p>
    <w:p w14:paraId="0DF0E06D">
      <w:pPr>
        <w:spacing w:line="360" w:lineRule="auto"/>
        <w:ind w:firstLine="600" w:firstLineChars="200"/>
        <w:jc w:val="left"/>
        <w:rPr>
          <w:rFonts w:eastAsia="仿宋_GB2312"/>
          <w:color w:val="000000"/>
          <w:kern w:val="0"/>
          <w:sz w:val="30"/>
          <w:szCs w:val="32"/>
        </w:rPr>
      </w:pPr>
      <w:r>
        <w:rPr>
          <w:rFonts w:hint="eastAsia" w:eastAsia="仿宋_GB2312"/>
          <w:color w:val="000000"/>
          <w:kern w:val="0"/>
          <w:sz w:val="30"/>
          <w:szCs w:val="32"/>
        </w:rPr>
        <w:t>1、承包人在施工中没有领会发包人意图或不明确施工要求而又不向发包人求证明确，致使施工不能达到发包人要求的，发包人有权要求承包人返工并由承包人承担返工损失，工期不得顺延；</w:t>
      </w:r>
    </w:p>
    <w:p w14:paraId="6B466963">
      <w:pPr>
        <w:spacing w:line="360" w:lineRule="auto"/>
        <w:ind w:firstLine="600" w:firstLineChars="200"/>
        <w:jc w:val="left"/>
        <w:rPr>
          <w:rFonts w:eastAsia="仿宋_GB2312"/>
          <w:color w:val="000000"/>
          <w:kern w:val="0"/>
          <w:sz w:val="30"/>
          <w:szCs w:val="32"/>
        </w:rPr>
      </w:pPr>
      <w:r>
        <w:rPr>
          <w:rFonts w:hint="eastAsia" w:eastAsia="仿宋_GB2312"/>
          <w:color w:val="000000"/>
          <w:kern w:val="0"/>
          <w:sz w:val="30"/>
          <w:szCs w:val="32"/>
        </w:rPr>
        <w:t>2、承包人不能因为任何原因拖欠农民工工资，由此引发的任何责任由承包人承担；出现拖欠农民工工资行为，发包人有权从承包人工程进度款中扣减直接支付给农民工，并处每次二十万元整的违约金；承包人不能因为任何原因拖欠包含但不限于承包人材料供应商及施工机具租赁方任何费用，由此引发的任何责任由承包人承担；出现拖欠包含但不限于材料费及机具租赁费等行为，发包人有权暂停支付工程进度款直至承包人支付完成为止，并处每次二十万元整的违约金。</w:t>
      </w:r>
    </w:p>
    <w:p w14:paraId="7337929A">
      <w:pPr>
        <w:spacing w:line="360" w:lineRule="auto"/>
        <w:ind w:firstLine="600" w:firstLineChars="200"/>
        <w:jc w:val="left"/>
        <w:rPr>
          <w:rFonts w:eastAsia="仿宋_GB2312"/>
          <w:color w:val="000000"/>
          <w:kern w:val="0"/>
          <w:sz w:val="30"/>
          <w:szCs w:val="32"/>
        </w:rPr>
      </w:pPr>
      <w:r>
        <w:rPr>
          <w:rFonts w:hint="eastAsia" w:eastAsia="仿宋_GB2312"/>
          <w:color w:val="000000"/>
          <w:kern w:val="0"/>
          <w:sz w:val="30"/>
          <w:szCs w:val="32"/>
        </w:rPr>
        <w:t>3、承包人派往施工现场的项目经理、技术负责人、其他管理人员每周在现场的时间不少于6天，未经发包人批准擅自离岗的支付违约金每人500元/天；如任一管理人员擅自离岗累计超出5天后，则按超出天数支付违约金</w:t>
      </w:r>
      <w:r>
        <w:rPr>
          <w:rFonts w:eastAsia="仿宋_GB2312"/>
          <w:color w:val="000000"/>
          <w:kern w:val="0"/>
          <w:sz w:val="30"/>
          <w:szCs w:val="32"/>
        </w:rPr>
        <w:t>1</w:t>
      </w:r>
      <w:r>
        <w:rPr>
          <w:rFonts w:hint="eastAsia" w:eastAsia="仿宋_GB2312"/>
          <w:color w:val="000000"/>
          <w:kern w:val="0"/>
          <w:sz w:val="30"/>
          <w:szCs w:val="32"/>
        </w:rPr>
        <w:t>000元/天；如任一管理人员擅自离岗累计超出10天，</w:t>
      </w:r>
      <w:r>
        <w:rPr>
          <w:rFonts w:hint="eastAsia" w:eastAsia="仿宋_GB2312"/>
          <w:color w:val="000000"/>
          <w:sz w:val="30"/>
          <w:szCs w:val="32"/>
        </w:rPr>
        <w:t>发包人有权单方解除合同，不承担违约责任。承包人应于发包人解除合同之日起5日内向发包人支付违约金五十万元。逾期支付，承包人应额外向发包人支付未付金额0.5‰/天的逾期违约金直至完全支付时</w:t>
      </w:r>
      <w:r>
        <w:rPr>
          <w:rFonts w:hint="eastAsia" w:eastAsia="仿宋_GB2312"/>
          <w:color w:val="000000"/>
          <w:kern w:val="0"/>
          <w:sz w:val="30"/>
          <w:szCs w:val="32"/>
        </w:rPr>
        <w:t>。</w:t>
      </w:r>
    </w:p>
    <w:p w14:paraId="75DC6F8C">
      <w:pPr>
        <w:spacing w:line="360" w:lineRule="auto"/>
        <w:ind w:firstLine="600" w:firstLineChars="200"/>
        <w:jc w:val="left"/>
        <w:rPr>
          <w:rFonts w:eastAsia="仿宋_GB2312"/>
          <w:color w:val="000000"/>
          <w:kern w:val="0"/>
          <w:sz w:val="30"/>
          <w:szCs w:val="32"/>
        </w:rPr>
      </w:pPr>
      <w:r>
        <w:rPr>
          <w:rFonts w:hint="eastAsia" w:eastAsia="仿宋_GB2312"/>
          <w:color w:val="000000"/>
          <w:kern w:val="0"/>
          <w:sz w:val="30"/>
          <w:szCs w:val="32"/>
        </w:rPr>
        <w:t>4、承包人进场人员必须严格按照合同及相关文件中所报项目经理、技术负责人及其他管理人员配备，不得更换。如承包人未经监理和发包人审查同意，更换填报的任一项目经理、技术负责人及其他管理人员，处以每人次五万元的违约金，并限期予以纠正；</w:t>
      </w:r>
      <w:r>
        <w:rPr>
          <w:rFonts w:hint="eastAsia" w:eastAsia="仿宋_GB2312"/>
          <w:color w:val="000000"/>
          <w:sz w:val="30"/>
          <w:szCs w:val="32"/>
        </w:rPr>
        <w:t>逾期未纠正，发包人有权单方解除合同，不承担违约责任。承包人应于发包人解除合同之日起5日内向发包人支付违约金五十万元。逾期支付，承包人应额外向发包人支付未付金额0.5‰/天的逾期违约金直至完全支付时。</w:t>
      </w:r>
    </w:p>
    <w:p w14:paraId="4F94FF02">
      <w:pPr>
        <w:spacing w:line="360" w:lineRule="auto"/>
        <w:ind w:firstLine="600" w:firstLineChars="200"/>
        <w:jc w:val="left"/>
        <w:rPr>
          <w:rFonts w:eastAsia="仿宋_GB2312"/>
          <w:color w:val="000000"/>
          <w:kern w:val="0"/>
          <w:sz w:val="30"/>
          <w:szCs w:val="32"/>
        </w:rPr>
      </w:pPr>
      <w:r>
        <w:rPr>
          <w:rFonts w:hint="eastAsia" w:eastAsia="仿宋_GB2312"/>
          <w:color w:val="000000"/>
          <w:kern w:val="0"/>
          <w:sz w:val="30"/>
          <w:szCs w:val="32"/>
        </w:rPr>
        <w:t>5、承包人有以下情况发生，属违约行为，应承担的违约责任：按十万元/次支付违约金并继续履行合同；在指定期限内拒不整改的，发包人有权解除合同，并要求承包人承担严重违约责任。</w:t>
      </w:r>
    </w:p>
    <w:p w14:paraId="242D2CCD">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（1）承包人违反合同约定进行转包或违法分包的；</w:t>
      </w:r>
    </w:p>
    <w:p w14:paraId="5463ABEF">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（2）承包人违反合同约定采购和使用不合格的材料和工程设备的；</w:t>
      </w:r>
    </w:p>
    <w:p w14:paraId="19F34F34">
      <w:pPr>
        <w:spacing w:line="360" w:lineRule="auto"/>
        <w:ind w:firstLine="600" w:firstLineChars="200"/>
        <w:jc w:val="left"/>
        <w:rPr>
          <w:rFonts w:eastAsia="仿宋_GB2312"/>
          <w:color w:val="000000"/>
          <w:kern w:val="0"/>
          <w:sz w:val="30"/>
          <w:szCs w:val="32"/>
        </w:rPr>
      </w:pPr>
      <w:r>
        <w:rPr>
          <w:rFonts w:hint="eastAsia" w:eastAsia="仿宋_GB2312"/>
          <w:color w:val="000000"/>
          <w:kern w:val="0"/>
          <w:sz w:val="30"/>
          <w:szCs w:val="32"/>
        </w:rPr>
        <w:t>6、承包人有以下情况发生，属违约行为，应承担的违约责任：支付违约金三千元/次 。</w:t>
      </w:r>
    </w:p>
    <w:p w14:paraId="7F0A71F0">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（1）因承包人原因导致工程质量不符合合同要求的</w:t>
      </w:r>
      <w:r>
        <w:rPr>
          <w:rFonts w:hint="eastAsia" w:eastAsia="仿宋_GB2312"/>
          <w:color w:val="000000"/>
          <w:kern w:val="0"/>
          <w:sz w:val="30"/>
          <w:szCs w:val="32"/>
        </w:rPr>
        <w:t>，由承包人负责返工，直到达到约定标准，其耽误的工期由承包人自负</w:t>
      </w:r>
      <w:r>
        <w:rPr>
          <w:rFonts w:eastAsia="仿宋_GB2312"/>
          <w:color w:val="000000"/>
          <w:kern w:val="0"/>
          <w:sz w:val="30"/>
          <w:szCs w:val="32"/>
        </w:rPr>
        <w:t>；</w:t>
      </w:r>
    </w:p>
    <w:p w14:paraId="3EED55A8">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（2）</w:t>
      </w:r>
      <w:r>
        <w:rPr>
          <w:rFonts w:hint="eastAsia" w:eastAsia="仿宋_GB2312"/>
          <w:color w:val="000000"/>
          <w:kern w:val="0"/>
          <w:sz w:val="30"/>
          <w:szCs w:val="32"/>
        </w:rPr>
        <w:t>关键工作或发包人特别要求完成的主要工程未按计划完成</w:t>
      </w:r>
      <w:r>
        <w:rPr>
          <w:rFonts w:eastAsia="仿宋_GB2312"/>
          <w:color w:val="000000"/>
          <w:kern w:val="0"/>
          <w:sz w:val="30"/>
          <w:szCs w:val="32"/>
        </w:rPr>
        <w:t xml:space="preserve">； </w:t>
      </w:r>
    </w:p>
    <w:p w14:paraId="663CD484">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w:t>
      </w:r>
      <w:r>
        <w:rPr>
          <w:rFonts w:hint="eastAsia" w:eastAsia="仿宋_GB2312"/>
          <w:color w:val="000000"/>
          <w:kern w:val="0"/>
          <w:sz w:val="30"/>
          <w:szCs w:val="32"/>
        </w:rPr>
        <w:t>3</w:t>
      </w:r>
      <w:r>
        <w:rPr>
          <w:rFonts w:eastAsia="仿宋_GB2312"/>
          <w:color w:val="000000"/>
          <w:kern w:val="0"/>
          <w:sz w:val="30"/>
          <w:szCs w:val="32"/>
        </w:rPr>
        <w:t>）</w:t>
      </w:r>
      <w:r>
        <w:rPr>
          <w:rFonts w:hint="eastAsia" w:eastAsia="仿宋_GB2312"/>
          <w:color w:val="000000"/>
          <w:kern w:val="0"/>
          <w:sz w:val="30"/>
          <w:szCs w:val="32"/>
        </w:rPr>
        <w:t>施工过程中不按国家相关施工规范组织施工；</w:t>
      </w:r>
    </w:p>
    <w:p w14:paraId="1C551EBB">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w:t>
      </w:r>
      <w:r>
        <w:rPr>
          <w:rFonts w:hint="eastAsia" w:eastAsia="仿宋_GB2312"/>
          <w:color w:val="000000"/>
          <w:kern w:val="0"/>
          <w:sz w:val="30"/>
          <w:szCs w:val="32"/>
        </w:rPr>
        <w:t>4</w:t>
      </w:r>
      <w:r>
        <w:rPr>
          <w:rFonts w:eastAsia="仿宋_GB2312"/>
          <w:color w:val="000000"/>
          <w:kern w:val="0"/>
          <w:sz w:val="30"/>
          <w:szCs w:val="32"/>
        </w:rPr>
        <w:t>）</w:t>
      </w:r>
      <w:r>
        <w:rPr>
          <w:rFonts w:hint="eastAsia" w:eastAsia="仿宋_GB2312"/>
          <w:color w:val="000000"/>
          <w:kern w:val="0"/>
          <w:sz w:val="30"/>
          <w:szCs w:val="32"/>
        </w:rPr>
        <w:t>重要部位不按施工程序自检、报验和发包人签字审核，擅自施工；</w:t>
      </w:r>
    </w:p>
    <w:p w14:paraId="25B8CC7C">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w:t>
      </w:r>
      <w:r>
        <w:rPr>
          <w:rFonts w:hint="eastAsia" w:eastAsia="仿宋_GB2312"/>
          <w:color w:val="000000"/>
          <w:kern w:val="0"/>
          <w:sz w:val="30"/>
          <w:szCs w:val="32"/>
        </w:rPr>
        <w:t>5</w:t>
      </w:r>
      <w:r>
        <w:rPr>
          <w:rFonts w:eastAsia="仿宋_GB2312"/>
          <w:color w:val="000000"/>
          <w:kern w:val="0"/>
          <w:sz w:val="30"/>
          <w:szCs w:val="32"/>
        </w:rPr>
        <w:t xml:space="preserve">）未经批准，私自将已按照合同约定进入施工现场的材料或设备撤离施工现场的 </w:t>
      </w:r>
      <w:r>
        <w:rPr>
          <w:rFonts w:hint="eastAsia" w:eastAsia="仿宋_GB2312"/>
          <w:color w:val="000000"/>
          <w:kern w:val="0"/>
          <w:sz w:val="30"/>
          <w:szCs w:val="32"/>
        </w:rPr>
        <w:t>；</w:t>
      </w:r>
    </w:p>
    <w:p w14:paraId="71C00EAB">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w:t>
      </w:r>
      <w:r>
        <w:rPr>
          <w:rFonts w:hint="eastAsia" w:eastAsia="仿宋_GB2312"/>
          <w:color w:val="000000"/>
          <w:kern w:val="0"/>
          <w:sz w:val="30"/>
          <w:szCs w:val="32"/>
        </w:rPr>
        <w:t>6</w:t>
      </w:r>
      <w:r>
        <w:rPr>
          <w:rFonts w:eastAsia="仿宋_GB2312"/>
          <w:color w:val="000000"/>
          <w:kern w:val="0"/>
          <w:sz w:val="30"/>
          <w:szCs w:val="32"/>
        </w:rPr>
        <w:t>）承包人在缺陷责任期及保修期内，未能在合理期限对工程缺陷进行修复，或拒绝按发包人要求进行修复的</w:t>
      </w:r>
      <w:r>
        <w:rPr>
          <w:rFonts w:hint="eastAsia" w:eastAsia="仿宋_GB2312"/>
          <w:color w:val="000000"/>
          <w:kern w:val="0"/>
          <w:sz w:val="30"/>
          <w:szCs w:val="32"/>
        </w:rPr>
        <w:t xml:space="preserve"> 。</w:t>
      </w:r>
      <w:r>
        <w:rPr>
          <w:rFonts w:eastAsia="仿宋_GB2312"/>
          <w:color w:val="000000"/>
          <w:kern w:val="0"/>
          <w:sz w:val="30"/>
          <w:szCs w:val="32"/>
        </w:rPr>
        <w:t xml:space="preserve">  </w:t>
      </w:r>
    </w:p>
    <w:p w14:paraId="30921B1A">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 xml:space="preserve"> </w:t>
      </w:r>
      <w:r>
        <w:rPr>
          <w:rFonts w:hint="eastAsia" w:eastAsia="仿宋_GB2312"/>
          <w:color w:val="000000"/>
          <w:kern w:val="0"/>
          <w:sz w:val="30"/>
          <w:szCs w:val="32"/>
        </w:rPr>
        <w:t xml:space="preserve">7、承包人提交的工程竣工资料必须字迹清楚、资料完全、图物相符、数据准确、竣工图纸完整，如不符合要求则应承担违约金三千元/处；隐蔽工程验收单缺失则应承担违约金五千元/项。 </w:t>
      </w:r>
    </w:p>
    <w:p w14:paraId="4702ACEC">
      <w:pPr>
        <w:spacing w:line="360" w:lineRule="auto"/>
        <w:ind w:firstLine="600" w:firstLineChars="200"/>
        <w:jc w:val="left"/>
        <w:rPr>
          <w:rFonts w:eastAsia="仿宋_GB2312"/>
          <w:color w:val="000000"/>
          <w:kern w:val="0"/>
          <w:sz w:val="30"/>
          <w:szCs w:val="32"/>
        </w:rPr>
      </w:pPr>
      <w:r>
        <w:rPr>
          <w:rFonts w:hint="eastAsia" w:eastAsia="仿宋_GB2312"/>
          <w:color w:val="000000"/>
          <w:kern w:val="0"/>
          <w:sz w:val="30"/>
          <w:szCs w:val="32"/>
        </w:rPr>
        <w:t xml:space="preserve"> </w:t>
      </w:r>
      <w:r>
        <w:rPr>
          <w:rFonts w:eastAsia="仿宋_GB2312"/>
          <w:color w:val="000000"/>
          <w:kern w:val="0"/>
          <w:sz w:val="30"/>
          <w:szCs w:val="32"/>
        </w:rPr>
        <w:t>8、</w:t>
      </w:r>
      <w:r>
        <w:rPr>
          <w:rFonts w:hint="eastAsia" w:eastAsia="仿宋_GB2312"/>
          <w:color w:val="000000"/>
          <w:kern w:val="0"/>
          <w:sz w:val="30"/>
          <w:szCs w:val="32"/>
        </w:rPr>
        <w:t>发包人有权根据工程进度情况要求承包人增加施工人员和更换施工班组，若承包人未按发包人要求执行，一次性扣违约金五万元。</w:t>
      </w:r>
    </w:p>
    <w:p w14:paraId="70F883CD">
      <w:pPr>
        <w:spacing w:line="360" w:lineRule="auto"/>
        <w:ind w:firstLine="600" w:firstLineChars="200"/>
        <w:jc w:val="left"/>
        <w:rPr>
          <w:rFonts w:eastAsia="仿宋_GB2312"/>
          <w:color w:val="000000"/>
          <w:kern w:val="0"/>
          <w:sz w:val="30"/>
          <w:szCs w:val="32"/>
        </w:rPr>
      </w:pPr>
      <w:r>
        <w:rPr>
          <w:rFonts w:hint="eastAsia" w:eastAsia="仿宋_GB2312"/>
          <w:color w:val="000000"/>
          <w:kern w:val="0"/>
          <w:sz w:val="30"/>
          <w:szCs w:val="32"/>
        </w:rPr>
        <w:t xml:space="preserve"> 9、承包人逾期支付上述违约金额时，承包人应额外向发包人支付未付金额0.5‰/天的逾期违约金直至完全支付为止。发包人有权单方解除合同，不承担违约责任。  </w:t>
      </w:r>
    </w:p>
    <w:p w14:paraId="7370A59E">
      <w:pPr>
        <w:spacing w:line="360" w:lineRule="auto"/>
        <w:ind w:firstLine="600" w:firstLineChars="200"/>
        <w:jc w:val="left"/>
        <w:rPr>
          <w:rFonts w:eastAsia="仿宋_GB2312"/>
          <w:color w:val="000000"/>
          <w:kern w:val="0"/>
          <w:sz w:val="30"/>
          <w:szCs w:val="32"/>
        </w:rPr>
      </w:pPr>
      <w:r>
        <w:rPr>
          <w:rFonts w:hint="eastAsia" w:eastAsia="仿宋_GB2312"/>
          <w:color w:val="000000"/>
          <w:kern w:val="0"/>
          <w:sz w:val="30"/>
          <w:szCs w:val="32"/>
        </w:rPr>
        <w:t>10、实际施工中，如有增减工程内容的情形（包括合同范围以外的新增工作内容），发包人有权对工程内容进行增减调整，承包人必须按发包人发出的指令执行，承包人拒不履行的，发包人有权一次性扣违约金五万元，经催告后仍不执行的，发包人有权单方解除合同，不承担违约责任。</w:t>
      </w:r>
    </w:p>
    <w:p w14:paraId="658EF69E">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11、</w:t>
      </w:r>
      <w:r>
        <w:rPr>
          <w:rFonts w:hint="eastAsia" w:eastAsia="仿宋_GB2312"/>
          <w:color w:val="000000"/>
          <w:kern w:val="0"/>
          <w:sz w:val="30"/>
          <w:szCs w:val="32"/>
        </w:rPr>
        <w:t>由发包人组织的工程会议或监理组织的每周工地例会，承包人项目经理和技术负责人必须出席（经发包人批准除外），每缺席一次按500元/人.次扣除违约金。若发包人通知承包人纠正，承包人拒绝或超过48小时未纠正的，发包人有权单方解除合同，因此造成的一切损失由承包人承担。</w:t>
      </w:r>
    </w:p>
    <w:p w14:paraId="6B98B2F7">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12、</w:t>
      </w:r>
      <w:r>
        <w:rPr>
          <w:rFonts w:hint="eastAsia" w:eastAsia="仿宋_GB2312"/>
          <w:color w:val="000000"/>
          <w:kern w:val="0"/>
          <w:sz w:val="30"/>
          <w:szCs w:val="32"/>
        </w:rPr>
        <w:t>工程保修期内发现质量不合格，承包人必须在规定的期限返工并达到合同约定的质量等级，并按该不合格项目所处分项工程造价5%计算向发包人承担支付违约金的责任。</w:t>
      </w:r>
    </w:p>
    <w:p w14:paraId="05BF32C2">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13、</w:t>
      </w:r>
      <w:r>
        <w:rPr>
          <w:rFonts w:hint="eastAsia" w:eastAsia="仿宋_GB2312"/>
          <w:color w:val="000000"/>
          <w:kern w:val="0"/>
          <w:sz w:val="30"/>
          <w:szCs w:val="32"/>
        </w:rPr>
        <w:t>竣工结算办理时如承包人送交的正式结算资料（包含但不限于竣工图、签证单等资料）经发包人查实与工程实际不符，竣工资料应予修改，并且承包人须向发包人支付双倍差额的违约金。</w:t>
      </w:r>
    </w:p>
    <w:p w14:paraId="24BEEABD">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14、</w:t>
      </w:r>
      <w:r>
        <w:rPr>
          <w:rFonts w:hint="eastAsia" w:eastAsia="仿宋_GB2312"/>
          <w:color w:val="000000"/>
          <w:kern w:val="0"/>
          <w:sz w:val="30"/>
          <w:szCs w:val="32"/>
        </w:rPr>
        <w:t>在施工过程中如出现各类资料、测量工器具（含设备）等弄虚作假的情况，处以违约金5万元/次，发包人有权单方解除合同，因此造成的相应损失由承包人承担。</w:t>
      </w:r>
    </w:p>
    <w:p w14:paraId="5F5F38E7">
      <w:pPr>
        <w:pStyle w:val="8"/>
        <w:ind w:left="63" w:right="63"/>
        <w:jc w:val="left"/>
      </w:pPr>
      <w:r>
        <w:rPr>
          <w:rFonts w:hint="eastAsia"/>
        </w:rPr>
        <w:t xml:space="preserve"> </w:t>
      </w:r>
      <w:r>
        <w:t xml:space="preserve">     </w:t>
      </w:r>
      <w:r>
        <w:rPr>
          <w:rFonts w:eastAsia="仿宋_GB2312"/>
          <w:color w:val="000000"/>
          <w:sz w:val="30"/>
          <w:szCs w:val="32"/>
        </w:rPr>
        <w:t>15、</w:t>
      </w:r>
      <w:r>
        <w:rPr>
          <w:rFonts w:hint="eastAsia" w:eastAsia="仿宋_GB2312"/>
          <w:color w:val="000000"/>
          <w:sz w:val="30"/>
          <w:szCs w:val="32"/>
        </w:rPr>
        <w:t>每期</w:t>
      </w:r>
      <w:r>
        <w:rPr>
          <w:rFonts w:eastAsia="仿宋_GB2312"/>
          <w:color w:val="000000"/>
          <w:sz w:val="30"/>
          <w:szCs w:val="32"/>
        </w:rPr>
        <w:t>施工单位</w:t>
      </w:r>
      <w:r>
        <w:rPr>
          <w:rFonts w:hint="eastAsia" w:eastAsia="仿宋_GB2312"/>
          <w:color w:val="000000"/>
          <w:sz w:val="30"/>
          <w:szCs w:val="32"/>
        </w:rPr>
        <w:t>报送</w:t>
      </w:r>
      <w:r>
        <w:rPr>
          <w:rFonts w:eastAsia="仿宋_GB2312"/>
          <w:color w:val="000000"/>
          <w:sz w:val="30"/>
          <w:szCs w:val="32"/>
        </w:rPr>
        <w:t>的</w:t>
      </w:r>
      <w:r>
        <w:rPr>
          <w:rFonts w:hint="eastAsia" w:eastAsia="仿宋_GB2312"/>
          <w:color w:val="000000"/>
          <w:sz w:val="30"/>
          <w:szCs w:val="32"/>
        </w:rPr>
        <w:t>施工进度报审金额超过施工进度审核金额的</w:t>
      </w:r>
      <w:r>
        <w:rPr>
          <w:rFonts w:eastAsia="仿宋_GB2312"/>
          <w:color w:val="000000"/>
          <w:sz w:val="30"/>
          <w:szCs w:val="32"/>
        </w:rPr>
        <w:t>20%时，每次扣除</w:t>
      </w:r>
      <w:r>
        <w:rPr>
          <w:rFonts w:eastAsia="仿宋_GB2312"/>
          <w:color w:val="000000"/>
          <w:sz w:val="30"/>
          <w:szCs w:val="32"/>
          <w:u w:val="single"/>
        </w:rPr>
        <w:t xml:space="preserve">   20000   </w:t>
      </w:r>
      <w:r>
        <w:rPr>
          <w:rFonts w:hint="eastAsia" w:eastAsia="仿宋_GB2312"/>
          <w:color w:val="000000"/>
          <w:sz w:val="30"/>
          <w:szCs w:val="32"/>
        </w:rPr>
        <w:t>元违约金。</w:t>
      </w:r>
    </w:p>
    <w:p w14:paraId="0CF52306">
      <w:pPr>
        <w:spacing w:line="360" w:lineRule="auto"/>
        <w:ind w:firstLine="600" w:firstLineChars="200"/>
        <w:jc w:val="left"/>
        <w:rPr>
          <w:rFonts w:eastAsia="仿宋_GB2312"/>
          <w:color w:val="000000"/>
          <w:sz w:val="30"/>
          <w:szCs w:val="32"/>
        </w:rPr>
      </w:pPr>
      <w:r>
        <w:rPr>
          <w:rFonts w:eastAsia="仿宋_GB2312"/>
          <w:color w:val="000000"/>
          <w:sz w:val="30"/>
          <w:szCs w:val="32"/>
        </w:rPr>
        <w:t>16.2.3 因承包人违约解除合同</w:t>
      </w:r>
    </w:p>
    <w:p w14:paraId="4EBB404D">
      <w:pPr>
        <w:spacing w:line="360" w:lineRule="auto"/>
        <w:ind w:firstLine="600" w:firstLineChars="200"/>
        <w:jc w:val="left"/>
        <w:rPr>
          <w:rFonts w:eastAsia="仿宋_GB2312"/>
          <w:color w:val="000000"/>
          <w:kern w:val="0"/>
          <w:sz w:val="30"/>
          <w:szCs w:val="32"/>
          <w:u w:val="single"/>
        </w:rPr>
      </w:pPr>
      <w:r>
        <w:rPr>
          <w:rFonts w:eastAsia="仿宋_GB2312"/>
          <w:color w:val="000000"/>
          <w:kern w:val="0"/>
          <w:sz w:val="30"/>
          <w:szCs w:val="32"/>
        </w:rPr>
        <w:t>关于承包人违约解除合同的特别约定：</w:t>
      </w:r>
    </w:p>
    <w:p w14:paraId="10EF64C7">
      <w:pPr>
        <w:spacing w:line="360" w:lineRule="auto"/>
        <w:ind w:firstLine="600" w:firstLineChars="200"/>
        <w:jc w:val="left"/>
        <w:rPr>
          <w:rFonts w:eastAsia="仿宋_GB2312"/>
          <w:color w:val="000000"/>
          <w:kern w:val="0"/>
          <w:sz w:val="30"/>
          <w:szCs w:val="32"/>
          <w:u w:val="single"/>
        </w:rPr>
      </w:pPr>
      <w:r>
        <w:rPr>
          <w:rFonts w:hint="eastAsia" w:eastAsia="仿宋_GB2312"/>
          <w:color w:val="000000"/>
          <w:kern w:val="0"/>
          <w:sz w:val="30"/>
          <w:szCs w:val="32"/>
          <w:u w:val="single"/>
        </w:rPr>
        <w:t>1、承包人接到通知后，必须在2天内停止工程施工，并在10天内将机械、材料、物件、人员从施工现场撤离。停工3天内，发包人将会同承包人对已完成工程量进行清点：只承认已完工且符合质量验收标准的部分工程，对于已订货而未到现场或在现场未使用的材料、设备等不予承认，由承包人自行处理；对于承包人已开工但经检验不合格的工程，承包人必须在限期内拆除，并清运出工地，由此带来的相应损失由承包人承担；</w:t>
      </w:r>
    </w:p>
    <w:p w14:paraId="16167216">
      <w:pPr>
        <w:spacing w:line="360" w:lineRule="auto"/>
        <w:ind w:firstLine="600" w:firstLineChars="200"/>
        <w:jc w:val="left"/>
        <w:rPr>
          <w:rFonts w:eastAsia="仿宋_GB2312"/>
          <w:color w:val="000000"/>
          <w:kern w:val="0"/>
          <w:sz w:val="30"/>
          <w:szCs w:val="32"/>
          <w:u w:val="single"/>
        </w:rPr>
      </w:pPr>
      <w:r>
        <w:rPr>
          <w:rFonts w:hint="eastAsia" w:eastAsia="仿宋_GB2312"/>
          <w:color w:val="000000"/>
          <w:kern w:val="0"/>
          <w:sz w:val="30"/>
          <w:szCs w:val="32"/>
          <w:u w:val="single"/>
        </w:rPr>
        <w:t>2、承包人未在规定期限内离场的，发包人有权将其留在现场的材料、设备和其他物件临时转运到其它堆放处，由此产生的搬运、保管费用应由承包人负责，在此过程中出现的任何非发包人主观故意引起的损坏、遗失由承包人自行负责，处理费用由承包人承担。由于合同解除引致发包人工期延误及其它方面的损失，由承包人负责赔偿；</w:t>
      </w:r>
    </w:p>
    <w:p w14:paraId="695EC62E">
      <w:pPr>
        <w:spacing w:line="360" w:lineRule="auto"/>
        <w:ind w:firstLine="600" w:firstLineChars="200"/>
        <w:jc w:val="left"/>
        <w:rPr>
          <w:rFonts w:eastAsia="仿宋_GB2312"/>
          <w:color w:val="000000"/>
          <w:kern w:val="0"/>
          <w:sz w:val="30"/>
          <w:szCs w:val="32"/>
          <w:u w:val="single"/>
        </w:rPr>
      </w:pPr>
      <w:r>
        <w:rPr>
          <w:rFonts w:hint="eastAsia" w:eastAsia="仿宋_GB2312"/>
          <w:color w:val="000000"/>
          <w:kern w:val="0"/>
          <w:sz w:val="30"/>
          <w:szCs w:val="32"/>
          <w:u w:val="single"/>
        </w:rPr>
        <w:t>3、承包人在部分解除合同或解除合同后，还必须在规定期限内作好已施工技术资料和实物的交底、移交工作，并配合发包人重新确定施工单位。承包人因未履行上述义务而给发包人带来工期延误和其它损失的，应赔偿发包人的实际损失；</w:t>
      </w:r>
    </w:p>
    <w:p w14:paraId="1A69645A">
      <w:pPr>
        <w:spacing w:line="360" w:lineRule="auto"/>
        <w:ind w:firstLine="600" w:firstLineChars="200"/>
        <w:jc w:val="left"/>
        <w:rPr>
          <w:rFonts w:eastAsia="仿宋_GB2312"/>
          <w:color w:val="000000"/>
          <w:kern w:val="0"/>
          <w:sz w:val="30"/>
          <w:szCs w:val="32"/>
          <w:u w:val="single"/>
        </w:rPr>
      </w:pPr>
      <w:r>
        <w:rPr>
          <w:rFonts w:hint="eastAsia" w:eastAsia="仿宋_GB2312"/>
          <w:color w:val="000000"/>
          <w:kern w:val="0"/>
          <w:sz w:val="30"/>
          <w:szCs w:val="32"/>
          <w:u w:val="single"/>
        </w:rPr>
        <w:t>4、合同解除后，不影响双方在合同中约定的结算和清理尾款的效力，亦不能免除承包人对已完工项目的保修责任</w:t>
      </w:r>
      <w:r>
        <w:rPr>
          <w:rFonts w:eastAsia="仿宋_GB2312"/>
          <w:color w:val="000000"/>
          <w:kern w:val="0"/>
          <w:sz w:val="30"/>
          <w:szCs w:val="32"/>
          <w:u w:val="single"/>
        </w:rPr>
        <w:t xml:space="preserve"> </w:t>
      </w:r>
      <w:r>
        <w:rPr>
          <w:rFonts w:eastAsia="仿宋_GB2312"/>
          <w:color w:val="000000"/>
          <w:kern w:val="0"/>
          <w:sz w:val="30"/>
          <w:szCs w:val="32"/>
        </w:rPr>
        <w:t>。</w:t>
      </w:r>
    </w:p>
    <w:p w14:paraId="5020188E">
      <w:pPr>
        <w:spacing w:before="120" w:after="120" w:line="360" w:lineRule="auto"/>
        <w:ind w:firstLine="600" w:firstLineChars="200"/>
        <w:rPr>
          <w:rFonts w:eastAsia="仿宋_GB2312"/>
          <w:color w:val="000000"/>
          <w:kern w:val="0"/>
          <w:sz w:val="30"/>
          <w:szCs w:val="32"/>
        </w:rPr>
      </w:pPr>
      <w:r>
        <w:rPr>
          <w:rFonts w:eastAsia="仿宋_GB2312"/>
          <w:color w:val="000000"/>
          <w:kern w:val="0"/>
          <w:sz w:val="30"/>
          <w:szCs w:val="32"/>
        </w:rPr>
        <w:t>发包人</w:t>
      </w:r>
      <w:r>
        <w:rPr>
          <w:rFonts w:hint="eastAsia" w:eastAsia="仿宋_GB2312"/>
          <w:color w:val="000000"/>
          <w:kern w:val="0"/>
          <w:sz w:val="30"/>
          <w:szCs w:val="32"/>
        </w:rPr>
        <w:t>继续</w:t>
      </w:r>
      <w:r>
        <w:rPr>
          <w:rFonts w:eastAsia="仿宋_GB2312"/>
          <w:color w:val="000000"/>
          <w:kern w:val="0"/>
          <w:sz w:val="30"/>
          <w:szCs w:val="32"/>
        </w:rPr>
        <w:t>使用承包人在施工现场的材料、设备、临时工程、承包人文件和由承包人或以其名义编制的其他文件</w:t>
      </w:r>
      <w:r>
        <w:rPr>
          <w:rFonts w:hint="eastAsia" w:eastAsia="仿宋_GB2312"/>
          <w:color w:val="000000"/>
          <w:kern w:val="0"/>
          <w:sz w:val="30"/>
          <w:szCs w:val="32"/>
        </w:rPr>
        <w:t>的费用承担方式</w:t>
      </w:r>
      <w:r>
        <w:rPr>
          <w:rFonts w:eastAsia="仿宋_GB2312"/>
          <w:color w:val="000000"/>
          <w:kern w:val="0"/>
          <w:sz w:val="30"/>
          <w:szCs w:val="32"/>
        </w:rPr>
        <w:t>：</w:t>
      </w:r>
      <w:r>
        <w:rPr>
          <w:rFonts w:hint="eastAsia" w:eastAsia="仿宋_GB2312"/>
          <w:color w:val="000000"/>
          <w:kern w:val="0"/>
          <w:sz w:val="30"/>
          <w:szCs w:val="32"/>
          <w:u w:val="single"/>
        </w:rPr>
        <w:t>发包人继续使用施工现场的材料、设备、临时工程</w:t>
      </w:r>
      <w:r>
        <w:rPr>
          <w:rFonts w:eastAsia="仿宋_GB2312"/>
          <w:color w:val="000000"/>
          <w:kern w:val="0"/>
          <w:sz w:val="30"/>
          <w:szCs w:val="32"/>
          <w:u w:val="single"/>
        </w:rPr>
        <w:t>按</w:t>
      </w:r>
      <w:r>
        <w:rPr>
          <w:rFonts w:hint="eastAsia" w:eastAsia="仿宋_GB2312"/>
          <w:color w:val="000000"/>
          <w:kern w:val="0"/>
          <w:sz w:val="30"/>
          <w:szCs w:val="32"/>
          <w:u w:val="single"/>
        </w:rPr>
        <w:t>通用合同条款</w:t>
      </w:r>
      <w:r>
        <w:rPr>
          <w:rFonts w:eastAsia="仿宋_GB2312"/>
          <w:color w:val="000000"/>
          <w:kern w:val="0"/>
          <w:sz w:val="30"/>
          <w:szCs w:val="32"/>
          <w:u w:val="single"/>
        </w:rPr>
        <w:t>第4.4款</w:t>
      </w:r>
      <w:r>
        <w:rPr>
          <w:rFonts w:hint="eastAsia" w:eastAsia="仿宋_GB2312"/>
          <w:color w:val="000000"/>
          <w:kern w:val="0"/>
          <w:sz w:val="30"/>
          <w:szCs w:val="32"/>
          <w:u w:val="single"/>
        </w:rPr>
        <w:t>〔</w:t>
      </w:r>
      <w:r>
        <w:rPr>
          <w:rFonts w:eastAsia="仿宋_GB2312"/>
          <w:color w:val="000000"/>
          <w:kern w:val="0"/>
          <w:sz w:val="30"/>
          <w:szCs w:val="32"/>
          <w:u w:val="single"/>
        </w:rPr>
        <w:t>商定或确定</w:t>
      </w:r>
      <w:r>
        <w:rPr>
          <w:rFonts w:hint="eastAsia" w:eastAsia="仿宋_GB2312"/>
          <w:color w:val="000000"/>
          <w:kern w:val="0"/>
          <w:sz w:val="30"/>
          <w:szCs w:val="32"/>
          <w:u w:val="single"/>
        </w:rPr>
        <w:t>〕</w:t>
      </w:r>
      <w:r>
        <w:rPr>
          <w:rFonts w:eastAsia="仿宋_GB2312"/>
          <w:color w:val="000000"/>
          <w:kern w:val="0"/>
          <w:sz w:val="30"/>
          <w:szCs w:val="32"/>
          <w:u w:val="single"/>
        </w:rPr>
        <w:t>商定或确定</w:t>
      </w:r>
      <w:r>
        <w:rPr>
          <w:rFonts w:hint="eastAsia" w:eastAsia="仿宋_GB2312"/>
          <w:color w:val="000000"/>
          <w:kern w:val="0"/>
          <w:sz w:val="30"/>
          <w:szCs w:val="32"/>
          <w:u w:val="single"/>
        </w:rPr>
        <w:t>；承包人文件和由承包人或以其名义编制的其他文件无偿提供给发包人使用</w:t>
      </w:r>
      <w:r>
        <w:rPr>
          <w:rFonts w:eastAsia="仿宋_GB2312"/>
          <w:color w:val="000000"/>
          <w:kern w:val="0"/>
          <w:sz w:val="30"/>
          <w:szCs w:val="32"/>
          <w:u w:val="single"/>
        </w:rPr>
        <w:t xml:space="preserve"> </w:t>
      </w:r>
      <w:r>
        <w:rPr>
          <w:rFonts w:hint="eastAsia" w:eastAsia="仿宋_GB2312"/>
          <w:color w:val="000000"/>
          <w:kern w:val="0"/>
          <w:sz w:val="30"/>
          <w:szCs w:val="32"/>
        </w:rPr>
        <w:t>。</w:t>
      </w:r>
    </w:p>
    <w:p w14:paraId="322E153A">
      <w:pPr>
        <w:spacing w:line="360" w:lineRule="auto"/>
        <w:ind w:firstLine="600" w:firstLineChars="200"/>
        <w:jc w:val="left"/>
        <w:rPr>
          <w:rFonts w:eastAsia="仿宋_GB2312"/>
          <w:color w:val="000000"/>
          <w:kern w:val="0"/>
          <w:sz w:val="30"/>
          <w:szCs w:val="32"/>
        </w:rPr>
      </w:pPr>
      <w:r>
        <w:rPr>
          <w:rFonts w:eastAsia="仿宋_GB2312"/>
          <w:color w:val="000000"/>
          <w:kern w:val="0"/>
          <w:sz w:val="30"/>
          <w:szCs w:val="32"/>
        </w:rPr>
        <w:t>16.4</w:t>
      </w:r>
      <w:r>
        <w:rPr>
          <w:rFonts w:hint="eastAsia" w:eastAsia="仿宋_GB2312"/>
          <w:color w:val="000000"/>
          <w:kern w:val="0"/>
          <w:sz w:val="30"/>
          <w:szCs w:val="32"/>
        </w:rPr>
        <w:t>承包人应在发包人发出支付违约金通知之日起7日内支付违约金，超出7日则视为逾期支付违约金。</w:t>
      </w:r>
    </w:p>
    <w:p w14:paraId="75B3C4C2">
      <w:pPr>
        <w:spacing w:line="360" w:lineRule="auto"/>
        <w:ind w:firstLine="600" w:firstLineChars="200"/>
        <w:jc w:val="left"/>
        <w:rPr>
          <w:rFonts w:eastAsia="仿宋_GB2312"/>
          <w:color w:val="000000"/>
          <w:kern w:val="0"/>
          <w:sz w:val="30"/>
          <w:szCs w:val="32"/>
        </w:rPr>
      </w:pPr>
      <w:r>
        <w:rPr>
          <w:rFonts w:hint="eastAsia" w:eastAsia="仿宋_GB2312"/>
          <w:color w:val="000000"/>
          <w:kern w:val="0"/>
          <w:sz w:val="30"/>
          <w:szCs w:val="32"/>
        </w:rPr>
        <w:t>16.5本合同约定的违约金条款均可同时适用，当约定的违约金低于发包人实际损失（包括直接损失、间接损失及维权成本），发包人有权要求承包人按实际损失赔偿。实际损失包括但不限于可得利益损失、替代交易价差、停产损失、维权律师费及差旅费。发包人有权直接从应付款项或保证金中扣除违约金、赔偿金，无需承包人同意。</w:t>
      </w:r>
    </w:p>
    <w:p w14:paraId="6AE7F82A">
      <w:pPr>
        <w:pStyle w:val="5"/>
        <w:spacing w:before="120" w:after="120" w:line="360" w:lineRule="auto"/>
        <w:rPr>
          <w:rFonts w:ascii="Times New Roman" w:hAnsi="Times New Roman" w:eastAsia="黑体"/>
          <w:b w:val="0"/>
          <w:color w:val="000000"/>
          <w:sz w:val="32"/>
          <w:szCs w:val="32"/>
        </w:rPr>
      </w:pPr>
      <w:bookmarkStart w:id="499" w:name="_Toc351203649"/>
      <w:r>
        <w:rPr>
          <w:rFonts w:ascii="Times New Roman" w:hAnsi="Times New Roman" w:eastAsia="黑体"/>
          <w:b w:val="0"/>
          <w:color w:val="000000"/>
          <w:sz w:val="32"/>
          <w:szCs w:val="32"/>
        </w:rPr>
        <w:t>17. 不可抗力</w:t>
      </w:r>
      <w:bookmarkEnd w:id="499"/>
      <w:r>
        <w:rPr>
          <w:rFonts w:ascii="Times New Roman" w:hAnsi="Times New Roman" w:eastAsia="黑体"/>
          <w:b w:val="0"/>
          <w:color w:val="000000"/>
          <w:sz w:val="32"/>
          <w:szCs w:val="32"/>
        </w:rPr>
        <w:t xml:space="preserve"> </w:t>
      </w:r>
      <w:bookmarkEnd w:id="497"/>
    </w:p>
    <w:p w14:paraId="5EFC1F3A">
      <w:pPr>
        <w:spacing w:after="120" w:line="360" w:lineRule="auto"/>
        <w:ind w:firstLine="600" w:firstLineChars="200"/>
        <w:rPr>
          <w:rFonts w:eastAsia="黑体"/>
          <w:color w:val="000000"/>
          <w:sz w:val="30"/>
          <w:szCs w:val="32"/>
        </w:rPr>
      </w:pPr>
      <w:r>
        <w:rPr>
          <w:rFonts w:eastAsia="黑体"/>
          <w:color w:val="000000"/>
          <w:sz w:val="30"/>
          <w:szCs w:val="32"/>
        </w:rPr>
        <w:t>17.1 不可抗力的确认</w:t>
      </w:r>
    </w:p>
    <w:p w14:paraId="3D62F34B">
      <w:pPr>
        <w:spacing w:line="360" w:lineRule="auto"/>
        <w:ind w:firstLine="600" w:firstLineChars="200"/>
        <w:jc w:val="left"/>
        <w:rPr>
          <w:rFonts w:eastAsia="仿宋_GB2312"/>
          <w:color w:val="000000"/>
          <w:kern w:val="0"/>
          <w:sz w:val="30"/>
          <w:szCs w:val="32"/>
        </w:rPr>
      </w:pPr>
      <w:r>
        <w:rPr>
          <w:rFonts w:eastAsia="仿宋_GB2312"/>
          <w:color w:val="000000"/>
          <w:sz w:val="30"/>
          <w:szCs w:val="32"/>
        </w:rPr>
        <w:t xml:space="preserve">除通用合同条款约定的不可抗力事件之外，视为不可抗力的其他情形： </w:t>
      </w:r>
      <w:r>
        <w:rPr>
          <w:rFonts w:eastAsia="仿宋_GB2312"/>
          <w:color w:val="000000"/>
          <w:kern w:val="0"/>
          <w:sz w:val="30"/>
          <w:szCs w:val="32"/>
          <w:u w:val="single"/>
        </w:rPr>
        <w:t xml:space="preserve"> </w:t>
      </w:r>
      <w:r>
        <w:rPr>
          <w:rFonts w:hint="eastAsia" w:eastAsia="仿宋_GB2312"/>
          <w:color w:val="000000"/>
          <w:kern w:val="0"/>
          <w:sz w:val="30"/>
          <w:szCs w:val="32"/>
          <w:u w:val="single"/>
        </w:rPr>
        <w:t xml:space="preserve">空中飞行物坠落或非发包人、承包人责任造成的爆炸、火灾以及百年一遇以上等级的风、雨、雪、洪水、高温自然灾害 </w:t>
      </w:r>
      <w:r>
        <w:rPr>
          <w:rFonts w:eastAsia="仿宋_GB2312"/>
          <w:color w:val="000000"/>
          <w:kern w:val="0"/>
          <w:sz w:val="30"/>
          <w:szCs w:val="32"/>
          <w:u w:val="single"/>
        </w:rPr>
        <w:t xml:space="preserve"> </w:t>
      </w:r>
      <w:r>
        <w:rPr>
          <w:rFonts w:eastAsia="仿宋_GB2312"/>
          <w:color w:val="000000"/>
          <w:kern w:val="0"/>
          <w:sz w:val="30"/>
          <w:szCs w:val="32"/>
        </w:rPr>
        <w:t>。</w:t>
      </w:r>
    </w:p>
    <w:p w14:paraId="4AC60F60">
      <w:pPr>
        <w:spacing w:line="360" w:lineRule="auto"/>
        <w:ind w:firstLine="600" w:firstLineChars="200"/>
        <w:jc w:val="left"/>
        <w:rPr>
          <w:rFonts w:eastAsia="黑体"/>
          <w:color w:val="000000"/>
          <w:sz w:val="30"/>
          <w:szCs w:val="32"/>
        </w:rPr>
      </w:pPr>
      <w:r>
        <w:rPr>
          <w:rFonts w:eastAsia="仿宋_GB2312"/>
          <w:color w:val="000000"/>
          <w:kern w:val="0"/>
          <w:sz w:val="30"/>
          <w:szCs w:val="32"/>
        </w:rPr>
        <w:t>17.3</w:t>
      </w:r>
      <w:r>
        <w:rPr>
          <w:rFonts w:eastAsia="黑体"/>
          <w:color w:val="000000"/>
          <w:sz w:val="30"/>
          <w:szCs w:val="32"/>
        </w:rPr>
        <w:t>不可抗力后果的承担</w:t>
      </w:r>
    </w:p>
    <w:p w14:paraId="6AEF1386">
      <w:pPr>
        <w:spacing w:line="360" w:lineRule="auto"/>
        <w:ind w:firstLine="600" w:firstLineChars="200"/>
        <w:jc w:val="left"/>
        <w:rPr>
          <w:rFonts w:eastAsia="仿宋_GB2312"/>
          <w:color w:val="000000"/>
          <w:sz w:val="30"/>
          <w:szCs w:val="32"/>
        </w:rPr>
      </w:pPr>
      <w:r>
        <w:rPr>
          <w:rFonts w:hint="eastAsia" w:eastAsia="仿宋_GB2312"/>
          <w:color w:val="000000"/>
          <w:kern w:val="0"/>
          <w:sz w:val="30"/>
          <w:szCs w:val="32"/>
        </w:rPr>
        <w:t>17.3.2</w:t>
      </w:r>
      <w:r>
        <w:rPr>
          <w:rFonts w:eastAsia="仿宋_GB2312"/>
          <w:color w:val="000000"/>
          <w:sz w:val="30"/>
          <w:szCs w:val="32"/>
        </w:rPr>
        <w:t>不可抗力导致的人员伤亡、财产损失、费用增加和（或）工期延误等后果，由合同当事人按以下原则承担：</w:t>
      </w:r>
    </w:p>
    <w:p w14:paraId="466ED53E">
      <w:pPr>
        <w:spacing w:line="360" w:lineRule="auto"/>
        <w:ind w:firstLine="600" w:firstLineChars="200"/>
        <w:jc w:val="left"/>
        <w:rPr>
          <w:rFonts w:eastAsia="仿宋_GB2312"/>
          <w:color w:val="000000"/>
          <w:sz w:val="30"/>
          <w:szCs w:val="32"/>
        </w:rPr>
      </w:pPr>
      <w:r>
        <w:rPr>
          <w:rFonts w:eastAsia="仿宋_GB2312"/>
          <w:color w:val="000000"/>
          <w:kern w:val="0"/>
          <w:sz w:val="30"/>
          <w:szCs w:val="32"/>
        </w:rPr>
        <w:t>（4</w:t>
      </w:r>
      <w:r>
        <w:rPr>
          <w:rFonts w:eastAsia="仿宋_GB2312"/>
          <w:color w:val="000000"/>
          <w:sz w:val="30"/>
          <w:szCs w:val="32"/>
        </w:rPr>
        <w:t>）因不可抗力影响承包人履行合同约定的义务，由此导致承包人停工的费用损失由承包人</w:t>
      </w:r>
      <w:r>
        <w:rPr>
          <w:rFonts w:hint="eastAsia" w:eastAsia="仿宋_GB2312"/>
          <w:color w:val="000000"/>
          <w:sz w:val="30"/>
          <w:szCs w:val="32"/>
        </w:rPr>
        <w:t>承担</w:t>
      </w:r>
      <w:r>
        <w:rPr>
          <w:rFonts w:eastAsia="仿宋_GB2312"/>
          <w:color w:val="000000"/>
          <w:sz w:val="30"/>
          <w:szCs w:val="32"/>
        </w:rPr>
        <w:t>，停工期间必须支付的工人工资由</w:t>
      </w:r>
      <w:r>
        <w:rPr>
          <w:rFonts w:hint="eastAsia" w:eastAsia="仿宋_GB2312"/>
          <w:color w:val="000000"/>
          <w:sz w:val="30"/>
          <w:szCs w:val="32"/>
        </w:rPr>
        <w:t>承包</w:t>
      </w:r>
      <w:r>
        <w:rPr>
          <w:rFonts w:eastAsia="仿宋_GB2312"/>
          <w:color w:val="000000"/>
          <w:sz w:val="30"/>
          <w:szCs w:val="32"/>
        </w:rPr>
        <w:t>人承担。</w:t>
      </w:r>
    </w:p>
    <w:p w14:paraId="4E4E7C1C">
      <w:pPr>
        <w:spacing w:after="120" w:line="360" w:lineRule="auto"/>
        <w:ind w:firstLine="600" w:firstLineChars="200"/>
        <w:outlineLvl w:val="0"/>
        <w:rPr>
          <w:rFonts w:eastAsia="黑体"/>
          <w:color w:val="000000"/>
          <w:sz w:val="30"/>
          <w:szCs w:val="32"/>
        </w:rPr>
      </w:pPr>
      <w:r>
        <w:rPr>
          <w:rFonts w:eastAsia="黑体"/>
          <w:color w:val="000000"/>
          <w:sz w:val="30"/>
          <w:szCs w:val="32"/>
        </w:rPr>
        <w:t>17.4 因不可抗力解除合同</w:t>
      </w:r>
    </w:p>
    <w:p w14:paraId="61F7B431">
      <w:pPr>
        <w:spacing w:line="360" w:lineRule="auto"/>
        <w:ind w:firstLine="600" w:firstLineChars="200"/>
        <w:jc w:val="left"/>
        <w:rPr>
          <w:rFonts w:eastAsia="仿宋_GB2312"/>
          <w:color w:val="000000"/>
          <w:sz w:val="30"/>
          <w:szCs w:val="32"/>
        </w:rPr>
      </w:pPr>
      <w:r>
        <w:rPr>
          <w:rFonts w:eastAsia="仿宋_GB2312"/>
          <w:color w:val="000000"/>
          <w:sz w:val="30"/>
          <w:szCs w:val="32"/>
        </w:rPr>
        <w:t>合同解除后，发包人应在商定或确定发包人应支付款项后</w:t>
      </w:r>
      <w:r>
        <w:rPr>
          <w:rFonts w:eastAsia="仿宋_GB2312"/>
          <w:color w:val="000000"/>
          <w:sz w:val="30"/>
          <w:szCs w:val="32"/>
          <w:u w:val="single"/>
        </w:rPr>
        <w:t xml:space="preserve"> 28 </w:t>
      </w:r>
      <w:r>
        <w:rPr>
          <w:rFonts w:eastAsia="仿宋_GB2312"/>
          <w:color w:val="000000"/>
          <w:sz w:val="30"/>
          <w:szCs w:val="32"/>
        </w:rPr>
        <w:t>天内完成款项的支付。</w:t>
      </w:r>
    </w:p>
    <w:p w14:paraId="57CFA106">
      <w:pPr>
        <w:spacing w:line="360" w:lineRule="auto"/>
        <w:ind w:firstLine="600" w:firstLineChars="200"/>
        <w:jc w:val="left"/>
        <w:rPr>
          <w:rFonts w:eastAsia="仿宋_GB2312"/>
          <w:color w:val="000000"/>
          <w:sz w:val="30"/>
          <w:szCs w:val="32"/>
        </w:rPr>
      </w:pPr>
      <w:r>
        <w:rPr>
          <w:rFonts w:eastAsia="仿宋_GB2312"/>
          <w:color w:val="000000"/>
          <w:sz w:val="30"/>
          <w:szCs w:val="32"/>
        </w:rPr>
        <w:t>承包人撤离施工现场以及遣散承包人人员的费用</w:t>
      </w:r>
      <w:r>
        <w:rPr>
          <w:rFonts w:hint="eastAsia" w:eastAsia="仿宋_GB2312"/>
          <w:color w:val="000000"/>
          <w:sz w:val="30"/>
          <w:szCs w:val="32"/>
        </w:rPr>
        <w:t>由承包人自行承担。</w:t>
      </w:r>
    </w:p>
    <w:p w14:paraId="00AE1CBB">
      <w:pPr>
        <w:pStyle w:val="5"/>
        <w:spacing w:before="120" w:after="120" w:line="360" w:lineRule="auto"/>
        <w:rPr>
          <w:rFonts w:ascii="Times New Roman" w:hAnsi="Times New Roman" w:eastAsia="黑体"/>
          <w:b w:val="0"/>
          <w:color w:val="000000"/>
          <w:sz w:val="32"/>
          <w:szCs w:val="32"/>
        </w:rPr>
      </w:pPr>
      <w:bookmarkStart w:id="500" w:name="_Toc351203650"/>
      <w:r>
        <w:rPr>
          <w:rFonts w:ascii="Times New Roman" w:hAnsi="Times New Roman" w:eastAsia="黑体"/>
          <w:b w:val="0"/>
          <w:color w:val="000000"/>
          <w:sz w:val="32"/>
          <w:szCs w:val="32"/>
        </w:rPr>
        <w:t>18. 保险</w:t>
      </w:r>
      <w:bookmarkEnd w:id="500"/>
    </w:p>
    <w:bookmarkEnd w:id="498"/>
    <w:p w14:paraId="339724C1">
      <w:pPr>
        <w:spacing w:after="120" w:line="360" w:lineRule="auto"/>
        <w:ind w:firstLine="600" w:firstLineChars="200"/>
        <w:rPr>
          <w:rFonts w:eastAsia="黑体"/>
          <w:color w:val="000000"/>
          <w:sz w:val="30"/>
          <w:szCs w:val="32"/>
        </w:rPr>
      </w:pPr>
      <w:r>
        <w:rPr>
          <w:rFonts w:eastAsia="黑体"/>
          <w:color w:val="000000"/>
          <w:sz w:val="30"/>
          <w:szCs w:val="32"/>
        </w:rPr>
        <w:t>18.1 工程保险</w:t>
      </w:r>
    </w:p>
    <w:p w14:paraId="09262452">
      <w:pPr>
        <w:spacing w:line="360" w:lineRule="auto"/>
        <w:ind w:firstLine="600" w:firstLineChars="200"/>
        <w:jc w:val="left"/>
        <w:rPr>
          <w:rFonts w:eastAsia="仿宋_GB2312"/>
          <w:color w:val="000000"/>
          <w:sz w:val="30"/>
          <w:szCs w:val="32"/>
        </w:rPr>
      </w:pPr>
      <w:r>
        <w:rPr>
          <w:rFonts w:eastAsia="仿宋_GB2312"/>
          <w:color w:val="000000"/>
          <w:sz w:val="30"/>
          <w:szCs w:val="32"/>
        </w:rPr>
        <w:t>关于工程保险的特别约定：</w:t>
      </w:r>
      <w:r>
        <w:rPr>
          <w:rFonts w:hint="eastAsia" w:eastAsia="仿宋_GB2312"/>
          <w:color w:val="000000"/>
          <w:kern w:val="0"/>
          <w:sz w:val="30"/>
          <w:szCs w:val="32"/>
          <w:u w:val="single"/>
        </w:rPr>
        <w:t>承包人须以发包人和承包人的名义向双方同意的保险人投保建筑安装工程一切险及第三方责任险，此项费用由承包人承担，如承包人未按约定购买，导致发包人未能得到足额赔偿，由承包人负责补足。承包人应当按照劳动法有关规定为所有入场人员办理工伤保险，并在合同签订后7天内向发包人提交保险证明材料。承包人必须要为其所有作业人员购买人身伤害保险,发生身故情况的保险赔偿金额不低于 200 万元，并为施工场地内自有人员生命财产和施工机械设备办理保险，支付保险费用。</w:t>
      </w:r>
    </w:p>
    <w:bookmarkEnd w:id="474"/>
    <w:bookmarkEnd w:id="475"/>
    <w:bookmarkEnd w:id="476"/>
    <w:bookmarkEnd w:id="477"/>
    <w:bookmarkEnd w:id="478"/>
    <w:bookmarkEnd w:id="479"/>
    <w:bookmarkEnd w:id="480"/>
    <w:bookmarkEnd w:id="481"/>
    <w:bookmarkEnd w:id="482"/>
    <w:bookmarkEnd w:id="483"/>
    <w:bookmarkEnd w:id="484"/>
    <w:bookmarkEnd w:id="485"/>
    <w:p w14:paraId="0066BF2F">
      <w:pPr>
        <w:pStyle w:val="5"/>
        <w:spacing w:before="120" w:after="120" w:line="360" w:lineRule="auto"/>
        <w:rPr>
          <w:rFonts w:ascii="Times New Roman" w:hAnsi="Times New Roman" w:eastAsia="黑体"/>
          <w:b w:val="0"/>
          <w:color w:val="000000"/>
          <w:sz w:val="32"/>
          <w:szCs w:val="32"/>
        </w:rPr>
      </w:pPr>
      <w:bookmarkStart w:id="501" w:name="_Toc351203651"/>
      <w:r>
        <w:rPr>
          <w:rFonts w:ascii="Times New Roman" w:hAnsi="Times New Roman" w:eastAsia="黑体"/>
          <w:b w:val="0"/>
          <w:color w:val="000000"/>
          <w:sz w:val="32"/>
          <w:szCs w:val="32"/>
        </w:rPr>
        <w:t>20. 争议解决</w:t>
      </w:r>
      <w:bookmarkEnd w:id="501"/>
    </w:p>
    <w:bookmarkEnd w:id="486"/>
    <w:bookmarkEnd w:id="487"/>
    <w:bookmarkEnd w:id="488"/>
    <w:p w14:paraId="605C6C3B">
      <w:pPr>
        <w:spacing w:after="120" w:line="360" w:lineRule="auto"/>
        <w:ind w:firstLine="600" w:firstLineChars="200"/>
        <w:outlineLvl w:val="0"/>
        <w:rPr>
          <w:rFonts w:eastAsia="黑体"/>
          <w:color w:val="000000"/>
          <w:sz w:val="30"/>
          <w:szCs w:val="32"/>
        </w:rPr>
      </w:pPr>
      <w:r>
        <w:rPr>
          <w:rFonts w:eastAsia="黑体"/>
          <w:color w:val="000000"/>
          <w:sz w:val="30"/>
          <w:szCs w:val="32"/>
        </w:rPr>
        <w:t>20.4仲裁或诉讼</w:t>
      </w:r>
      <w:bookmarkEnd w:id="489"/>
    </w:p>
    <w:p w14:paraId="1B8EA960">
      <w:pPr>
        <w:spacing w:after="120" w:line="360" w:lineRule="auto"/>
        <w:ind w:firstLine="600" w:firstLineChars="200"/>
        <w:rPr>
          <w:rFonts w:eastAsia="黑体"/>
          <w:color w:val="000000"/>
          <w:sz w:val="30"/>
          <w:szCs w:val="32"/>
        </w:rPr>
      </w:pPr>
      <w:r>
        <w:rPr>
          <w:rFonts w:eastAsia="仿宋_GB2312"/>
          <w:color w:val="000000"/>
          <w:sz w:val="30"/>
          <w:szCs w:val="32"/>
        </w:rPr>
        <w:t>因合同及合同有关事项发生的争议，按下列第</w:t>
      </w:r>
      <w:r>
        <w:rPr>
          <w:rFonts w:eastAsia="仿宋_GB2312"/>
          <w:color w:val="000000"/>
          <w:sz w:val="30"/>
          <w:szCs w:val="32"/>
          <w:u w:val="single"/>
        </w:rPr>
        <w:t xml:space="preserve">  2  </w:t>
      </w:r>
      <w:r>
        <w:rPr>
          <w:rFonts w:eastAsia="仿宋_GB2312"/>
          <w:color w:val="000000"/>
          <w:sz w:val="30"/>
          <w:szCs w:val="32"/>
        </w:rPr>
        <w:t>种方式</w:t>
      </w:r>
      <w:r>
        <w:rPr>
          <w:rFonts w:hint="eastAsia" w:eastAsia="仿宋_GB2312"/>
          <w:color w:val="000000"/>
          <w:sz w:val="30"/>
          <w:szCs w:val="32"/>
        </w:rPr>
        <w:t>解</w:t>
      </w:r>
      <w:r>
        <w:rPr>
          <w:rFonts w:eastAsia="仿宋_GB2312"/>
          <w:color w:val="000000"/>
          <w:sz w:val="30"/>
          <w:szCs w:val="32"/>
        </w:rPr>
        <w:t>决：</w:t>
      </w:r>
    </w:p>
    <w:p w14:paraId="5CD217EF">
      <w:pPr>
        <w:spacing w:line="360" w:lineRule="auto"/>
        <w:ind w:firstLine="600" w:firstLineChars="200"/>
        <w:jc w:val="left"/>
        <w:rPr>
          <w:rFonts w:eastAsia="仿宋_GB2312"/>
          <w:color w:val="000000"/>
          <w:sz w:val="30"/>
          <w:szCs w:val="32"/>
        </w:rPr>
      </w:pPr>
      <w:r>
        <w:rPr>
          <w:rFonts w:eastAsia="仿宋_GB2312"/>
          <w:color w:val="000000"/>
          <w:sz w:val="30"/>
          <w:szCs w:val="32"/>
        </w:rPr>
        <w:t>（1）向</w:t>
      </w:r>
      <w:r>
        <w:rPr>
          <w:rFonts w:eastAsia="仿宋_GB2312"/>
          <w:color w:val="000000"/>
          <w:sz w:val="30"/>
          <w:szCs w:val="32"/>
          <w:u w:val="single"/>
        </w:rPr>
        <w:t xml:space="preserve">                     </w:t>
      </w:r>
      <w:r>
        <w:rPr>
          <w:rFonts w:eastAsia="仿宋_GB2312"/>
          <w:color w:val="000000"/>
          <w:sz w:val="30"/>
          <w:szCs w:val="32"/>
        </w:rPr>
        <w:t>仲裁委员会申请仲裁；</w:t>
      </w:r>
    </w:p>
    <w:p w14:paraId="3CF1ED20">
      <w:pPr>
        <w:spacing w:line="360" w:lineRule="auto"/>
        <w:ind w:firstLine="600" w:firstLineChars="200"/>
        <w:jc w:val="left"/>
        <w:rPr>
          <w:rFonts w:eastAsia="仿宋_GB2312"/>
          <w:color w:val="000000"/>
          <w:sz w:val="30"/>
          <w:szCs w:val="32"/>
        </w:rPr>
      </w:pPr>
      <w:r>
        <w:rPr>
          <w:rFonts w:eastAsia="仿宋_GB2312"/>
          <w:color w:val="000000"/>
          <w:sz w:val="30"/>
          <w:szCs w:val="32"/>
        </w:rPr>
        <w:t>（2）向</w:t>
      </w:r>
      <w:r>
        <w:rPr>
          <w:rFonts w:eastAsia="仿宋_GB2312"/>
          <w:color w:val="000000"/>
          <w:sz w:val="30"/>
          <w:szCs w:val="32"/>
          <w:u w:val="single"/>
        </w:rPr>
        <w:t xml:space="preserve">    </w:t>
      </w:r>
      <w:r>
        <w:rPr>
          <w:rFonts w:hint="eastAsia" w:eastAsia="仿宋_GB2312"/>
          <w:color w:val="000000"/>
          <w:sz w:val="30"/>
          <w:szCs w:val="32"/>
          <w:u w:val="single"/>
        </w:rPr>
        <w:t xml:space="preserve">发包人所在地   </w:t>
      </w:r>
      <w:r>
        <w:rPr>
          <w:rFonts w:eastAsia="仿宋_GB2312"/>
          <w:color w:val="000000"/>
          <w:sz w:val="30"/>
          <w:szCs w:val="32"/>
          <w:u w:val="single"/>
        </w:rPr>
        <w:t xml:space="preserve">  </w:t>
      </w:r>
      <w:r>
        <w:rPr>
          <w:rFonts w:eastAsia="仿宋_GB2312"/>
          <w:color w:val="000000"/>
          <w:sz w:val="30"/>
          <w:szCs w:val="32"/>
        </w:rPr>
        <w:t>人民法院起诉。</w:t>
      </w:r>
      <w:bookmarkEnd w:id="490"/>
      <w:bookmarkEnd w:id="491"/>
      <w:bookmarkEnd w:id="492"/>
      <w:bookmarkEnd w:id="493"/>
      <w:bookmarkEnd w:id="494"/>
      <w:bookmarkEnd w:id="495"/>
    </w:p>
    <w:p w14:paraId="205B2EF4">
      <w:pPr>
        <w:pStyle w:val="5"/>
        <w:spacing w:before="120" w:after="120" w:line="360" w:lineRule="auto"/>
        <w:rPr>
          <w:rFonts w:ascii="Times New Roman" w:hAnsi="Times New Roman" w:eastAsia="黑体"/>
          <w:b w:val="0"/>
          <w:color w:val="000000"/>
          <w:sz w:val="32"/>
          <w:szCs w:val="32"/>
        </w:rPr>
      </w:pPr>
      <w:r>
        <w:rPr>
          <w:rFonts w:ascii="Times New Roman" w:hAnsi="Times New Roman" w:eastAsia="黑体"/>
          <w:b w:val="0"/>
          <w:color w:val="000000"/>
          <w:sz w:val="32"/>
          <w:szCs w:val="32"/>
        </w:rPr>
        <w:t xml:space="preserve">21. </w:t>
      </w:r>
      <w:r>
        <w:rPr>
          <w:rFonts w:hint="eastAsia" w:ascii="Times New Roman" w:hAnsi="Times New Roman" w:eastAsia="黑体"/>
          <w:b w:val="0"/>
          <w:color w:val="000000"/>
          <w:sz w:val="32"/>
          <w:szCs w:val="32"/>
        </w:rPr>
        <w:t>其他未尽事宜补充约定</w:t>
      </w:r>
    </w:p>
    <w:p w14:paraId="6ABE0C86">
      <w:pPr>
        <w:spacing w:after="120" w:line="360" w:lineRule="auto"/>
        <w:ind w:firstLine="600" w:firstLineChars="200"/>
        <w:outlineLvl w:val="0"/>
        <w:rPr>
          <w:rFonts w:eastAsia="仿宋_GB2312"/>
          <w:color w:val="000000"/>
          <w:sz w:val="30"/>
          <w:szCs w:val="32"/>
        </w:rPr>
      </w:pPr>
      <w:r>
        <w:rPr>
          <w:rFonts w:eastAsia="黑体"/>
          <w:color w:val="000000"/>
          <w:sz w:val="30"/>
          <w:szCs w:val="32"/>
        </w:rPr>
        <w:t>21.1</w:t>
      </w:r>
      <w:r>
        <w:rPr>
          <w:rFonts w:hint="eastAsia" w:eastAsia="仿宋_GB2312"/>
          <w:color w:val="000000"/>
          <w:sz w:val="30"/>
          <w:szCs w:val="32"/>
        </w:rPr>
        <w:t>本合同为乙供主材，本合同采用一般计税方法计取增值税，发包人在支付承包人工程款以前须收到承包人开具的付款金额足额的增值税专用发票，否则发包人不予支付工程款；</w:t>
      </w:r>
    </w:p>
    <w:p w14:paraId="1896CCBB">
      <w:pPr>
        <w:spacing w:after="120" w:line="360" w:lineRule="auto"/>
        <w:ind w:firstLine="600" w:firstLineChars="200"/>
        <w:outlineLvl w:val="0"/>
        <w:rPr>
          <w:rFonts w:eastAsia="仿宋_GB2312"/>
          <w:color w:val="000000"/>
          <w:sz w:val="30"/>
          <w:szCs w:val="32"/>
        </w:rPr>
      </w:pPr>
      <w:r>
        <w:rPr>
          <w:rFonts w:eastAsia="仿宋_GB2312"/>
          <w:color w:val="000000"/>
          <w:sz w:val="30"/>
          <w:szCs w:val="32"/>
        </w:rPr>
        <w:t>21.2</w:t>
      </w:r>
      <w:r>
        <w:rPr>
          <w:rFonts w:hint="eastAsia" w:eastAsia="仿宋_GB2312"/>
          <w:color w:val="000000"/>
          <w:sz w:val="30"/>
          <w:szCs w:val="32"/>
        </w:rPr>
        <w:t>如果承包人送审的工程结算金额超过双方审定的结算总额的10%以上，超出部分的金额发包人委托造价咨询公司提供咨询服务所产生的咨询费用由承包人承担，且按超出部分金额的5%作为违约金由承包人承担。</w:t>
      </w:r>
    </w:p>
    <w:p w14:paraId="430E509C">
      <w:pPr>
        <w:spacing w:after="120" w:line="360" w:lineRule="auto"/>
        <w:ind w:firstLine="600" w:firstLineChars="200"/>
        <w:outlineLvl w:val="0"/>
        <w:rPr>
          <w:rFonts w:eastAsia="仿宋_GB2312"/>
          <w:color w:val="000000"/>
          <w:sz w:val="30"/>
          <w:szCs w:val="32"/>
        </w:rPr>
      </w:pPr>
      <w:r>
        <w:rPr>
          <w:rFonts w:eastAsia="仿宋_GB2312"/>
          <w:color w:val="000000"/>
          <w:sz w:val="30"/>
          <w:szCs w:val="32"/>
        </w:rPr>
        <w:t>21.3</w:t>
      </w:r>
      <w:r>
        <w:rPr>
          <w:rFonts w:hint="eastAsia" w:eastAsia="仿宋_GB2312"/>
          <w:color w:val="000000"/>
          <w:sz w:val="30"/>
          <w:szCs w:val="32"/>
        </w:rPr>
        <w:t>承包人负责施工用水、用电的接口，其费用也由承包人负责。承包人必须结合施工场地供水、供电的实际情况，负责接至各施工点并对安全负责，并根据实际情况配备必要发电设备和水压增压设备等。由此发生的所有费用（包括搭接费、协调费、设备设施费等）已包含在总价中，工程结算时采购人不另行支付该费用。承包人负责施工产生的水费、电费由发包人承担。.</w:t>
      </w:r>
    </w:p>
    <w:p w14:paraId="24ADB411">
      <w:pPr>
        <w:spacing w:after="120" w:line="360" w:lineRule="auto"/>
        <w:ind w:firstLine="600" w:firstLineChars="200"/>
        <w:outlineLvl w:val="0"/>
        <w:rPr>
          <w:rFonts w:eastAsia="仿宋_GB2312"/>
          <w:color w:val="000000"/>
          <w:sz w:val="30"/>
          <w:szCs w:val="32"/>
        </w:rPr>
      </w:pPr>
      <w:r>
        <w:rPr>
          <w:rFonts w:hint="eastAsia" w:eastAsia="仿宋_GB2312"/>
          <w:color w:val="000000"/>
          <w:sz w:val="30"/>
          <w:szCs w:val="32"/>
        </w:rPr>
        <w:t>21.4承包人拆除的钢筋混凝土构件中的钢筋、预埋铁件等，由承包人自行处理并清理外运。</w:t>
      </w:r>
    </w:p>
    <w:p w14:paraId="617DF2F6">
      <w:pPr>
        <w:spacing w:after="120" w:line="360" w:lineRule="auto"/>
        <w:ind w:firstLine="600" w:firstLineChars="200"/>
        <w:outlineLvl w:val="0"/>
        <w:rPr>
          <w:rFonts w:eastAsia="仿宋_GB2312"/>
          <w:sz w:val="30"/>
          <w:szCs w:val="32"/>
        </w:rPr>
      </w:pPr>
      <w:r>
        <w:rPr>
          <w:rFonts w:hint="eastAsia" w:eastAsia="仿宋_GB2312"/>
          <w:sz w:val="30"/>
          <w:szCs w:val="32"/>
        </w:rPr>
        <w:t>21.5承包人应向发包人开具增值税专用发票，收到承包人开具的9%税率的增值税专用发票后发包人再进行支付工程款，开票信息如下：</w:t>
      </w:r>
    </w:p>
    <w:p w14:paraId="5722D00B">
      <w:pPr>
        <w:ind w:firstLine="600" w:firstLineChars="200"/>
        <w:rPr>
          <w:rFonts w:eastAsia="仿宋_GB2312"/>
          <w:sz w:val="30"/>
          <w:szCs w:val="32"/>
        </w:rPr>
      </w:pPr>
      <w:r>
        <w:rPr>
          <w:rFonts w:hint="eastAsia" w:eastAsia="仿宋_GB2312"/>
          <w:sz w:val="30"/>
          <w:szCs w:val="32"/>
        </w:rPr>
        <w:t>公司名称：重庆天泽新材料有限公司</w:t>
      </w:r>
    </w:p>
    <w:p w14:paraId="32FA66A8">
      <w:pPr>
        <w:ind w:firstLine="600" w:firstLineChars="200"/>
        <w:rPr>
          <w:rFonts w:eastAsia="仿宋_GB2312"/>
          <w:sz w:val="30"/>
          <w:szCs w:val="32"/>
        </w:rPr>
      </w:pPr>
      <w:r>
        <w:rPr>
          <w:rFonts w:hint="eastAsia" w:eastAsia="仿宋_GB2312"/>
          <w:sz w:val="30"/>
          <w:szCs w:val="32"/>
        </w:rPr>
        <w:t>组织机构代码：</w:t>
      </w:r>
      <w:r>
        <w:rPr>
          <w:rFonts w:eastAsia="仿宋_GB2312"/>
          <w:sz w:val="30"/>
          <w:szCs w:val="32"/>
        </w:rPr>
        <w:t>915001153204477338</w:t>
      </w:r>
    </w:p>
    <w:p w14:paraId="67CAD8FE">
      <w:pPr>
        <w:rPr>
          <w:rFonts w:eastAsia="仿宋_GB2312"/>
          <w:sz w:val="30"/>
          <w:szCs w:val="32"/>
        </w:rPr>
      </w:pPr>
      <w:r>
        <w:rPr>
          <w:rFonts w:eastAsia="仿宋_GB2312"/>
          <w:sz w:val="30"/>
          <w:szCs w:val="32"/>
        </w:rPr>
        <w:t xml:space="preserve">    开户行名称：建行重庆市分行营业部</w:t>
      </w:r>
    </w:p>
    <w:p w14:paraId="6153A8D9">
      <w:pPr>
        <w:ind w:firstLine="600" w:firstLineChars="200"/>
        <w:rPr>
          <w:rFonts w:eastAsia="仿宋_GB2312"/>
          <w:sz w:val="30"/>
          <w:szCs w:val="32"/>
        </w:rPr>
        <w:sectPr>
          <w:type w:val="continuous"/>
          <w:pgSz w:w="11906" w:h="16838"/>
          <w:pgMar w:top="1418" w:right="1304" w:bottom="1418" w:left="1304" w:header="851" w:footer="992" w:gutter="0"/>
          <w:pgNumType w:fmt="numberInDash"/>
          <w:cols w:space="720" w:num="1"/>
          <w:docGrid w:type="lines" w:linePitch="312" w:charSpace="0"/>
        </w:sectPr>
      </w:pPr>
      <w:r>
        <w:rPr>
          <w:rFonts w:hint="eastAsia" w:eastAsia="仿宋_GB2312"/>
          <w:sz w:val="30"/>
          <w:szCs w:val="32"/>
        </w:rPr>
        <w:t>开户账号：</w:t>
      </w:r>
      <w:r>
        <w:rPr>
          <w:rFonts w:eastAsia="仿宋_GB2312"/>
          <w:sz w:val="30"/>
          <w:szCs w:val="32"/>
        </w:rPr>
        <w:t>50001333600050291056</w:t>
      </w:r>
    </w:p>
    <w:p w14:paraId="68A502CE">
      <w:pPr>
        <w:rPr>
          <w:rFonts w:eastAsia="仿宋_GB2312"/>
          <w:sz w:val="30"/>
          <w:szCs w:val="32"/>
        </w:rPr>
      </w:pPr>
      <w:r>
        <w:rPr>
          <w:rFonts w:hint="eastAsia" w:eastAsia="仿宋_GB2312"/>
          <w:color w:val="000000"/>
          <w:sz w:val="30"/>
          <w:szCs w:val="32"/>
        </w:rPr>
        <w:t>专用合同条款附件：</w:t>
      </w:r>
    </w:p>
    <w:p w14:paraId="7B8CFFA2">
      <w:pPr>
        <w:spacing w:line="360" w:lineRule="auto"/>
        <w:jc w:val="left"/>
        <w:rPr>
          <w:rFonts w:eastAsia="仿宋_GB2312"/>
          <w:color w:val="000000"/>
          <w:sz w:val="30"/>
          <w:szCs w:val="32"/>
        </w:rPr>
      </w:pPr>
      <w:r>
        <w:rPr>
          <w:rFonts w:eastAsia="仿宋_GB2312"/>
          <w:color w:val="000000"/>
          <w:sz w:val="30"/>
          <w:szCs w:val="32"/>
        </w:rPr>
        <w:t>附件1：</w:t>
      </w:r>
      <w:r>
        <w:rPr>
          <w:rFonts w:hint="eastAsia" w:eastAsia="仿宋_GB2312"/>
          <w:color w:val="000000"/>
          <w:sz w:val="30"/>
          <w:szCs w:val="32"/>
        </w:rPr>
        <w:t>廉政协议</w:t>
      </w:r>
    </w:p>
    <w:p w14:paraId="34176484">
      <w:pPr>
        <w:spacing w:line="360" w:lineRule="auto"/>
        <w:jc w:val="left"/>
        <w:rPr>
          <w:rFonts w:eastAsia="仿宋_GB2312"/>
          <w:color w:val="000000"/>
          <w:sz w:val="30"/>
          <w:szCs w:val="32"/>
        </w:rPr>
      </w:pPr>
      <w:r>
        <w:rPr>
          <w:rFonts w:eastAsia="仿宋_GB2312"/>
          <w:color w:val="000000"/>
          <w:sz w:val="30"/>
          <w:szCs w:val="32"/>
        </w:rPr>
        <w:t>附件2：</w:t>
      </w:r>
      <w:r>
        <w:rPr>
          <w:rFonts w:hint="eastAsia" w:eastAsia="仿宋_GB2312"/>
          <w:color w:val="000000"/>
          <w:sz w:val="30"/>
          <w:szCs w:val="32"/>
        </w:rPr>
        <w:t>安全环保协议</w:t>
      </w:r>
    </w:p>
    <w:p w14:paraId="475D4B04">
      <w:pPr>
        <w:spacing w:line="360" w:lineRule="auto"/>
        <w:jc w:val="left"/>
        <w:rPr>
          <w:rFonts w:eastAsia="仿宋_GB2312"/>
          <w:color w:val="000000"/>
          <w:sz w:val="30"/>
          <w:szCs w:val="32"/>
        </w:rPr>
      </w:pPr>
      <w:r>
        <w:rPr>
          <w:rFonts w:hint="eastAsia" w:eastAsia="仿宋_GB2312"/>
          <w:color w:val="000000"/>
          <w:sz w:val="30"/>
          <w:szCs w:val="32"/>
        </w:rPr>
        <w:t>附件</w:t>
      </w:r>
      <w:r>
        <w:rPr>
          <w:rFonts w:eastAsia="仿宋_GB2312"/>
          <w:color w:val="000000"/>
          <w:sz w:val="30"/>
          <w:szCs w:val="32"/>
        </w:rPr>
        <w:t>3</w:t>
      </w:r>
      <w:r>
        <w:rPr>
          <w:rFonts w:hint="eastAsia" w:eastAsia="仿宋_GB2312"/>
          <w:color w:val="000000"/>
          <w:sz w:val="30"/>
          <w:szCs w:val="32"/>
        </w:rPr>
        <w:t>：工程经济资料管理办法</w:t>
      </w:r>
    </w:p>
    <w:p w14:paraId="7C8340D4">
      <w:pPr>
        <w:spacing w:line="360" w:lineRule="auto"/>
        <w:jc w:val="left"/>
        <w:rPr>
          <w:rFonts w:eastAsia="仿宋_GB2312"/>
          <w:color w:val="000000"/>
          <w:sz w:val="30"/>
          <w:szCs w:val="32"/>
        </w:rPr>
      </w:pPr>
      <w:r>
        <w:rPr>
          <w:rFonts w:hint="eastAsia" w:eastAsia="仿宋_GB2312"/>
          <w:color w:val="000000"/>
          <w:sz w:val="30"/>
          <w:szCs w:val="32"/>
        </w:rPr>
        <w:t>附件</w:t>
      </w:r>
      <w:r>
        <w:rPr>
          <w:rFonts w:eastAsia="仿宋_GB2312"/>
          <w:color w:val="000000"/>
          <w:sz w:val="30"/>
          <w:szCs w:val="32"/>
        </w:rPr>
        <w:t>4</w:t>
      </w:r>
      <w:r>
        <w:rPr>
          <w:rFonts w:hint="eastAsia" w:eastAsia="仿宋_GB2312"/>
          <w:color w:val="000000"/>
          <w:sz w:val="30"/>
          <w:szCs w:val="32"/>
        </w:rPr>
        <w:t>：工程项目质量管理考核细则</w:t>
      </w:r>
    </w:p>
    <w:p w14:paraId="47D0781E">
      <w:pPr>
        <w:pStyle w:val="8"/>
        <w:ind w:right="63"/>
        <w:rPr>
          <w:rFonts w:eastAsia="仿宋_GB2312"/>
          <w:color w:val="000000"/>
          <w:sz w:val="30"/>
          <w:szCs w:val="32"/>
        </w:rPr>
      </w:pPr>
      <w:r>
        <w:rPr>
          <w:rFonts w:hint="eastAsia" w:eastAsia="仿宋_GB2312"/>
          <w:color w:val="000000"/>
          <w:sz w:val="30"/>
          <w:szCs w:val="32"/>
        </w:rPr>
        <w:t>附件</w:t>
      </w:r>
      <w:r>
        <w:rPr>
          <w:rFonts w:eastAsia="仿宋_GB2312"/>
          <w:color w:val="000000"/>
          <w:sz w:val="30"/>
          <w:szCs w:val="32"/>
        </w:rPr>
        <w:t>5</w:t>
      </w:r>
      <w:r>
        <w:rPr>
          <w:rFonts w:hint="eastAsia" w:eastAsia="仿宋_GB2312"/>
          <w:color w:val="000000"/>
          <w:sz w:val="30"/>
          <w:szCs w:val="32"/>
        </w:rPr>
        <w:t>：履约保函示范文本</w:t>
      </w:r>
    </w:p>
    <w:p w14:paraId="0281B5A1">
      <w:pPr>
        <w:spacing w:line="360" w:lineRule="auto"/>
        <w:jc w:val="left"/>
        <w:rPr>
          <w:rFonts w:eastAsia="仿宋_GB2312"/>
          <w:color w:val="000000"/>
          <w:sz w:val="30"/>
          <w:szCs w:val="30"/>
        </w:rPr>
      </w:pPr>
      <w:r>
        <w:rPr>
          <w:rFonts w:eastAsia="仿宋_GB2312"/>
          <w:color w:val="000000"/>
          <w:sz w:val="30"/>
          <w:szCs w:val="32"/>
        </w:rPr>
        <w:br w:type="page"/>
      </w:r>
    </w:p>
    <w:p w14:paraId="41832EAA">
      <w:pPr>
        <w:spacing w:line="440" w:lineRule="exact"/>
        <w:rPr>
          <w:rFonts w:eastAsia="仿宋_GB2312"/>
          <w:color w:val="000000"/>
          <w:sz w:val="30"/>
          <w:szCs w:val="30"/>
        </w:rPr>
      </w:pPr>
      <w:r>
        <w:rPr>
          <w:rFonts w:eastAsia="仿宋_GB2312"/>
          <w:color w:val="000000"/>
          <w:sz w:val="30"/>
          <w:szCs w:val="30"/>
        </w:rPr>
        <w:t>附件1：</w:t>
      </w:r>
    </w:p>
    <w:p w14:paraId="1FE8FFCD">
      <w:pPr>
        <w:widowControl/>
        <w:spacing w:before="156" w:beforeLines="50" w:line="580" w:lineRule="exact"/>
        <w:jc w:val="center"/>
        <w:rPr>
          <w:rFonts w:ascii="宋体" w:hAnsi="宋体" w:cs="宋体"/>
          <w:b/>
          <w:bCs/>
          <w:kern w:val="0"/>
          <w:sz w:val="40"/>
          <w:szCs w:val="40"/>
        </w:rPr>
      </w:pPr>
      <w:r>
        <w:rPr>
          <w:rFonts w:hint="eastAsia" w:ascii="宋体" w:hAnsi="宋体" w:cs="宋体"/>
          <w:b/>
          <w:bCs/>
          <w:kern w:val="0"/>
          <w:sz w:val="40"/>
          <w:szCs w:val="40"/>
        </w:rPr>
        <w:t>廉洁协议</w:t>
      </w:r>
    </w:p>
    <w:p w14:paraId="1D55583F">
      <w:pPr>
        <w:widowControl/>
        <w:spacing w:line="260" w:lineRule="exact"/>
        <w:jc w:val="center"/>
        <w:rPr>
          <w:rFonts w:ascii="宋体" w:hAnsi="宋体" w:cs="宋体"/>
          <w:bCs/>
          <w:kern w:val="0"/>
          <w:sz w:val="18"/>
          <w:szCs w:val="18"/>
        </w:rPr>
      </w:pPr>
    </w:p>
    <w:p w14:paraId="117F1EE0">
      <w:pPr>
        <w:widowControl/>
        <w:spacing w:line="320" w:lineRule="exact"/>
        <w:ind w:firstLine="360" w:firstLineChars="200"/>
        <w:jc w:val="left"/>
        <w:rPr>
          <w:rFonts w:ascii="宋体" w:hAnsi="宋体" w:cs="宋体"/>
          <w:kern w:val="0"/>
          <w:sz w:val="18"/>
          <w:szCs w:val="18"/>
        </w:rPr>
      </w:pPr>
      <w:r>
        <w:rPr>
          <w:rFonts w:hint="eastAsia" w:ascii="宋体" w:hAnsi="宋体" w:cs="宋体"/>
          <w:kern w:val="0"/>
          <w:sz w:val="18"/>
          <w:szCs w:val="18"/>
        </w:rPr>
        <w:t>发包人：重庆天泽新材料有限公司</w:t>
      </w:r>
    </w:p>
    <w:p w14:paraId="076A286A">
      <w:pPr>
        <w:widowControl/>
        <w:spacing w:line="320" w:lineRule="exact"/>
        <w:ind w:firstLine="360" w:firstLineChars="200"/>
        <w:jc w:val="left"/>
        <w:rPr>
          <w:rFonts w:ascii="宋体" w:hAnsi="宋体" w:cs="宋体"/>
          <w:kern w:val="0"/>
          <w:sz w:val="18"/>
          <w:szCs w:val="18"/>
        </w:rPr>
      </w:pPr>
      <w:r>
        <w:rPr>
          <w:rFonts w:hint="eastAsia" w:ascii="宋体" w:hAnsi="宋体" w:cs="宋体"/>
          <w:kern w:val="0"/>
          <w:sz w:val="18"/>
          <w:szCs w:val="18"/>
        </w:rPr>
        <w:t>承包人：</w:t>
      </w:r>
      <w:r>
        <w:rPr>
          <w:rFonts w:ascii="宋体" w:hAnsi="宋体" w:cs="宋体"/>
          <w:kern w:val="0"/>
          <w:sz w:val="18"/>
          <w:szCs w:val="18"/>
        </w:rPr>
        <w:t xml:space="preserve">                            </w:t>
      </w:r>
    </w:p>
    <w:p w14:paraId="7B2BE252">
      <w:pPr>
        <w:widowControl/>
        <w:spacing w:line="320" w:lineRule="exact"/>
        <w:ind w:firstLine="360" w:firstLineChars="200"/>
        <w:rPr>
          <w:rFonts w:ascii="宋体" w:hAnsi="宋体" w:cs="宋体"/>
          <w:kern w:val="0"/>
          <w:sz w:val="18"/>
          <w:szCs w:val="18"/>
        </w:rPr>
      </w:pPr>
      <w:r>
        <w:rPr>
          <w:rFonts w:hint="eastAsia" w:ascii="宋体" w:hAnsi="宋体" w:cs="宋体"/>
          <w:kern w:val="0"/>
          <w:sz w:val="18"/>
          <w:szCs w:val="18"/>
        </w:rPr>
        <w:t>为促进发包人及承包人双方廉洁高效合作，促使发包人及承包人双方工作人员廉洁从业，按照《民法典》和国家其他有关法律法规、廉洁规定，经发包人及承包人双方协商一致，自愿签订以下廉洁协议。</w:t>
      </w:r>
    </w:p>
    <w:p w14:paraId="2E3B9A4C">
      <w:pPr>
        <w:widowControl/>
        <w:spacing w:line="320" w:lineRule="exact"/>
        <w:ind w:firstLine="360" w:firstLineChars="200"/>
        <w:jc w:val="left"/>
        <w:rPr>
          <w:rFonts w:ascii="宋体" w:hAnsi="宋体" w:cs="宋体"/>
          <w:kern w:val="0"/>
          <w:sz w:val="18"/>
          <w:szCs w:val="18"/>
        </w:rPr>
      </w:pPr>
      <w:r>
        <w:rPr>
          <w:rFonts w:hint="eastAsia" w:ascii="宋体" w:hAnsi="宋体" w:cs="宋体"/>
          <w:b/>
          <w:bCs/>
          <w:kern w:val="0"/>
          <w:sz w:val="18"/>
          <w:szCs w:val="18"/>
        </w:rPr>
        <w:t>第一条：</w:t>
      </w:r>
      <w:r>
        <w:rPr>
          <w:rFonts w:hint="eastAsia" w:ascii="宋体" w:hAnsi="宋体" w:cs="宋体"/>
          <w:kern w:val="0"/>
          <w:sz w:val="18"/>
          <w:szCs w:val="18"/>
        </w:rPr>
        <w:t>发包人在廉洁方面的义务</w:t>
      </w:r>
    </w:p>
    <w:p w14:paraId="35527C24">
      <w:pPr>
        <w:widowControl/>
        <w:spacing w:line="320" w:lineRule="exact"/>
        <w:ind w:firstLine="360" w:firstLineChars="200"/>
        <w:jc w:val="left"/>
        <w:rPr>
          <w:rFonts w:ascii="宋体" w:hAnsi="宋体" w:cs="宋体"/>
          <w:kern w:val="0"/>
          <w:sz w:val="18"/>
          <w:szCs w:val="18"/>
        </w:rPr>
      </w:pPr>
      <w:r>
        <w:rPr>
          <w:rFonts w:hint="eastAsia" w:ascii="宋体" w:hAnsi="宋体" w:cs="宋体"/>
          <w:kern w:val="0"/>
          <w:sz w:val="18"/>
          <w:szCs w:val="18"/>
        </w:rPr>
        <w:t xml:space="preserve">（一）发包人及其工作人员不得干扰协作企业正常的生产经营活动，不得以任何理由要挟承包人从事不属于承包人义务的工作。 </w:t>
      </w:r>
    </w:p>
    <w:p w14:paraId="05A91AD7">
      <w:pPr>
        <w:widowControl/>
        <w:spacing w:line="320" w:lineRule="exact"/>
        <w:ind w:firstLine="360" w:firstLineChars="200"/>
        <w:jc w:val="left"/>
        <w:rPr>
          <w:rFonts w:ascii="宋体" w:hAnsi="宋体" w:cs="宋体"/>
          <w:kern w:val="0"/>
          <w:sz w:val="18"/>
          <w:szCs w:val="18"/>
        </w:rPr>
      </w:pPr>
      <w:r>
        <w:rPr>
          <w:rFonts w:hint="eastAsia" w:ascii="宋体" w:hAnsi="宋体" w:cs="宋体"/>
          <w:kern w:val="0"/>
          <w:sz w:val="18"/>
          <w:szCs w:val="18"/>
        </w:rPr>
        <w:t>（二）发包人及其工作人员不得违规索要或接受承包人的礼金、佣金、回扣、有价证券、支付凭证、贵重物品等财物。</w:t>
      </w:r>
    </w:p>
    <w:p w14:paraId="3FCD1A01">
      <w:pPr>
        <w:widowControl/>
        <w:spacing w:line="320" w:lineRule="exact"/>
        <w:ind w:firstLine="360" w:firstLineChars="200"/>
        <w:jc w:val="left"/>
        <w:rPr>
          <w:rFonts w:ascii="宋体" w:hAnsi="宋体" w:cs="宋体"/>
          <w:kern w:val="0"/>
          <w:sz w:val="18"/>
          <w:szCs w:val="18"/>
        </w:rPr>
      </w:pPr>
      <w:r>
        <w:rPr>
          <w:rFonts w:hint="eastAsia" w:ascii="宋体" w:hAnsi="宋体" w:cs="宋体"/>
          <w:kern w:val="0"/>
          <w:sz w:val="18"/>
          <w:szCs w:val="18"/>
        </w:rPr>
        <w:t>（三）发包人及其工作人员不得在承包人报销应由发包人或个人支付的任何费用。</w:t>
      </w:r>
    </w:p>
    <w:p w14:paraId="7406880D">
      <w:pPr>
        <w:widowControl/>
        <w:spacing w:line="320" w:lineRule="exact"/>
        <w:ind w:firstLine="360" w:firstLineChars="200"/>
        <w:jc w:val="left"/>
        <w:rPr>
          <w:rFonts w:ascii="宋体" w:hAnsi="宋体" w:cs="宋体"/>
          <w:kern w:val="0"/>
          <w:sz w:val="18"/>
          <w:szCs w:val="18"/>
        </w:rPr>
      </w:pPr>
      <w:r>
        <w:rPr>
          <w:rFonts w:hint="eastAsia" w:ascii="宋体" w:hAnsi="宋体" w:cs="宋体"/>
          <w:kern w:val="0"/>
          <w:sz w:val="18"/>
          <w:szCs w:val="18"/>
        </w:rPr>
        <w:t>（四）发包人工作人员不得参加承包人提供的宴请、娱乐活动、高档消费；不得要求承包人提供交通工具、通讯工具、高档办公用品等。</w:t>
      </w:r>
    </w:p>
    <w:p w14:paraId="76AC7C8E">
      <w:pPr>
        <w:widowControl/>
        <w:spacing w:line="320" w:lineRule="exact"/>
        <w:ind w:firstLine="360" w:firstLineChars="200"/>
        <w:jc w:val="left"/>
        <w:rPr>
          <w:rFonts w:ascii="宋体" w:hAnsi="宋体" w:cs="宋体"/>
          <w:kern w:val="0"/>
          <w:sz w:val="18"/>
          <w:szCs w:val="18"/>
        </w:rPr>
      </w:pPr>
      <w:r>
        <w:rPr>
          <w:rFonts w:hint="eastAsia" w:ascii="宋体" w:hAnsi="宋体" w:cs="宋体"/>
          <w:kern w:val="0"/>
          <w:sz w:val="18"/>
          <w:szCs w:val="18"/>
        </w:rPr>
        <w:t>（五）发包人及其工作人员不得要求或者接受承包人为其住房装修、婚丧嫁娶、配偶、子女、亲友出国（境）旅游等违反规定的相关活动提供方便。</w:t>
      </w:r>
    </w:p>
    <w:p w14:paraId="418C4EB9">
      <w:pPr>
        <w:widowControl/>
        <w:spacing w:line="320" w:lineRule="exact"/>
        <w:ind w:firstLine="360" w:firstLineChars="200"/>
        <w:jc w:val="left"/>
        <w:rPr>
          <w:rFonts w:ascii="宋体" w:hAnsi="宋体" w:cs="宋体"/>
          <w:kern w:val="0"/>
          <w:sz w:val="18"/>
          <w:szCs w:val="18"/>
        </w:rPr>
      </w:pPr>
      <w:r>
        <w:rPr>
          <w:rFonts w:hint="eastAsia" w:ascii="宋体" w:hAnsi="宋体" w:cs="宋体"/>
          <w:kern w:val="0"/>
          <w:sz w:val="18"/>
          <w:szCs w:val="18"/>
        </w:rPr>
        <w:t>（六）发包人及其工作人员不得要求承包人为其配偶、子女及有利害关系的人员安排工作或劳务；不得违反规定从事与承包人施工项目有关的材料设备供应、工程分包等经济活动。</w:t>
      </w:r>
    </w:p>
    <w:p w14:paraId="52DAA815">
      <w:pPr>
        <w:widowControl/>
        <w:spacing w:line="320" w:lineRule="exact"/>
        <w:ind w:firstLine="360" w:firstLineChars="200"/>
        <w:jc w:val="left"/>
        <w:rPr>
          <w:rFonts w:ascii="宋体" w:hAnsi="宋体" w:cs="宋体"/>
          <w:kern w:val="0"/>
          <w:sz w:val="18"/>
          <w:szCs w:val="18"/>
        </w:rPr>
      </w:pPr>
      <w:r>
        <w:rPr>
          <w:rFonts w:hint="eastAsia" w:ascii="宋体" w:hAnsi="宋体" w:cs="宋体"/>
          <w:b/>
          <w:bCs/>
          <w:kern w:val="0"/>
          <w:sz w:val="18"/>
          <w:szCs w:val="18"/>
        </w:rPr>
        <w:t>第二条：</w:t>
      </w:r>
      <w:r>
        <w:rPr>
          <w:rFonts w:hint="eastAsia" w:ascii="宋体" w:hAnsi="宋体" w:cs="宋体"/>
          <w:kern w:val="0"/>
          <w:sz w:val="18"/>
          <w:szCs w:val="18"/>
        </w:rPr>
        <w:t>承包人在廉洁方面义务</w:t>
      </w:r>
    </w:p>
    <w:p w14:paraId="5ACF9833">
      <w:pPr>
        <w:widowControl/>
        <w:spacing w:line="320" w:lineRule="exact"/>
        <w:ind w:firstLine="360" w:firstLineChars="200"/>
        <w:jc w:val="left"/>
        <w:rPr>
          <w:rFonts w:ascii="宋体" w:hAnsi="宋体" w:cs="宋体"/>
          <w:kern w:val="0"/>
          <w:sz w:val="18"/>
          <w:szCs w:val="18"/>
        </w:rPr>
      </w:pPr>
      <w:r>
        <w:rPr>
          <w:rFonts w:hint="eastAsia" w:ascii="宋体" w:hAnsi="宋体" w:cs="宋体"/>
          <w:kern w:val="0"/>
          <w:sz w:val="18"/>
          <w:szCs w:val="18"/>
        </w:rPr>
        <w:t>（一）承包人不准以任何形式向发包人及其工作人员馈赠礼金、佣金、回扣、有价证券、支付凭证、贵重物品等财物。</w:t>
      </w:r>
    </w:p>
    <w:p w14:paraId="597257D0">
      <w:pPr>
        <w:widowControl/>
        <w:spacing w:line="320" w:lineRule="exact"/>
        <w:ind w:firstLine="360" w:firstLineChars="200"/>
        <w:jc w:val="left"/>
        <w:rPr>
          <w:rFonts w:ascii="宋体" w:hAnsi="宋体" w:cs="宋体"/>
          <w:kern w:val="0"/>
          <w:sz w:val="18"/>
          <w:szCs w:val="18"/>
        </w:rPr>
      </w:pPr>
      <w:r>
        <w:rPr>
          <w:rFonts w:hint="eastAsia" w:ascii="宋体" w:hAnsi="宋体" w:cs="宋体"/>
          <w:kern w:val="0"/>
          <w:sz w:val="18"/>
          <w:szCs w:val="18"/>
        </w:rPr>
        <w:t>（二）承包人不准以任何名义为发包人及其工作人员报销应由发包人或个人支付的任何费用。</w:t>
      </w:r>
    </w:p>
    <w:p w14:paraId="2D125A55">
      <w:pPr>
        <w:widowControl/>
        <w:spacing w:line="320" w:lineRule="exact"/>
        <w:ind w:firstLine="360" w:firstLineChars="200"/>
        <w:jc w:val="left"/>
        <w:rPr>
          <w:rFonts w:ascii="宋体" w:hAnsi="宋体" w:cs="宋体"/>
          <w:kern w:val="0"/>
          <w:sz w:val="18"/>
          <w:szCs w:val="18"/>
        </w:rPr>
      </w:pPr>
      <w:r>
        <w:rPr>
          <w:rFonts w:hint="eastAsia" w:ascii="宋体" w:hAnsi="宋体" w:cs="宋体"/>
          <w:kern w:val="0"/>
          <w:sz w:val="18"/>
          <w:szCs w:val="18"/>
        </w:rPr>
        <w:t>（三）承包人不准以任何理由邀请发包人工作人员参加有影响合作业务的宴请及娱乐活动；不准为其提供通讯工具、交通工具、高档办公用品等。</w:t>
      </w:r>
    </w:p>
    <w:p w14:paraId="1D5ABA3E">
      <w:pPr>
        <w:widowControl/>
        <w:spacing w:line="320" w:lineRule="exact"/>
        <w:ind w:firstLine="360" w:firstLineChars="200"/>
        <w:jc w:val="left"/>
        <w:rPr>
          <w:rFonts w:ascii="宋体" w:hAnsi="宋体" w:cs="宋体"/>
          <w:kern w:val="0"/>
          <w:sz w:val="18"/>
          <w:szCs w:val="18"/>
        </w:rPr>
      </w:pPr>
      <w:r>
        <w:rPr>
          <w:rFonts w:hint="eastAsia" w:ascii="宋体" w:hAnsi="宋体" w:cs="宋体"/>
          <w:kern w:val="0"/>
          <w:sz w:val="18"/>
          <w:szCs w:val="18"/>
        </w:rPr>
        <w:t>（四）承包人不准为发包人工作人员在住房装修、婚丧嫁娶、配偶、子女、亲友出国（境）旅游提供方便；不准为发包人工作人员的配偶、子女及有利害关系的人员安排工作或劳务。</w:t>
      </w:r>
    </w:p>
    <w:p w14:paraId="4ACF57CC">
      <w:pPr>
        <w:widowControl/>
        <w:spacing w:line="320" w:lineRule="exact"/>
        <w:ind w:firstLine="360" w:firstLineChars="200"/>
        <w:jc w:val="left"/>
        <w:rPr>
          <w:rFonts w:ascii="宋体" w:hAnsi="宋体" w:cs="宋体"/>
          <w:kern w:val="0"/>
          <w:sz w:val="18"/>
          <w:szCs w:val="18"/>
        </w:rPr>
      </w:pPr>
      <w:r>
        <w:rPr>
          <w:rFonts w:hint="eastAsia" w:ascii="宋体" w:hAnsi="宋体" w:cs="宋体"/>
          <w:kern w:val="0"/>
          <w:sz w:val="18"/>
          <w:szCs w:val="18"/>
        </w:rPr>
        <w:t>（五）承包人及其工作人员不准与监管单位串通，违反有关规定和程序，损害发包人利益。</w:t>
      </w:r>
    </w:p>
    <w:p w14:paraId="236E1CEB">
      <w:pPr>
        <w:widowControl/>
        <w:spacing w:line="320" w:lineRule="exact"/>
        <w:ind w:firstLine="360" w:firstLineChars="200"/>
        <w:jc w:val="left"/>
        <w:rPr>
          <w:rFonts w:ascii="宋体" w:hAnsi="宋体" w:cs="宋体"/>
          <w:kern w:val="0"/>
          <w:sz w:val="18"/>
          <w:szCs w:val="18"/>
        </w:rPr>
      </w:pPr>
      <w:r>
        <w:rPr>
          <w:rFonts w:hint="eastAsia" w:ascii="宋体" w:hAnsi="宋体" w:cs="宋体"/>
          <w:kern w:val="0"/>
          <w:sz w:val="18"/>
          <w:szCs w:val="18"/>
        </w:rPr>
        <w:t>（六）不得有其他违反法律法规行为。</w:t>
      </w:r>
    </w:p>
    <w:p w14:paraId="60FC0D99">
      <w:pPr>
        <w:widowControl/>
        <w:spacing w:line="320" w:lineRule="exact"/>
        <w:ind w:firstLine="360" w:firstLineChars="200"/>
        <w:jc w:val="left"/>
        <w:rPr>
          <w:rFonts w:ascii="宋体" w:hAnsi="宋体" w:cs="宋体"/>
          <w:kern w:val="0"/>
          <w:sz w:val="18"/>
          <w:szCs w:val="18"/>
        </w:rPr>
      </w:pPr>
      <w:r>
        <w:rPr>
          <w:rFonts w:hint="eastAsia" w:ascii="宋体" w:hAnsi="宋体" w:cs="宋体"/>
          <w:b/>
          <w:bCs/>
          <w:kern w:val="0"/>
          <w:sz w:val="18"/>
          <w:szCs w:val="18"/>
        </w:rPr>
        <w:t>第三条：</w:t>
      </w:r>
      <w:r>
        <w:rPr>
          <w:rFonts w:hint="eastAsia" w:ascii="宋体" w:hAnsi="宋体" w:cs="宋体"/>
          <w:kern w:val="0"/>
          <w:sz w:val="18"/>
          <w:szCs w:val="18"/>
        </w:rPr>
        <w:t>违约责任</w:t>
      </w:r>
    </w:p>
    <w:p w14:paraId="141F33EA">
      <w:pPr>
        <w:widowControl/>
        <w:spacing w:line="320" w:lineRule="exact"/>
        <w:ind w:firstLine="360" w:firstLineChars="200"/>
        <w:jc w:val="left"/>
        <w:rPr>
          <w:rFonts w:ascii="宋体" w:hAnsi="宋体" w:cs="宋体"/>
          <w:kern w:val="0"/>
          <w:sz w:val="18"/>
          <w:szCs w:val="18"/>
        </w:rPr>
      </w:pPr>
      <w:r>
        <w:rPr>
          <w:rFonts w:hint="eastAsia" w:ascii="宋体" w:hAnsi="宋体" w:cs="宋体"/>
          <w:kern w:val="0"/>
          <w:sz w:val="18"/>
          <w:szCs w:val="18"/>
        </w:rPr>
        <w:t>（一）承包人违反本《廉洁协议》规定义务的，须向发包人承担经济合同总额3%的经济违约金。</w:t>
      </w:r>
    </w:p>
    <w:p w14:paraId="47D6E343">
      <w:pPr>
        <w:widowControl/>
        <w:spacing w:line="320" w:lineRule="exact"/>
        <w:ind w:firstLine="360" w:firstLineChars="200"/>
        <w:jc w:val="left"/>
        <w:rPr>
          <w:rFonts w:ascii="宋体" w:hAnsi="宋体" w:cs="宋体"/>
          <w:kern w:val="0"/>
          <w:sz w:val="18"/>
          <w:szCs w:val="18"/>
        </w:rPr>
      </w:pPr>
      <w:r>
        <w:rPr>
          <w:rFonts w:hint="eastAsia" w:ascii="宋体" w:hAnsi="宋体" w:cs="宋体"/>
          <w:kern w:val="0"/>
          <w:sz w:val="18"/>
          <w:szCs w:val="18"/>
        </w:rPr>
        <w:t>（二）承包人发生多次违反廉洁协议约定内容，发包人有权将承包人列入黑名单，禁止5年内进入发包人作业市场；给发包人造成经济损失、社会影响较大的，发包人有权终止履行经济合同。</w:t>
      </w:r>
    </w:p>
    <w:p w14:paraId="15147536">
      <w:pPr>
        <w:widowControl/>
        <w:spacing w:line="320" w:lineRule="exact"/>
        <w:ind w:firstLine="360" w:firstLineChars="200"/>
        <w:jc w:val="left"/>
        <w:rPr>
          <w:rFonts w:ascii="宋体" w:hAnsi="宋体" w:cs="宋体"/>
          <w:kern w:val="0"/>
          <w:sz w:val="18"/>
          <w:szCs w:val="18"/>
        </w:rPr>
      </w:pPr>
      <w:r>
        <w:rPr>
          <w:rFonts w:hint="eastAsia" w:ascii="宋体" w:hAnsi="宋体" w:cs="宋体"/>
          <w:kern w:val="0"/>
          <w:sz w:val="18"/>
          <w:szCs w:val="18"/>
        </w:rPr>
        <w:t>（三）发包人若违反本《廉洁协议》有关规定的，对违法违纪人员，由发包人主管部门依据有关规定查处。</w:t>
      </w:r>
    </w:p>
    <w:p w14:paraId="0D9E371F">
      <w:pPr>
        <w:spacing w:line="320" w:lineRule="exact"/>
        <w:ind w:firstLine="360" w:firstLineChars="200"/>
        <w:rPr>
          <w:rFonts w:ascii="宋体" w:hAnsi="宋体" w:cs="宋体"/>
          <w:kern w:val="0"/>
          <w:sz w:val="18"/>
          <w:szCs w:val="18"/>
        </w:rPr>
      </w:pPr>
      <w:r>
        <w:rPr>
          <w:rFonts w:hint="eastAsia" w:ascii="宋体" w:hAnsi="宋体" w:cs="宋体"/>
          <w:b/>
          <w:bCs/>
          <w:kern w:val="0"/>
          <w:sz w:val="18"/>
          <w:szCs w:val="18"/>
        </w:rPr>
        <w:t>第四条：</w:t>
      </w:r>
      <w:r>
        <w:rPr>
          <w:rFonts w:hint="eastAsia" w:ascii="宋体" w:hAnsi="宋体" w:cs="宋体"/>
          <w:kern w:val="0"/>
          <w:sz w:val="18"/>
          <w:szCs w:val="18"/>
        </w:rPr>
        <w:t>本协议有效期同经济合同期限。</w:t>
      </w:r>
    </w:p>
    <w:p w14:paraId="4748C4C6">
      <w:pPr>
        <w:widowControl/>
        <w:spacing w:line="320" w:lineRule="exact"/>
        <w:ind w:firstLine="360" w:firstLineChars="200"/>
        <w:jc w:val="left"/>
        <w:rPr>
          <w:rFonts w:ascii="宋体" w:hAnsi="宋体"/>
          <w:sz w:val="18"/>
          <w:szCs w:val="18"/>
        </w:rPr>
      </w:pPr>
      <w:r>
        <w:rPr>
          <w:rFonts w:hint="eastAsia" w:ascii="宋体" w:hAnsi="宋体" w:cs="宋体"/>
          <w:b/>
          <w:bCs/>
          <w:kern w:val="0"/>
          <w:sz w:val="18"/>
          <w:szCs w:val="18"/>
        </w:rPr>
        <w:t>第五条：</w:t>
      </w:r>
      <w:r>
        <w:rPr>
          <w:rFonts w:hint="eastAsia" w:ascii="宋体" w:hAnsi="宋体"/>
          <w:sz w:val="18"/>
          <w:szCs w:val="18"/>
        </w:rPr>
        <w:t>本协议为经济合同附件，与主合同具有同等法律效力，发包人及承包人双方签署后生效。</w:t>
      </w:r>
    </w:p>
    <w:p w14:paraId="0C6618E5">
      <w:pPr>
        <w:widowControl/>
        <w:spacing w:line="320" w:lineRule="exact"/>
        <w:ind w:firstLine="360" w:firstLineChars="200"/>
        <w:jc w:val="left"/>
        <w:rPr>
          <w:rFonts w:ascii="宋体" w:hAnsi="宋体" w:cs="宋体"/>
          <w:kern w:val="0"/>
          <w:sz w:val="18"/>
          <w:szCs w:val="18"/>
        </w:rPr>
      </w:pPr>
      <w:r>
        <w:rPr>
          <w:rFonts w:hint="eastAsia" w:ascii="宋体" w:hAnsi="宋体" w:cs="宋体"/>
          <w:b/>
          <w:bCs/>
          <w:kern w:val="0"/>
          <w:sz w:val="18"/>
          <w:szCs w:val="18"/>
        </w:rPr>
        <w:t>第六条：</w:t>
      </w:r>
      <w:r>
        <w:rPr>
          <w:rFonts w:ascii="宋体" w:hAnsi="宋体"/>
          <w:sz w:val="18"/>
          <w:szCs w:val="18"/>
        </w:rPr>
        <w:t>承包人向发包人</w:t>
      </w:r>
      <w:r>
        <w:rPr>
          <w:rFonts w:hint="eastAsia" w:ascii="宋体" w:hAnsi="宋体"/>
          <w:sz w:val="18"/>
          <w:szCs w:val="18"/>
        </w:rPr>
        <w:t>反映廉洁问题的</w:t>
      </w:r>
      <w:r>
        <w:rPr>
          <w:rFonts w:ascii="宋体" w:hAnsi="宋体"/>
          <w:sz w:val="18"/>
          <w:szCs w:val="18"/>
        </w:rPr>
        <w:t>联系方式</w:t>
      </w:r>
      <w:r>
        <w:rPr>
          <w:rFonts w:hint="eastAsia" w:ascii="宋体" w:hAnsi="宋体"/>
          <w:sz w:val="18"/>
          <w:szCs w:val="18"/>
        </w:rPr>
        <w:t>。</w:t>
      </w:r>
      <w:r>
        <w:rPr>
          <w:rFonts w:hint="eastAsia" w:ascii="宋体" w:hAnsi="宋体" w:cs="宋体"/>
          <w:kern w:val="0"/>
          <w:sz w:val="18"/>
          <w:szCs w:val="18"/>
        </w:rPr>
        <w:t>邮寄地址：</w:t>
      </w:r>
      <w:r>
        <w:rPr>
          <w:rFonts w:ascii="宋体" w:hAnsi="宋体" w:cs="宋体"/>
          <w:kern w:val="0"/>
          <w:sz w:val="18"/>
          <w:szCs w:val="18"/>
        </w:rPr>
        <w:t>重庆国际复合材料</w:t>
      </w:r>
      <w:r>
        <w:rPr>
          <w:rFonts w:hint="eastAsia" w:ascii="宋体" w:hAnsi="宋体" w:cs="宋体"/>
          <w:kern w:val="0"/>
          <w:sz w:val="18"/>
          <w:szCs w:val="18"/>
        </w:rPr>
        <w:t>股份</w:t>
      </w:r>
      <w:r>
        <w:rPr>
          <w:rFonts w:ascii="宋体" w:hAnsi="宋体" w:cs="宋体"/>
          <w:kern w:val="0"/>
          <w:sz w:val="18"/>
          <w:szCs w:val="18"/>
        </w:rPr>
        <w:t>有限公司纪委办</w:t>
      </w:r>
      <w:r>
        <w:rPr>
          <w:rFonts w:hint="eastAsia" w:ascii="宋体" w:hAnsi="宋体" w:cs="宋体"/>
          <w:kern w:val="0"/>
          <w:sz w:val="18"/>
          <w:szCs w:val="18"/>
        </w:rPr>
        <w:t>，</w:t>
      </w:r>
      <w:r>
        <w:rPr>
          <w:rFonts w:ascii="宋体" w:hAnsi="宋体" w:cs="宋体"/>
          <w:kern w:val="0"/>
          <w:sz w:val="18"/>
          <w:szCs w:val="18"/>
        </w:rPr>
        <w:t>邮编</w:t>
      </w:r>
      <w:r>
        <w:rPr>
          <w:rFonts w:hint="eastAsia" w:ascii="宋体" w:hAnsi="宋体" w:cs="宋体"/>
          <w:kern w:val="0"/>
          <w:sz w:val="18"/>
          <w:szCs w:val="18"/>
        </w:rPr>
        <w:t>：4</w:t>
      </w:r>
      <w:r>
        <w:rPr>
          <w:rFonts w:ascii="宋体" w:hAnsi="宋体" w:cs="宋体"/>
          <w:kern w:val="0"/>
          <w:sz w:val="18"/>
          <w:szCs w:val="18"/>
        </w:rPr>
        <w:t>00082</w:t>
      </w:r>
    </w:p>
    <w:p w14:paraId="3559A8DA">
      <w:pPr>
        <w:spacing w:line="320" w:lineRule="exact"/>
        <w:ind w:firstLine="360" w:firstLineChars="200"/>
        <w:rPr>
          <w:rFonts w:ascii="宋体" w:hAnsi="宋体" w:cs="宋体"/>
          <w:kern w:val="0"/>
          <w:sz w:val="18"/>
          <w:szCs w:val="18"/>
        </w:rPr>
      </w:pPr>
      <w:r>
        <w:rPr>
          <w:rFonts w:hint="eastAsia" w:ascii="宋体" w:hAnsi="宋体" w:cs="宋体"/>
          <w:kern w:val="0"/>
          <w:sz w:val="18"/>
          <w:szCs w:val="18"/>
        </w:rPr>
        <w:t>工作联系</w:t>
      </w:r>
      <w:r>
        <w:rPr>
          <w:rFonts w:ascii="宋体" w:hAnsi="宋体" w:cs="宋体"/>
          <w:kern w:val="0"/>
          <w:sz w:val="18"/>
          <w:szCs w:val="18"/>
        </w:rPr>
        <w:t>电话</w:t>
      </w:r>
      <w:r>
        <w:rPr>
          <w:rFonts w:hint="eastAsia" w:ascii="宋体" w:hAnsi="宋体" w:cs="宋体"/>
          <w:kern w:val="0"/>
          <w:sz w:val="18"/>
          <w:szCs w:val="18"/>
        </w:rPr>
        <w:t>：023-68157555。</w:t>
      </w:r>
    </w:p>
    <w:p w14:paraId="55BB2EB4">
      <w:pPr>
        <w:widowControl/>
        <w:spacing w:line="320" w:lineRule="exact"/>
        <w:ind w:firstLine="360" w:firstLineChars="200"/>
        <w:outlineLvl w:val="1"/>
        <w:rPr>
          <w:rFonts w:ascii="宋体" w:hAnsi="宋体" w:cs="宋体"/>
          <w:sz w:val="18"/>
          <w:szCs w:val="18"/>
        </w:rPr>
      </w:pPr>
      <w:r>
        <w:rPr>
          <w:rFonts w:hint="eastAsia" w:ascii="宋体" w:hAnsi="宋体" w:cs="宋体"/>
          <w:b/>
          <w:bCs/>
          <w:kern w:val="0"/>
          <w:sz w:val="18"/>
          <w:szCs w:val="18"/>
        </w:rPr>
        <w:t>第七条：</w:t>
      </w:r>
      <w:r>
        <w:rPr>
          <w:rFonts w:hint="eastAsia" w:ascii="宋体" w:hAnsi="宋体" w:cs="宋体"/>
          <w:sz w:val="18"/>
          <w:szCs w:val="18"/>
        </w:rPr>
        <w:t>未经公司制度特别规定或正式授权，员工在本合同/协议/或其他书面材料签章的行为，不对外产生效力。</w:t>
      </w:r>
    </w:p>
    <w:p w14:paraId="2282417B">
      <w:pPr>
        <w:pStyle w:val="64"/>
        <w:spacing w:line="320" w:lineRule="exact"/>
      </w:pPr>
    </w:p>
    <w:p w14:paraId="22413F0A">
      <w:pPr>
        <w:pStyle w:val="64"/>
        <w:spacing w:line="320" w:lineRule="exact"/>
      </w:pPr>
    </w:p>
    <w:p w14:paraId="3AE295EC">
      <w:pPr>
        <w:spacing w:line="320" w:lineRule="exact"/>
        <w:ind w:left="210" w:leftChars="100" w:firstLine="180" w:firstLineChars="100"/>
        <w:rPr>
          <w:sz w:val="18"/>
        </w:rPr>
      </w:pPr>
      <w:r>
        <w:rPr>
          <w:rFonts w:hint="eastAsia"/>
          <w:b/>
          <w:sz w:val="18"/>
        </w:rPr>
        <w:t>发包人（买方）</w:t>
      </w:r>
      <w:r>
        <w:rPr>
          <w:b/>
          <w:sz w:val="18"/>
        </w:rPr>
        <w:t>名称：</w:t>
      </w:r>
      <w:r>
        <w:rPr>
          <w:rFonts w:hint="eastAsia"/>
          <w:b/>
          <w:sz w:val="18"/>
        </w:rPr>
        <w:t xml:space="preserve">重庆天泽新材料有限公司 </w:t>
      </w:r>
      <w:r>
        <w:rPr>
          <w:b/>
          <w:sz w:val="18"/>
        </w:rPr>
        <w:t xml:space="preserve">              </w:t>
      </w:r>
      <w:r>
        <w:rPr>
          <w:rFonts w:hint="eastAsia"/>
          <w:b/>
          <w:sz w:val="18"/>
        </w:rPr>
        <w:t>承包人（卖方）</w:t>
      </w:r>
      <w:r>
        <w:rPr>
          <w:b/>
          <w:sz w:val="18"/>
        </w:rPr>
        <w:t>名称：</w:t>
      </w:r>
      <w:r>
        <w:rPr>
          <w:rFonts w:hint="eastAsia"/>
          <w:b/>
          <w:sz w:val="18"/>
        </w:rPr>
        <w:t xml:space="preserve">  </w:t>
      </w:r>
      <w:r>
        <w:rPr>
          <w:b/>
          <w:sz w:val="18"/>
        </w:rPr>
        <w:t xml:space="preserve">           </w:t>
      </w:r>
      <w:r>
        <w:rPr>
          <w:rFonts w:hint="eastAsia"/>
          <w:b/>
          <w:sz w:val="18"/>
        </w:rPr>
        <w:t xml:space="preserve">                  </w:t>
      </w:r>
    </w:p>
    <w:p w14:paraId="075928C6">
      <w:pPr>
        <w:spacing w:line="320" w:lineRule="exact"/>
        <w:rPr>
          <w:sz w:val="18"/>
        </w:rPr>
      </w:pPr>
    </w:p>
    <w:p w14:paraId="593CAF42">
      <w:pPr>
        <w:spacing w:line="320" w:lineRule="exact"/>
        <w:ind w:firstLine="360" w:firstLineChars="200"/>
        <w:rPr>
          <w:b/>
          <w:sz w:val="18"/>
        </w:rPr>
      </w:pPr>
      <w:r>
        <w:rPr>
          <w:b/>
          <w:sz w:val="18"/>
        </w:rPr>
        <w:t xml:space="preserve">代表签字（盖章）：    </w:t>
      </w:r>
      <w:r>
        <w:rPr>
          <w:rFonts w:hint="eastAsia"/>
          <w:b/>
          <w:sz w:val="18"/>
        </w:rPr>
        <w:t xml:space="preserve">                                        </w:t>
      </w:r>
      <w:r>
        <w:rPr>
          <w:b/>
          <w:sz w:val="18"/>
        </w:rPr>
        <w:t>代表签字（盖章）：</w:t>
      </w:r>
    </w:p>
    <w:p w14:paraId="43843EA0">
      <w:pPr>
        <w:spacing w:line="320" w:lineRule="exact"/>
        <w:rPr>
          <w:b/>
          <w:sz w:val="18"/>
        </w:rPr>
      </w:pPr>
    </w:p>
    <w:p w14:paraId="0D55F448">
      <w:pPr>
        <w:spacing w:line="320" w:lineRule="exact"/>
        <w:ind w:firstLine="360" w:firstLineChars="200"/>
      </w:pPr>
      <w:r>
        <w:rPr>
          <w:b/>
          <w:sz w:val="18"/>
        </w:rPr>
        <w:t xml:space="preserve">日期：                        </w:t>
      </w:r>
      <w:r>
        <w:rPr>
          <w:rFonts w:hint="eastAsia"/>
          <w:b/>
          <w:sz w:val="18"/>
        </w:rPr>
        <w:t xml:space="preserve">                               </w:t>
      </w:r>
      <w:r>
        <w:rPr>
          <w:b/>
          <w:sz w:val="18"/>
        </w:rPr>
        <w:t xml:space="preserve">日期： </w:t>
      </w:r>
    </w:p>
    <w:p w14:paraId="120A44FC">
      <w:pPr>
        <w:wordWrap w:val="0"/>
        <w:topLinePunct/>
        <w:autoSpaceDE w:val="0"/>
        <w:autoSpaceDN w:val="0"/>
        <w:adjustRightInd w:val="0"/>
        <w:snapToGrid w:val="0"/>
        <w:spacing w:line="360" w:lineRule="auto"/>
        <w:ind w:firstLine="420" w:firstLineChars="200"/>
        <w:rPr>
          <w:rFonts w:ascii="宋体" w:hAnsi="宋体"/>
          <w:color w:val="000000"/>
          <w:szCs w:val="21"/>
        </w:rPr>
      </w:pPr>
      <w:r>
        <w:rPr>
          <w:rFonts w:hint="eastAsia" w:ascii="宋体" w:hAnsi="宋体"/>
          <w:color w:val="000000"/>
          <w:szCs w:val="21"/>
        </w:rPr>
        <w:t xml:space="preserve"> </w:t>
      </w:r>
    </w:p>
    <w:p w14:paraId="66D62F1A">
      <w:pPr>
        <w:rPr>
          <w:rFonts w:eastAsia="仿宋_GB2312"/>
          <w:color w:val="000000"/>
          <w:sz w:val="30"/>
          <w:szCs w:val="30"/>
        </w:rPr>
      </w:pPr>
      <w:r>
        <w:rPr>
          <w:rFonts w:eastAsia="仿宋_GB2312"/>
          <w:color w:val="000000"/>
          <w:sz w:val="30"/>
          <w:szCs w:val="30"/>
        </w:rPr>
        <w:br w:type="page"/>
      </w:r>
    </w:p>
    <w:p w14:paraId="47734253">
      <w:pPr>
        <w:spacing w:line="440" w:lineRule="exact"/>
        <w:rPr>
          <w:rFonts w:eastAsia="仿宋_GB2312"/>
          <w:color w:val="000000"/>
          <w:sz w:val="30"/>
          <w:szCs w:val="30"/>
        </w:rPr>
      </w:pPr>
      <w:r>
        <w:rPr>
          <w:rFonts w:eastAsia="仿宋_GB2312"/>
          <w:color w:val="000000"/>
          <w:sz w:val="30"/>
          <w:szCs w:val="30"/>
        </w:rPr>
        <w:t>附件2：</w:t>
      </w:r>
    </w:p>
    <w:p w14:paraId="76074295">
      <w:pPr>
        <w:pStyle w:val="2"/>
        <w:keepNext w:val="0"/>
        <w:keepLines w:val="0"/>
        <w:widowControl/>
        <w:autoSpaceDE w:val="0"/>
        <w:spacing w:before="140"/>
        <w:jc w:val="center"/>
        <w:rPr>
          <w:rFonts w:ascii="宋体" w:hAnsi="宋体" w:cs="宋体"/>
          <w:sz w:val="32"/>
          <w:szCs w:val="32"/>
        </w:rPr>
      </w:pPr>
      <w:r>
        <w:rPr>
          <w:rFonts w:hint="eastAsia" w:ascii="宋体" w:hAnsi="宋体" w:cs="宋体"/>
          <w:sz w:val="32"/>
          <w:szCs w:val="32"/>
        </w:rPr>
        <w:t>安全环保管理协议</w:t>
      </w:r>
    </w:p>
    <w:p w14:paraId="2BB116DF">
      <w:pPr>
        <w:rPr>
          <w:rFonts w:ascii="Calibri" w:hAnsi="Calibri"/>
          <w:szCs w:val="21"/>
        </w:rPr>
      </w:pPr>
      <w:r>
        <w:rPr>
          <w:rFonts w:hint="eastAsia" w:ascii="Calibri" w:hAnsi="Calibri"/>
          <w:kern w:val="0"/>
          <w:szCs w:val="21"/>
          <w:lang w:bidi="ar"/>
        </w:rPr>
        <w:t xml:space="preserve"> </w:t>
      </w:r>
    </w:p>
    <w:p w14:paraId="3943EF73">
      <w:pPr>
        <w:pStyle w:val="18"/>
        <w:autoSpaceDE w:val="0"/>
        <w:spacing w:line="360" w:lineRule="auto"/>
        <w:rPr>
          <w:rFonts w:ascii="宋体" w:hAnsi="宋体" w:cs="宋体"/>
        </w:rPr>
      </w:pPr>
      <w:r>
        <w:rPr>
          <w:rFonts w:hint="eastAsia" w:ascii="宋体" w:hAnsi="宋体" w:cs="宋体"/>
          <w:lang w:bidi="ar"/>
        </w:rPr>
        <w:t>发包人（全称）：重庆天泽新材料有限公司</w:t>
      </w:r>
    </w:p>
    <w:p w14:paraId="4CFBCA4E">
      <w:pPr>
        <w:pStyle w:val="18"/>
        <w:autoSpaceDE w:val="0"/>
        <w:spacing w:line="360" w:lineRule="auto"/>
        <w:rPr>
          <w:rFonts w:ascii="宋体" w:hAnsi="宋体" w:cs="宋体"/>
        </w:rPr>
      </w:pPr>
      <w:r>
        <w:rPr>
          <w:rFonts w:hint="eastAsia" w:ascii="宋体" w:hAnsi="宋体" w:cs="宋体"/>
          <w:lang w:bidi="ar"/>
        </w:rPr>
        <w:t>承包人（全称）：</w:t>
      </w:r>
    </w:p>
    <w:p w14:paraId="2127ABFD">
      <w:pPr>
        <w:pStyle w:val="18"/>
        <w:autoSpaceDE w:val="0"/>
        <w:spacing w:line="360" w:lineRule="auto"/>
        <w:rPr>
          <w:rFonts w:ascii="宋体" w:hAnsi="宋体" w:cs="宋体"/>
        </w:rPr>
      </w:pPr>
      <w:r>
        <w:rPr>
          <w:rFonts w:hint="eastAsia" w:ascii="宋体" w:hAnsi="宋体" w:cs="宋体"/>
          <w:lang w:bidi="ar"/>
        </w:rPr>
        <w:t xml:space="preserve"> </w:t>
      </w:r>
    </w:p>
    <w:p w14:paraId="3178B8F6">
      <w:pPr>
        <w:pStyle w:val="18"/>
        <w:autoSpaceDE w:val="0"/>
        <w:spacing w:line="360" w:lineRule="auto"/>
        <w:ind w:firstLine="480" w:firstLineChars="200"/>
        <w:rPr>
          <w:rFonts w:ascii="宋体" w:hAnsi="宋体" w:cs="宋体"/>
        </w:rPr>
      </w:pPr>
      <w:r>
        <w:rPr>
          <w:rFonts w:hint="eastAsia" w:ascii="宋体" w:hAnsi="宋体" w:cs="宋体"/>
          <w:lang w:bidi="ar"/>
        </w:rPr>
        <w:t>根据《安全生产法》《重庆市安全生产条例》等有关规定，基于已签订的合同文件，为进一步明确双方在承揽的（☑工程项目、£设备设施安装、□检维修施工）时的安全、环保、消防职责和义务，落实 “谁发包、谁负责”“谁用工、谁管理”“属地管理” 和 “全过程、一体化” 管理原则，全面推行 “五个一”（一套标准、一套考核、一体运作、一个团队、一种文化）一体化管理模式，经双方协商同意后签订本协议，以期共同遵守。</w:t>
      </w:r>
    </w:p>
    <w:p w14:paraId="3C008E26">
      <w:pPr>
        <w:pStyle w:val="3"/>
        <w:keepNext w:val="0"/>
        <w:keepLines w:val="0"/>
        <w:widowControl/>
        <w:autoSpaceDE w:val="0"/>
        <w:spacing w:before="0" w:after="0" w:line="360" w:lineRule="auto"/>
        <w:ind w:firstLine="560" w:firstLineChars="200"/>
        <w:rPr>
          <w:rFonts w:ascii="宋体" w:hAnsi="宋体" w:cs="宋体"/>
          <w:sz w:val="28"/>
          <w:szCs w:val="28"/>
        </w:rPr>
      </w:pPr>
      <w:r>
        <w:rPr>
          <w:rFonts w:hint="eastAsia" w:ascii="宋体" w:hAnsi="宋体" w:cs="宋体"/>
          <w:sz w:val="28"/>
          <w:szCs w:val="28"/>
        </w:rPr>
        <w:t>一、核心协议内容</w:t>
      </w:r>
    </w:p>
    <w:p w14:paraId="2729D2B2">
      <w:pPr>
        <w:pStyle w:val="4"/>
        <w:keepNext w:val="0"/>
        <w:keepLines w:val="0"/>
        <w:widowControl/>
        <w:autoSpaceDE w:val="0"/>
        <w:spacing w:before="0" w:after="0" w:line="360" w:lineRule="auto"/>
        <w:ind w:firstLine="560" w:firstLineChars="200"/>
        <w:rPr>
          <w:rFonts w:ascii="宋体" w:hAnsi="宋体" w:cs="宋体"/>
          <w:sz w:val="28"/>
          <w:szCs w:val="28"/>
        </w:rPr>
      </w:pPr>
      <w:r>
        <w:rPr>
          <w:rFonts w:hint="eastAsia" w:ascii="宋体" w:hAnsi="宋体" w:cs="宋体"/>
          <w:sz w:val="28"/>
          <w:szCs w:val="28"/>
        </w:rPr>
        <w:t>（一）发包企业安全规章制度告知</w:t>
      </w:r>
    </w:p>
    <w:p w14:paraId="4BB85E15">
      <w:pPr>
        <w:pStyle w:val="18"/>
        <w:autoSpaceDE w:val="0"/>
        <w:spacing w:line="360" w:lineRule="auto"/>
        <w:ind w:firstLine="480" w:firstLineChars="200"/>
        <w:rPr>
          <w:rFonts w:ascii="宋体" w:hAnsi="宋体" w:cs="宋体"/>
        </w:rPr>
      </w:pPr>
      <w:r>
        <w:rPr>
          <w:rFonts w:hint="eastAsia" w:ascii="宋体" w:hAnsi="宋体" w:cs="宋体"/>
          <w:lang w:bidi="ar"/>
        </w:rPr>
        <w:t>1、发包人应向承包人全面告知公司安全环保规章制度、应急处理程序、“吹哨人” 及隐患内部报告制度（含奖励标准）、安全生产十大禁令、《云天化集团承包商安全管理指南》等核心要求，提供制度文本供承包人存档查阅，并通过专题培训或书面签收等方式确保承包人及全体从业人员知晓、理解并承诺遵守。</w:t>
      </w:r>
    </w:p>
    <w:p w14:paraId="1BBB9131">
      <w:pPr>
        <w:pStyle w:val="18"/>
        <w:autoSpaceDE w:val="0"/>
        <w:spacing w:line="360" w:lineRule="auto"/>
        <w:ind w:firstLine="480" w:firstLineChars="200"/>
        <w:rPr>
          <w:rFonts w:ascii="宋体" w:hAnsi="宋体" w:cs="宋体"/>
        </w:rPr>
      </w:pPr>
      <w:r>
        <w:rPr>
          <w:rFonts w:hint="eastAsia" w:ascii="宋体" w:hAnsi="宋体" w:cs="宋体"/>
          <w:lang w:bidi="ar"/>
        </w:rPr>
        <w:t>2、承包人应组织内部全员传达学习发包人安全规章制度，留存学习记录备查，并将相关要求融入自身安全管理体系，确保落地执行。</w:t>
      </w:r>
    </w:p>
    <w:p w14:paraId="558C29A1">
      <w:pPr>
        <w:pStyle w:val="3"/>
        <w:keepNext w:val="0"/>
        <w:keepLines w:val="0"/>
        <w:widowControl/>
        <w:autoSpaceDE w:val="0"/>
        <w:spacing w:before="0" w:after="0" w:line="360" w:lineRule="auto"/>
        <w:ind w:firstLine="560" w:firstLineChars="200"/>
        <w:rPr>
          <w:rFonts w:ascii="宋体" w:hAnsi="宋体" w:cs="宋体"/>
          <w:sz w:val="28"/>
          <w:szCs w:val="28"/>
        </w:rPr>
      </w:pPr>
      <w:r>
        <w:rPr>
          <w:rFonts w:hint="eastAsia" w:ascii="宋体" w:hAnsi="宋体" w:cs="宋体"/>
          <w:sz w:val="28"/>
          <w:szCs w:val="28"/>
        </w:rPr>
        <w:t>（二）双方工作范围</w:t>
      </w:r>
    </w:p>
    <w:p w14:paraId="60DAD6AF">
      <w:pPr>
        <w:pStyle w:val="18"/>
        <w:autoSpaceDE w:val="0"/>
        <w:spacing w:line="360" w:lineRule="auto"/>
        <w:ind w:firstLine="480" w:firstLineChars="200"/>
        <w:rPr>
          <w:rFonts w:ascii="宋体" w:hAnsi="宋体" w:cs="宋体"/>
        </w:rPr>
      </w:pPr>
      <w:r>
        <w:rPr>
          <w:rFonts w:hint="eastAsia" w:ascii="宋体" w:hAnsi="宋体" w:cs="宋体"/>
          <w:lang w:bidi="ar"/>
        </w:rPr>
        <w:t>1、发包人工作范围：</w:t>
      </w:r>
    </w:p>
    <w:p w14:paraId="77D313CA">
      <w:pPr>
        <w:pStyle w:val="18"/>
        <w:autoSpaceDE w:val="0"/>
        <w:spacing w:line="360" w:lineRule="auto"/>
        <w:ind w:firstLine="480" w:firstLineChars="200"/>
        <w:rPr>
          <w:rFonts w:ascii="宋体" w:hAnsi="宋体" w:cs="宋体"/>
        </w:rPr>
      </w:pPr>
      <w:r>
        <w:rPr>
          <w:rFonts w:hint="eastAsia" w:ascii="宋体" w:hAnsi="宋体" w:cs="宋体"/>
          <w:lang w:bidi="ar"/>
        </w:rPr>
        <w:t>提供符合安全要求的施工、维保场地，明确业务发包部门、使用部门及属地部门的具体职责分工，杜绝管理责任悬空。</w:t>
      </w:r>
    </w:p>
    <w:p w14:paraId="631C1C82">
      <w:pPr>
        <w:autoSpaceDE w:val="0"/>
        <w:spacing w:line="360" w:lineRule="auto"/>
        <w:ind w:firstLine="480" w:firstLineChars="200"/>
        <w:rPr>
          <w:rFonts w:ascii="宋体" w:hAnsi="宋体" w:cs="宋体"/>
          <w:sz w:val="24"/>
        </w:rPr>
      </w:pPr>
      <w:r>
        <w:rPr>
          <w:rFonts w:hint="eastAsia" w:ascii="宋体" w:hAnsi="宋体" w:cs="宋体"/>
          <w:kern w:val="0"/>
          <w:sz w:val="24"/>
          <w:lang w:bidi="ar"/>
        </w:rPr>
        <w:t>发包人对应部门：</w:t>
      </w:r>
    </w:p>
    <w:p w14:paraId="24E930D6">
      <w:pPr>
        <w:autoSpaceDE w:val="0"/>
        <w:spacing w:line="360" w:lineRule="auto"/>
        <w:ind w:firstLine="480" w:firstLineChars="200"/>
        <w:rPr>
          <w:rFonts w:ascii="宋体" w:hAnsi="宋体" w:cs="宋体"/>
          <w:sz w:val="24"/>
          <w:u w:val="single"/>
        </w:rPr>
      </w:pPr>
      <w:r>
        <w:rPr>
          <w:rFonts w:hint="eastAsia" w:ascii="宋体" w:hAnsi="宋体" w:cs="宋体"/>
          <w:kern w:val="0"/>
          <w:sz w:val="24"/>
          <w:lang w:bidi="ar"/>
        </w:rPr>
        <w:t>发包部门：</w:t>
      </w:r>
      <w:r>
        <w:rPr>
          <w:rFonts w:hint="eastAsia" w:ascii="宋体" w:hAnsi="宋体" w:cs="宋体"/>
          <w:kern w:val="0"/>
          <w:sz w:val="24"/>
          <w:u w:val="single"/>
          <w:lang w:bidi="ar"/>
        </w:rPr>
        <w:t xml:space="preserve">工装工程中心  </w:t>
      </w:r>
    </w:p>
    <w:p w14:paraId="1ADB864D">
      <w:pPr>
        <w:autoSpaceDE w:val="0"/>
        <w:spacing w:line="360" w:lineRule="auto"/>
        <w:ind w:firstLine="480" w:firstLineChars="200"/>
        <w:rPr>
          <w:rFonts w:ascii="宋体" w:hAnsi="宋体" w:cs="宋体"/>
          <w:sz w:val="24"/>
          <w:u w:val="single"/>
        </w:rPr>
      </w:pPr>
      <w:r>
        <w:rPr>
          <w:rFonts w:hint="eastAsia" w:ascii="宋体" w:hAnsi="宋体" w:cs="宋体"/>
          <w:kern w:val="0"/>
          <w:sz w:val="24"/>
          <w:lang w:bidi="ar"/>
        </w:rPr>
        <w:t>使用部门：</w:t>
      </w:r>
      <w:r>
        <w:rPr>
          <w:rFonts w:hint="eastAsia" w:ascii="宋体" w:hAnsi="宋体" w:cs="宋体"/>
          <w:kern w:val="0"/>
          <w:sz w:val="24"/>
          <w:u w:val="single"/>
          <w:lang w:bidi="ar"/>
        </w:rPr>
        <w:t xml:space="preserve">工装工程中心  </w:t>
      </w:r>
      <w:r>
        <w:rPr>
          <w:rFonts w:hint="eastAsia" w:ascii="宋体" w:hAnsi="宋体" w:cs="宋体"/>
          <w:kern w:val="0"/>
          <w:sz w:val="24"/>
          <w:u w:val="thick"/>
          <w:lang w:bidi="ar"/>
        </w:rPr>
        <w:t xml:space="preserve">   </w:t>
      </w:r>
      <w:r>
        <w:rPr>
          <w:rFonts w:hint="eastAsia" w:ascii="宋体" w:hAnsi="宋体" w:cs="宋体"/>
          <w:kern w:val="0"/>
          <w:sz w:val="24"/>
          <w:lang w:bidi="ar"/>
        </w:rPr>
        <w:t xml:space="preserve"> </w:t>
      </w:r>
      <w:r>
        <w:rPr>
          <w:rFonts w:hint="eastAsia" w:ascii="宋体" w:hAnsi="宋体" w:cs="宋体"/>
          <w:kern w:val="0"/>
          <w:sz w:val="24"/>
          <w:u w:val="single"/>
          <w:lang w:bidi="ar"/>
        </w:rPr>
        <w:t xml:space="preserve">         </w:t>
      </w:r>
    </w:p>
    <w:p w14:paraId="28B6A100">
      <w:pPr>
        <w:autoSpaceDE w:val="0"/>
        <w:spacing w:line="360" w:lineRule="auto"/>
        <w:ind w:firstLine="480" w:firstLineChars="200"/>
        <w:rPr>
          <w:rFonts w:ascii="宋体" w:hAnsi="宋体" w:cs="宋体"/>
          <w:sz w:val="24"/>
        </w:rPr>
      </w:pPr>
      <w:r>
        <w:rPr>
          <w:rFonts w:hint="eastAsia" w:ascii="宋体" w:hAnsi="宋体" w:cs="宋体"/>
          <w:kern w:val="0"/>
          <w:sz w:val="24"/>
          <w:lang w:bidi="ar"/>
        </w:rPr>
        <w:t>属地部门：</w:t>
      </w:r>
      <w:r>
        <w:rPr>
          <w:rFonts w:hint="eastAsia" w:ascii="宋体" w:hAnsi="宋体" w:cs="宋体"/>
          <w:kern w:val="0"/>
          <w:sz w:val="24"/>
          <w:u w:val="single"/>
          <w:lang w:bidi="ar"/>
        </w:rPr>
        <w:t xml:space="preserve">XXXXXX                        </w:t>
      </w:r>
    </w:p>
    <w:p w14:paraId="51D1D0AD">
      <w:pPr>
        <w:pStyle w:val="18"/>
        <w:autoSpaceDE w:val="0"/>
        <w:spacing w:line="360" w:lineRule="auto"/>
        <w:ind w:firstLine="480" w:firstLineChars="200"/>
        <w:rPr>
          <w:rFonts w:ascii="宋体" w:hAnsi="宋体" w:cs="宋体"/>
        </w:rPr>
      </w:pPr>
      <w:r>
        <w:rPr>
          <w:rFonts w:hint="eastAsia" w:ascii="宋体" w:hAnsi="宋体" w:cs="宋体"/>
          <w:lang w:bidi="ar"/>
        </w:rPr>
        <w:t>对承包人开展准入审查、安全培训考核、作业过程监督检查，统筹协调同一作业区域多承包商的安全管理；建立承包人管理档案，实施安全绩效评价、合格承包商名录及黑名单动态管理。</w:t>
      </w:r>
    </w:p>
    <w:p w14:paraId="38252752">
      <w:pPr>
        <w:pStyle w:val="18"/>
        <w:autoSpaceDE w:val="0"/>
        <w:spacing w:line="360" w:lineRule="auto"/>
        <w:ind w:firstLine="480" w:firstLineChars="200"/>
        <w:rPr>
          <w:rFonts w:ascii="宋体" w:hAnsi="宋体" w:cs="宋体"/>
        </w:rPr>
      </w:pPr>
      <w:r>
        <w:rPr>
          <w:rFonts w:hint="eastAsia" w:ascii="宋体" w:hAnsi="宋体" w:cs="宋体"/>
          <w:lang w:bidi="ar"/>
        </w:rPr>
        <w:t>组织开展安全赋能与文化融合活动，监督承包人 “吹哨人” 及隐患内部报告制度的建立与执行，保障奖励资金落实。</w:t>
      </w:r>
    </w:p>
    <w:p w14:paraId="21C407A6">
      <w:pPr>
        <w:pStyle w:val="18"/>
        <w:autoSpaceDE w:val="0"/>
        <w:spacing w:line="360" w:lineRule="auto"/>
        <w:ind w:firstLine="480" w:firstLineChars="200"/>
        <w:rPr>
          <w:rFonts w:ascii="宋体" w:hAnsi="宋体" w:cs="宋体"/>
        </w:rPr>
      </w:pPr>
      <w:r>
        <w:rPr>
          <w:rFonts w:hint="eastAsia" w:ascii="宋体" w:hAnsi="宋体" w:cs="宋体"/>
          <w:lang w:bidi="ar"/>
        </w:rPr>
        <w:t>2、承包人工作范围：</w:t>
      </w:r>
    </w:p>
    <w:p w14:paraId="0FC9C49B">
      <w:pPr>
        <w:pStyle w:val="18"/>
        <w:autoSpaceDE w:val="0"/>
        <w:spacing w:line="360" w:lineRule="auto"/>
        <w:ind w:firstLine="480" w:firstLineChars="200"/>
        <w:rPr>
          <w:rFonts w:ascii="宋体" w:hAnsi="宋体" w:cs="宋体"/>
        </w:rPr>
      </w:pPr>
      <w:r>
        <w:rPr>
          <w:rFonts w:hint="eastAsia" w:ascii="宋体" w:hAnsi="宋体" w:cs="宋体"/>
          <w:lang w:bidi="ar"/>
        </w:rPr>
        <w:t>按照合同约定完成承揽业务，履行安全生产主体责任，接受发包人及相关单位的监督管理。</w:t>
      </w:r>
    </w:p>
    <w:p w14:paraId="3A577E87">
      <w:pPr>
        <w:pStyle w:val="18"/>
        <w:autoSpaceDE w:val="0"/>
        <w:spacing w:line="360" w:lineRule="auto"/>
        <w:ind w:firstLine="480" w:firstLineChars="200"/>
        <w:rPr>
          <w:rFonts w:ascii="宋体" w:hAnsi="宋体" w:cs="宋体"/>
        </w:rPr>
      </w:pPr>
      <w:r>
        <w:rPr>
          <w:rFonts w:hint="eastAsia" w:ascii="宋体" w:hAnsi="宋体" w:cs="宋体"/>
          <w:lang w:bidi="ar"/>
        </w:rPr>
        <w:t>建立健全安全管理体系，配备相应安全管理人员，保障安全生产资金投入，落实各项安全环保措施；开展从业人员安全培训、职业健康监护、保险投保等工作。</w:t>
      </w:r>
    </w:p>
    <w:p w14:paraId="2E67104C">
      <w:pPr>
        <w:pStyle w:val="18"/>
        <w:autoSpaceDE w:val="0"/>
        <w:spacing w:line="360" w:lineRule="auto"/>
        <w:ind w:firstLine="480" w:firstLineChars="200"/>
        <w:rPr>
          <w:rFonts w:ascii="宋体" w:hAnsi="宋体" w:cs="宋体"/>
        </w:rPr>
      </w:pPr>
      <w:r>
        <w:rPr>
          <w:rFonts w:hint="eastAsia" w:ascii="宋体" w:hAnsi="宋体" w:cs="宋体"/>
          <w:lang w:bidi="ar"/>
        </w:rPr>
        <w:t>建立并执行 “吹哨人” 及隐患内部报告制度，及时排查治理安全隐患，妥善处置事故事件。</w:t>
      </w:r>
    </w:p>
    <w:p w14:paraId="471A755F">
      <w:pPr>
        <w:pStyle w:val="3"/>
        <w:keepNext w:val="0"/>
        <w:keepLines w:val="0"/>
        <w:widowControl/>
        <w:autoSpaceDE w:val="0"/>
        <w:spacing w:before="0" w:after="0" w:line="360" w:lineRule="auto"/>
        <w:ind w:firstLine="560" w:firstLineChars="200"/>
        <w:rPr>
          <w:rFonts w:ascii="宋体" w:hAnsi="宋体" w:cs="宋体"/>
          <w:sz w:val="28"/>
          <w:szCs w:val="28"/>
        </w:rPr>
      </w:pPr>
      <w:r>
        <w:rPr>
          <w:rFonts w:hint="eastAsia" w:ascii="宋体" w:hAnsi="宋体" w:cs="宋体"/>
          <w:sz w:val="28"/>
          <w:szCs w:val="28"/>
        </w:rPr>
        <w:t>（三）安全责任划分</w:t>
      </w:r>
    </w:p>
    <w:p w14:paraId="5D5875BF">
      <w:pPr>
        <w:pStyle w:val="18"/>
        <w:autoSpaceDE w:val="0"/>
        <w:spacing w:line="360" w:lineRule="auto"/>
        <w:ind w:firstLine="480" w:firstLineChars="200"/>
        <w:rPr>
          <w:rFonts w:ascii="宋体" w:hAnsi="宋体" w:cs="宋体"/>
        </w:rPr>
      </w:pPr>
      <w:r>
        <w:rPr>
          <w:rFonts w:hint="eastAsia" w:ascii="宋体" w:hAnsi="宋体" w:cs="宋体"/>
          <w:lang w:bidi="ar"/>
        </w:rPr>
        <w:t>1、发包人责任：</w:t>
      </w:r>
    </w:p>
    <w:p w14:paraId="7D3CC3A8">
      <w:pPr>
        <w:pStyle w:val="18"/>
        <w:autoSpaceDE w:val="0"/>
        <w:spacing w:line="360" w:lineRule="auto"/>
        <w:ind w:firstLine="480" w:firstLineChars="200"/>
        <w:rPr>
          <w:rFonts w:ascii="宋体" w:hAnsi="宋体" w:cs="宋体"/>
        </w:rPr>
      </w:pPr>
      <w:r>
        <w:rPr>
          <w:rFonts w:hint="eastAsia" w:ascii="宋体" w:hAnsi="宋体" w:cs="宋体"/>
          <w:lang w:bidi="ar"/>
        </w:rPr>
        <w:t>履行安全规章制度告知、安全培训考核、作业现场监督检查等职责，对发现的隐患有权采取停工整改、扣除违约金、责令更换人员设备等措施。</w:t>
      </w:r>
    </w:p>
    <w:p w14:paraId="657B1FBC">
      <w:pPr>
        <w:pStyle w:val="18"/>
        <w:autoSpaceDE w:val="0"/>
        <w:spacing w:line="360" w:lineRule="auto"/>
        <w:ind w:firstLine="480" w:firstLineChars="200"/>
        <w:rPr>
          <w:rFonts w:ascii="宋体" w:hAnsi="宋体" w:cs="宋体"/>
        </w:rPr>
      </w:pPr>
      <w:r>
        <w:rPr>
          <w:rFonts w:hint="eastAsia" w:ascii="宋体" w:hAnsi="宋体" w:cs="宋体"/>
          <w:lang w:bidi="ar"/>
        </w:rPr>
        <w:t>统筹协调承包商安全管理工作，每季度组织召开承包商安全管理会议，通报管理情况及问题；将承包商安全管理纳入本单位年度安全环保绩效考核体系。</w:t>
      </w:r>
    </w:p>
    <w:p w14:paraId="6356C380">
      <w:pPr>
        <w:pStyle w:val="18"/>
        <w:autoSpaceDE w:val="0"/>
        <w:spacing w:line="360" w:lineRule="auto"/>
        <w:ind w:firstLine="480" w:firstLineChars="200"/>
        <w:rPr>
          <w:rFonts w:ascii="宋体" w:hAnsi="宋体" w:cs="宋体"/>
        </w:rPr>
      </w:pPr>
      <w:r>
        <w:rPr>
          <w:rFonts w:hint="eastAsia" w:ascii="宋体" w:hAnsi="宋体" w:cs="宋体"/>
          <w:lang w:bidi="ar"/>
        </w:rPr>
        <w:t>同一作业区域有两个或两个以上承包商作业时，组织签订安全生产管理协议，明确各自安全职责；指导与监督承包人 “吹哨人” 制度执行，将其纳入安全文化建设和考核范畴。</w:t>
      </w:r>
    </w:p>
    <w:p w14:paraId="0710B73D">
      <w:pPr>
        <w:pStyle w:val="18"/>
        <w:autoSpaceDE w:val="0"/>
        <w:spacing w:line="360" w:lineRule="auto"/>
        <w:ind w:firstLine="480" w:firstLineChars="200"/>
        <w:rPr>
          <w:rFonts w:ascii="宋体" w:hAnsi="宋体" w:cs="宋体"/>
        </w:rPr>
      </w:pPr>
      <w:r>
        <w:rPr>
          <w:rFonts w:hint="eastAsia" w:ascii="宋体" w:hAnsi="宋体" w:cs="宋体"/>
          <w:lang w:bidi="ar"/>
        </w:rPr>
        <w:t>2、承包人责任：</w:t>
      </w:r>
    </w:p>
    <w:p w14:paraId="5BC16135">
      <w:pPr>
        <w:pStyle w:val="18"/>
        <w:autoSpaceDE w:val="0"/>
        <w:spacing w:line="360" w:lineRule="auto"/>
        <w:ind w:firstLine="480" w:firstLineChars="200"/>
        <w:rPr>
          <w:rFonts w:ascii="宋体" w:hAnsi="宋体" w:cs="宋体"/>
        </w:rPr>
      </w:pPr>
      <w:r>
        <w:rPr>
          <w:rFonts w:hint="eastAsia" w:ascii="宋体" w:hAnsi="宋体" w:cs="宋体"/>
          <w:lang w:bidi="ar"/>
        </w:rPr>
        <w:t>承担施工安全主体责任，建立安全生产管理机构，配备专（兼）职安全生产管理人员，健全安全生产责任制和管理制度；保障安全生产资金投入。</w:t>
      </w:r>
    </w:p>
    <w:p w14:paraId="48B0109F">
      <w:pPr>
        <w:pStyle w:val="18"/>
        <w:autoSpaceDE w:val="0"/>
        <w:spacing w:line="360" w:lineRule="auto"/>
        <w:ind w:firstLine="480" w:firstLineChars="200"/>
        <w:rPr>
          <w:rFonts w:ascii="宋体" w:hAnsi="宋体" w:cs="宋体"/>
        </w:rPr>
      </w:pPr>
      <w:r>
        <w:rPr>
          <w:rFonts w:hint="eastAsia" w:ascii="宋体" w:hAnsi="宋体" w:cs="宋体"/>
          <w:lang w:bidi="ar"/>
        </w:rPr>
        <w:t>负责从业人员的培训、管理、健康监护及保险投保，确保特种作业人员、特种设备作业人员 100% 持有效操作资格证上岗。</w:t>
      </w:r>
    </w:p>
    <w:p w14:paraId="29394918">
      <w:pPr>
        <w:pStyle w:val="18"/>
        <w:autoSpaceDE w:val="0"/>
        <w:spacing w:line="360" w:lineRule="auto"/>
        <w:ind w:firstLine="480" w:firstLineChars="200"/>
        <w:rPr>
          <w:rFonts w:ascii="宋体" w:hAnsi="宋体" w:cs="宋体"/>
        </w:rPr>
      </w:pPr>
      <w:r>
        <w:rPr>
          <w:rFonts w:hint="eastAsia" w:ascii="宋体" w:hAnsi="宋体" w:cs="宋体"/>
          <w:lang w:bidi="ar"/>
        </w:rPr>
        <w:t>发生事故事件后，现场负责人 30 分钟内报至发包人对口管理人员（特殊情况可越级上报），严禁迟报、漏报、谎报或瞒报；配合发包人在 1 小时内上报属地应急管理部门及主管部门，按 “四不放过” 原则调查处理并承担相应责任。</w:t>
      </w:r>
    </w:p>
    <w:p w14:paraId="5A324833">
      <w:pPr>
        <w:pStyle w:val="18"/>
        <w:autoSpaceDE w:val="0"/>
        <w:spacing w:line="360" w:lineRule="auto"/>
        <w:ind w:firstLine="480" w:firstLineChars="200"/>
        <w:rPr>
          <w:rFonts w:ascii="宋体" w:hAnsi="宋体" w:cs="宋体"/>
        </w:rPr>
      </w:pPr>
      <w:r>
        <w:rPr>
          <w:rFonts w:hint="eastAsia" w:ascii="宋体" w:hAnsi="宋体" w:cs="宋体"/>
          <w:lang w:bidi="ar"/>
        </w:rPr>
        <w:t>严格执行 “吹哨人” 及隐患内部报告制度，设立专项奖励，及时兑现奖励并建立台账，接受发包人监督。</w:t>
      </w:r>
    </w:p>
    <w:p w14:paraId="4F41C24D">
      <w:pPr>
        <w:pStyle w:val="3"/>
        <w:keepNext w:val="0"/>
        <w:keepLines w:val="0"/>
        <w:widowControl/>
        <w:autoSpaceDE w:val="0"/>
        <w:spacing w:before="0" w:after="0" w:line="360" w:lineRule="auto"/>
        <w:ind w:firstLine="560" w:firstLineChars="200"/>
        <w:rPr>
          <w:rFonts w:ascii="宋体" w:hAnsi="宋体" w:cs="宋体"/>
          <w:sz w:val="28"/>
          <w:szCs w:val="28"/>
        </w:rPr>
      </w:pPr>
      <w:r>
        <w:rPr>
          <w:rFonts w:hint="eastAsia" w:ascii="宋体" w:hAnsi="宋体" w:cs="宋体"/>
          <w:sz w:val="28"/>
          <w:szCs w:val="28"/>
        </w:rPr>
        <w:t>（四）安全管理规定</w:t>
      </w:r>
    </w:p>
    <w:p w14:paraId="3BA252C8">
      <w:pPr>
        <w:pStyle w:val="18"/>
        <w:autoSpaceDE w:val="0"/>
        <w:spacing w:line="360" w:lineRule="auto"/>
        <w:ind w:firstLine="480" w:firstLineChars="200"/>
        <w:rPr>
          <w:rFonts w:ascii="宋体" w:hAnsi="宋体" w:cs="宋体"/>
        </w:rPr>
      </w:pPr>
      <w:r>
        <w:rPr>
          <w:rFonts w:hint="eastAsia" w:ascii="宋体" w:hAnsi="宋体" w:cs="宋体"/>
          <w:lang w:bidi="ar"/>
        </w:rPr>
        <w:t>1、人员管理：</w:t>
      </w:r>
    </w:p>
    <w:p w14:paraId="267F0271">
      <w:pPr>
        <w:pStyle w:val="18"/>
        <w:autoSpaceDE w:val="0"/>
        <w:spacing w:line="360" w:lineRule="auto"/>
        <w:ind w:firstLine="480" w:firstLineChars="200"/>
        <w:rPr>
          <w:rFonts w:ascii="宋体" w:hAnsi="宋体" w:cs="宋体"/>
        </w:rPr>
      </w:pPr>
      <w:r>
        <w:rPr>
          <w:rFonts w:hint="eastAsia" w:ascii="宋体" w:hAnsi="宋体" w:cs="宋体"/>
          <w:lang w:bidi="ar"/>
        </w:rPr>
        <w:t>承包人主要负责人、项目（现场）负责人、安全管理人员等关键岗位人员，需在入场前经发包人审核备案；任职期间确需调整的，应提前报请发包人批准，未经批准不得擅自变更。</w:t>
      </w:r>
    </w:p>
    <w:p w14:paraId="74283CE6">
      <w:pPr>
        <w:pStyle w:val="18"/>
        <w:autoSpaceDE w:val="0"/>
        <w:spacing w:line="360" w:lineRule="auto"/>
        <w:ind w:firstLine="480" w:firstLineChars="200"/>
        <w:rPr>
          <w:rFonts w:ascii="宋体" w:hAnsi="宋体" w:cs="宋体"/>
        </w:rPr>
      </w:pPr>
      <w:r>
        <w:rPr>
          <w:rFonts w:hint="eastAsia" w:ascii="宋体" w:hAnsi="宋体" w:cs="宋体"/>
          <w:lang w:bidi="ar"/>
        </w:rPr>
        <w:t>控制人员流动率（月流动率 = 当月非因项目正常结束而离场的人员数量 ÷ 月初作业人员总数量 ×100%；月均作业人数超 50 人时≤15%，50 人及以下时≤20% 且绝对人数≤5 人），确保关键岗位及作业人员相对稳定。</w:t>
      </w:r>
    </w:p>
    <w:p w14:paraId="6FE19F65">
      <w:pPr>
        <w:pStyle w:val="18"/>
        <w:autoSpaceDE w:val="0"/>
        <w:spacing w:line="360" w:lineRule="auto"/>
        <w:ind w:firstLine="480" w:firstLineChars="200"/>
        <w:rPr>
          <w:rFonts w:ascii="宋体" w:hAnsi="宋体" w:cs="宋体"/>
        </w:rPr>
      </w:pPr>
      <w:r>
        <w:rPr>
          <w:rFonts w:hint="eastAsia" w:ascii="宋体" w:hAnsi="宋体" w:cs="宋体"/>
          <w:lang w:bidi="ar"/>
        </w:rPr>
        <w:t>从业人员应与承包人依法签订劳动合同，无职业禁忌，按规定参加职业健康体检；进入重大危险源区域的人员需提供无犯罪记录证明。</w:t>
      </w:r>
    </w:p>
    <w:p w14:paraId="72532C8B">
      <w:pPr>
        <w:pStyle w:val="18"/>
        <w:autoSpaceDE w:val="0"/>
        <w:spacing w:line="360" w:lineRule="auto"/>
        <w:ind w:firstLine="480" w:firstLineChars="200"/>
        <w:rPr>
          <w:rFonts w:ascii="宋体" w:hAnsi="宋体" w:cs="宋体"/>
        </w:rPr>
      </w:pPr>
      <w:r>
        <w:rPr>
          <w:rFonts w:hint="eastAsia" w:ascii="宋体" w:hAnsi="宋体" w:cs="宋体"/>
          <w:lang w:bidi="ar"/>
        </w:rPr>
        <w:t>2、作业管理：</w:t>
      </w:r>
    </w:p>
    <w:p w14:paraId="74BBE196">
      <w:pPr>
        <w:pStyle w:val="18"/>
        <w:autoSpaceDE w:val="0"/>
        <w:spacing w:line="360" w:lineRule="auto"/>
        <w:ind w:firstLine="480" w:firstLineChars="200"/>
        <w:rPr>
          <w:rFonts w:ascii="宋体" w:hAnsi="宋体" w:cs="宋体"/>
        </w:rPr>
      </w:pPr>
      <w:r>
        <w:rPr>
          <w:rFonts w:hint="eastAsia" w:ascii="宋体" w:hAnsi="宋体" w:cs="宋体"/>
          <w:lang w:bidi="ar"/>
        </w:rPr>
        <w:t>特殊作业及风险较高作业需配备具备监护能力的现场监护人员；高风险作业（特级、一级动火作业，涉及有毒有害、易燃易爆介质的受限空间作业，Ⅲ、Ⅳ 级高处作业，一级吊装作业等）执行 “双监护” 制度（发包企业和承包人各指派 1 名专人共同监护，必要时安排专职消防队监护），双方承担连带责任。</w:t>
      </w:r>
    </w:p>
    <w:p w14:paraId="159D7940">
      <w:pPr>
        <w:pStyle w:val="18"/>
        <w:autoSpaceDE w:val="0"/>
        <w:spacing w:line="360" w:lineRule="auto"/>
        <w:ind w:firstLine="480" w:firstLineChars="200"/>
        <w:rPr>
          <w:rFonts w:ascii="宋体" w:hAnsi="宋体" w:cs="宋体"/>
        </w:rPr>
      </w:pPr>
      <w:r>
        <w:rPr>
          <w:rFonts w:hint="eastAsia" w:ascii="宋体" w:hAnsi="宋体" w:cs="宋体"/>
          <w:lang w:bidi="ar"/>
        </w:rPr>
        <w:t>特殊作业严格执行发包人特殊作业安全管理规定，办理作业许可审批及安全技术交底，全程监护；作业现场控制人数，特殊作业风险区域原则上不超过 6 人。</w:t>
      </w:r>
    </w:p>
    <w:p w14:paraId="2A66D7E0">
      <w:pPr>
        <w:pStyle w:val="18"/>
        <w:autoSpaceDE w:val="0"/>
        <w:spacing w:line="360" w:lineRule="auto"/>
        <w:ind w:firstLine="480" w:firstLineChars="200"/>
        <w:rPr>
          <w:rFonts w:ascii="宋体" w:hAnsi="宋体" w:cs="宋体"/>
        </w:rPr>
      </w:pPr>
      <w:r>
        <w:rPr>
          <w:rFonts w:hint="eastAsia" w:ascii="宋体" w:hAnsi="宋体" w:cs="宋体"/>
          <w:lang w:bidi="ar"/>
        </w:rPr>
        <w:t>交叉作业需办理书面告知手续，签订安全生产管理协议；作业变更遵循 “风险分级、管控前置” 原则，重大变更需修订协议及方案并经发包人批准。</w:t>
      </w:r>
    </w:p>
    <w:p w14:paraId="20539558">
      <w:pPr>
        <w:pStyle w:val="18"/>
        <w:autoSpaceDE w:val="0"/>
        <w:spacing w:line="360" w:lineRule="auto"/>
        <w:ind w:firstLine="480" w:firstLineChars="200"/>
        <w:rPr>
          <w:rFonts w:ascii="宋体" w:hAnsi="宋体" w:cs="宋体"/>
        </w:rPr>
      </w:pPr>
      <w:r>
        <w:rPr>
          <w:rFonts w:hint="eastAsia" w:ascii="宋体" w:hAnsi="宋体" w:cs="宋体"/>
          <w:lang w:bidi="ar"/>
        </w:rPr>
        <w:t>3、现场管理：</w:t>
      </w:r>
    </w:p>
    <w:p w14:paraId="569235B8">
      <w:pPr>
        <w:pStyle w:val="18"/>
        <w:autoSpaceDE w:val="0"/>
        <w:spacing w:line="360" w:lineRule="auto"/>
        <w:ind w:firstLine="480" w:firstLineChars="200"/>
        <w:rPr>
          <w:rFonts w:ascii="宋体" w:hAnsi="宋体" w:cs="宋体"/>
        </w:rPr>
      </w:pPr>
      <w:r>
        <w:rPr>
          <w:rFonts w:hint="eastAsia" w:ascii="宋体" w:hAnsi="宋体" w:cs="宋体"/>
          <w:lang w:bidi="ar"/>
        </w:rPr>
        <w:t>按发包人核定的施工平面布置图设置临时设施，堆放材料、机具设备，不得侵占场内道路及安全防护设施；保持施工现场道路畅通、场容整洁，做到工完、料尽、场地清。</w:t>
      </w:r>
    </w:p>
    <w:p w14:paraId="63A5E2E7">
      <w:pPr>
        <w:pStyle w:val="18"/>
        <w:autoSpaceDE w:val="0"/>
        <w:spacing w:line="360" w:lineRule="auto"/>
        <w:ind w:firstLine="480" w:firstLineChars="200"/>
        <w:rPr>
          <w:rFonts w:ascii="宋体" w:hAnsi="宋体" w:cs="宋体"/>
        </w:rPr>
      </w:pPr>
      <w:r>
        <w:rPr>
          <w:rFonts w:hint="eastAsia" w:ascii="宋体" w:hAnsi="宋体" w:cs="宋体"/>
          <w:lang w:bidi="ar"/>
        </w:rPr>
        <w:t>建立施工现场消防安全责任制度，设置消防通道、水源及灭火器材，在现场入口处及危险部位设置明显安全警示标志；严格遵守厂区禁烟、治安保卫规定，按指定路线行走。</w:t>
      </w:r>
    </w:p>
    <w:p w14:paraId="7F73A00C">
      <w:pPr>
        <w:pStyle w:val="18"/>
        <w:autoSpaceDE w:val="0"/>
        <w:spacing w:line="360" w:lineRule="auto"/>
        <w:ind w:firstLine="480" w:firstLineChars="200"/>
        <w:rPr>
          <w:rFonts w:ascii="宋体" w:hAnsi="宋体" w:cs="宋体"/>
        </w:rPr>
      </w:pPr>
      <w:r>
        <w:rPr>
          <w:rFonts w:hint="eastAsia" w:ascii="宋体" w:hAnsi="宋体" w:cs="宋体"/>
          <w:lang w:bidi="ar"/>
        </w:rPr>
        <w:t>落实作业现场安全保卫及环保措施，控制粉尘、废气、废水、噪声等污染；按要求分类处置废弃物，危险废弃物需按指定方式存放处置。</w:t>
      </w:r>
    </w:p>
    <w:p w14:paraId="77B2C517">
      <w:pPr>
        <w:pStyle w:val="18"/>
        <w:autoSpaceDE w:val="0"/>
        <w:spacing w:line="360" w:lineRule="auto"/>
        <w:ind w:firstLine="480" w:firstLineChars="200"/>
        <w:rPr>
          <w:rFonts w:ascii="宋体" w:hAnsi="宋体" w:cs="宋体"/>
        </w:rPr>
      </w:pPr>
      <w:r>
        <w:rPr>
          <w:rFonts w:hint="eastAsia" w:ascii="宋体" w:hAnsi="宋体" w:cs="宋体"/>
          <w:lang w:bidi="ar"/>
        </w:rPr>
        <w:t>4、设备与防护用品管理：</w:t>
      </w:r>
    </w:p>
    <w:p w14:paraId="60B0C7B2">
      <w:pPr>
        <w:pStyle w:val="18"/>
        <w:autoSpaceDE w:val="0"/>
        <w:spacing w:line="360" w:lineRule="auto"/>
        <w:ind w:firstLine="480" w:firstLineChars="200"/>
        <w:rPr>
          <w:rFonts w:ascii="宋体" w:hAnsi="宋体" w:cs="宋体"/>
        </w:rPr>
      </w:pPr>
      <w:r>
        <w:rPr>
          <w:rFonts w:hint="eastAsia" w:ascii="宋体" w:hAnsi="宋体" w:cs="宋体"/>
          <w:lang w:bidi="ar"/>
        </w:rPr>
        <w:t>承包人拟进场的工机具及劳动防护用品需经发包人使用部门检验标识，提供检维修记录、检定证明等材料，不满足标准要求的不得进场。</w:t>
      </w:r>
    </w:p>
    <w:p w14:paraId="3CE686C7">
      <w:pPr>
        <w:pStyle w:val="18"/>
        <w:autoSpaceDE w:val="0"/>
        <w:spacing w:line="360" w:lineRule="auto"/>
        <w:ind w:firstLine="480" w:firstLineChars="200"/>
        <w:rPr>
          <w:rFonts w:ascii="宋体" w:hAnsi="宋体" w:cs="宋体"/>
        </w:rPr>
      </w:pPr>
      <w:r>
        <w:rPr>
          <w:rFonts w:hint="eastAsia" w:ascii="宋体" w:hAnsi="宋体" w:cs="宋体"/>
          <w:lang w:bidi="ar"/>
        </w:rPr>
        <w:t>承包人为从业人员提供符合国家标准或行业标准的劳动防护用品，确保规范使用；定期对工机具进行维护保养，特种设备需具备合格检验标识且在检验周期内。</w:t>
      </w:r>
    </w:p>
    <w:p w14:paraId="553C97FF">
      <w:pPr>
        <w:pStyle w:val="3"/>
        <w:keepNext w:val="0"/>
        <w:keepLines w:val="0"/>
        <w:widowControl/>
        <w:autoSpaceDE w:val="0"/>
        <w:spacing w:before="0" w:after="0" w:line="360" w:lineRule="auto"/>
        <w:ind w:firstLine="560" w:firstLineChars="200"/>
        <w:rPr>
          <w:rFonts w:ascii="宋体" w:hAnsi="宋体" w:cs="宋体"/>
          <w:sz w:val="28"/>
          <w:szCs w:val="28"/>
        </w:rPr>
      </w:pPr>
      <w:r>
        <w:rPr>
          <w:rFonts w:hint="eastAsia" w:ascii="宋体" w:hAnsi="宋体" w:cs="宋体"/>
          <w:sz w:val="28"/>
          <w:szCs w:val="28"/>
        </w:rPr>
        <w:t>（五）安全风险及安全措施要求</w:t>
      </w:r>
    </w:p>
    <w:p w14:paraId="5E12B6FE">
      <w:pPr>
        <w:pStyle w:val="18"/>
        <w:autoSpaceDE w:val="0"/>
        <w:spacing w:line="360" w:lineRule="auto"/>
        <w:ind w:firstLine="480" w:firstLineChars="200"/>
        <w:rPr>
          <w:rFonts w:ascii="宋体" w:hAnsi="宋体" w:cs="宋体"/>
        </w:rPr>
      </w:pPr>
      <w:r>
        <w:rPr>
          <w:rFonts w:hint="eastAsia" w:ascii="宋体" w:hAnsi="宋体" w:cs="宋体"/>
          <w:lang w:bidi="ar"/>
        </w:rPr>
        <w:t>1、发包人应向承包人明确作业区域的危险有害因素、重大危险源分布及防控要求；承包人需如实告知从业人员作业场所的危险有害因素、防范措施及事故应急措施。</w:t>
      </w:r>
    </w:p>
    <w:p w14:paraId="36631FA8">
      <w:pPr>
        <w:pStyle w:val="18"/>
        <w:autoSpaceDE w:val="0"/>
        <w:spacing w:line="360" w:lineRule="auto"/>
        <w:ind w:firstLine="480" w:firstLineChars="200"/>
        <w:rPr>
          <w:rFonts w:ascii="宋体" w:hAnsi="宋体" w:cs="宋体"/>
        </w:rPr>
      </w:pPr>
      <w:r>
        <w:rPr>
          <w:rFonts w:hint="eastAsia" w:ascii="宋体" w:hAnsi="宋体" w:cs="宋体"/>
          <w:lang w:bidi="ar"/>
        </w:rPr>
        <w:t>2、承包人需编制安全技术方案及专项安全施工方案（危险性较大项目需组织专家论证），报发包人或监理单位审批后实施；作业前组织风险辨识，工艺条件、作业环境变化时重新进行风险分析。</w:t>
      </w:r>
    </w:p>
    <w:p w14:paraId="3C540EF3">
      <w:pPr>
        <w:pStyle w:val="18"/>
        <w:autoSpaceDE w:val="0"/>
        <w:spacing w:line="360" w:lineRule="auto"/>
        <w:ind w:firstLine="480" w:firstLineChars="200"/>
        <w:rPr>
          <w:rFonts w:ascii="宋体" w:hAnsi="宋体" w:cs="宋体"/>
        </w:rPr>
      </w:pPr>
      <w:r>
        <w:rPr>
          <w:rFonts w:hint="eastAsia" w:ascii="宋体" w:hAnsi="宋体" w:cs="宋体"/>
          <w:lang w:bidi="ar"/>
        </w:rPr>
        <w:t>3、针对高风险作业、特殊作业及重大危险源相关作业，制定专项安全措施，落实能量隔离、通风、检测、防护等要求；特级动火、受限空间作业实现视频监控全过程覆盖。</w:t>
      </w:r>
    </w:p>
    <w:p w14:paraId="65A499F6">
      <w:pPr>
        <w:pStyle w:val="18"/>
        <w:autoSpaceDE w:val="0"/>
        <w:spacing w:line="360" w:lineRule="auto"/>
        <w:ind w:firstLine="480" w:firstLineChars="200"/>
        <w:rPr>
          <w:rFonts w:ascii="宋体" w:hAnsi="宋体" w:cs="宋体"/>
        </w:rPr>
      </w:pPr>
      <w:r>
        <w:rPr>
          <w:rFonts w:hint="eastAsia" w:ascii="宋体" w:hAnsi="宋体" w:cs="宋体"/>
          <w:lang w:bidi="ar"/>
        </w:rPr>
        <w:t>4、发包人应对作业现场及作业环境的安全条件进行检查，确认风险管控措施全部落实到位后，方可允许承包人开工。</w:t>
      </w:r>
    </w:p>
    <w:p w14:paraId="56B72BEC">
      <w:pPr>
        <w:pStyle w:val="3"/>
        <w:keepNext w:val="0"/>
        <w:keepLines w:val="0"/>
        <w:widowControl/>
        <w:autoSpaceDE w:val="0"/>
        <w:spacing w:before="0" w:after="0" w:line="360" w:lineRule="auto"/>
        <w:ind w:firstLine="560" w:firstLineChars="200"/>
        <w:rPr>
          <w:rFonts w:ascii="宋体" w:hAnsi="宋体" w:cs="宋体"/>
          <w:sz w:val="28"/>
          <w:szCs w:val="28"/>
        </w:rPr>
      </w:pPr>
      <w:r>
        <w:rPr>
          <w:rFonts w:hint="eastAsia" w:ascii="宋体" w:hAnsi="宋体" w:cs="宋体"/>
          <w:sz w:val="28"/>
          <w:szCs w:val="28"/>
        </w:rPr>
        <w:t>（六）安全教育培训</w:t>
      </w:r>
    </w:p>
    <w:p w14:paraId="1915CD44">
      <w:pPr>
        <w:pStyle w:val="18"/>
        <w:autoSpaceDE w:val="0"/>
        <w:spacing w:line="360" w:lineRule="auto"/>
        <w:ind w:firstLine="480" w:firstLineChars="200"/>
        <w:rPr>
          <w:rFonts w:ascii="宋体" w:hAnsi="宋体" w:cs="宋体"/>
        </w:rPr>
      </w:pPr>
      <w:r>
        <w:rPr>
          <w:rFonts w:hint="eastAsia" w:ascii="宋体" w:hAnsi="宋体" w:cs="宋体"/>
          <w:lang w:bidi="ar"/>
        </w:rPr>
        <w:t>1、发包人培训：</w:t>
      </w:r>
    </w:p>
    <w:p w14:paraId="6296291C">
      <w:pPr>
        <w:pStyle w:val="18"/>
        <w:autoSpaceDE w:val="0"/>
        <w:spacing w:line="360" w:lineRule="auto"/>
        <w:ind w:firstLine="480" w:firstLineChars="200"/>
        <w:rPr>
          <w:rFonts w:ascii="宋体" w:hAnsi="宋体" w:cs="宋体"/>
        </w:rPr>
      </w:pPr>
      <w:r>
        <w:rPr>
          <w:rFonts w:hint="eastAsia" w:ascii="宋体" w:hAnsi="宋体" w:cs="宋体"/>
          <w:lang w:bidi="ar"/>
        </w:rPr>
        <w:t>对承包人人员进场前进行分级安全教育培训（长期合作人员实施三级培训，短期专项作业人员实施二级培训），由安全环保部门、使用部门及属地管理部门逐级实施（二级培训由安全环保部门及属地管理部门实施），培训内容包括企业安全规章制度、“吹哨人” 制度、作业风险及应急处置等。</w:t>
      </w:r>
    </w:p>
    <w:p w14:paraId="45DE9277">
      <w:pPr>
        <w:pStyle w:val="18"/>
        <w:autoSpaceDE w:val="0"/>
        <w:spacing w:line="360" w:lineRule="auto"/>
        <w:ind w:firstLine="480" w:firstLineChars="200"/>
        <w:rPr>
          <w:rFonts w:ascii="宋体" w:hAnsi="宋体" w:cs="宋体"/>
        </w:rPr>
      </w:pPr>
      <w:r>
        <w:rPr>
          <w:rFonts w:hint="eastAsia" w:ascii="宋体" w:hAnsi="宋体" w:cs="宋体"/>
          <w:lang w:bidi="ar"/>
        </w:rPr>
        <w:t>培训后组织考核，考核合格后方允许入场；建立培训档案，记录培训、考核情况，实行全程追溯管理。</w:t>
      </w:r>
    </w:p>
    <w:p w14:paraId="6A008F70">
      <w:pPr>
        <w:pStyle w:val="18"/>
        <w:autoSpaceDE w:val="0"/>
        <w:spacing w:line="360" w:lineRule="auto"/>
        <w:ind w:firstLine="480" w:firstLineChars="200"/>
        <w:rPr>
          <w:rFonts w:ascii="宋体" w:hAnsi="宋体" w:cs="宋体"/>
        </w:rPr>
      </w:pPr>
      <w:r>
        <w:rPr>
          <w:rFonts w:hint="eastAsia" w:ascii="宋体" w:hAnsi="宋体" w:cs="宋体"/>
          <w:lang w:bidi="ar"/>
        </w:rPr>
        <w:t>2、承包人培训：</w:t>
      </w:r>
    </w:p>
    <w:p w14:paraId="5E5D26A7">
      <w:pPr>
        <w:pStyle w:val="18"/>
        <w:autoSpaceDE w:val="0"/>
        <w:spacing w:line="360" w:lineRule="auto"/>
        <w:ind w:firstLine="480" w:firstLineChars="200"/>
        <w:rPr>
          <w:rFonts w:ascii="宋体" w:hAnsi="宋体" w:cs="宋体"/>
        </w:rPr>
      </w:pPr>
      <w:r>
        <w:rPr>
          <w:rFonts w:hint="eastAsia" w:ascii="宋体" w:hAnsi="宋体" w:cs="宋体"/>
          <w:lang w:bidi="ar"/>
        </w:rPr>
        <w:t>入场前自主开展安全培训，向发包人提供作业人员培训及考核合格的书面材料；发生人员、工艺、设备、方案或环境变更时，需对作业人员进行专项培训，考核合格后上岗并报发包人备案。</w:t>
      </w:r>
    </w:p>
    <w:p w14:paraId="2B416531">
      <w:pPr>
        <w:pStyle w:val="18"/>
        <w:autoSpaceDE w:val="0"/>
        <w:spacing w:line="360" w:lineRule="auto"/>
        <w:ind w:firstLine="480" w:firstLineChars="200"/>
        <w:rPr>
          <w:rFonts w:ascii="宋体" w:hAnsi="宋体" w:cs="宋体"/>
        </w:rPr>
      </w:pPr>
      <w:r>
        <w:rPr>
          <w:rFonts w:hint="eastAsia" w:ascii="宋体" w:hAnsi="宋体" w:cs="宋体"/>
          <w:lang w:bidi="ar"/>
        </w:rPr>
        <w:t>主要负责人和安全生产管理人员（高危行业）必须 100% 取得安全生产知识和管理能力考核合格证；定期组织从业人员进行安全生产再培训及能力评价。</w:t>
      </w:r>
    </w:p>
    <w:p w14:paraId="3EF26BEA">
      <w:pPr>
        <w:pStyle w:val="3"/>
        <w:keepNext w:val="0"/>
        <w:keepLines w:val="0"/>
        <w:widowControl/>
        <w:autoSpaceDE w:val="0"/>
        <w:spacing w:before="0" w:after="0" w:line="360" w:lineRule="auto"/>
        <w:ind w:firstLine="560" w:firstLineChars="200"/>
        <w:rPr>
          <w:rFonts w:ascii="宋体" w:hAnsi="宋体" w:cs="宋体"/>
          <w:sz w:val="28"/>
          <w:szCs w:val="28"/>
        </w:rPr>
      </w:pPr>
      <w:r>
        <w:rPr>
          <w:rFonts w:hint="eastAsia" w:ascii="宋体" w:hAnsi="宋体" w:cs="宋体"/>
          <w:sz w:val="28"/>
          <w:szCs w:val="28"/>
        </w:rPr>
        <w:t>（七）应急处置</w:t>
      </w:r>
    </w:p>
    <w:p w14:paraId="7C7EE016">
      <w:pPr>
        <w:pStyle w:val="18"/>
        <w:autoSpaceDE w:val="0"/>
        <w:spacing w:line="360" w:lineRule="auto"/>
        <w:ind w:firstLine="480" w:firstLineChars="200"/>
        <w:rPr>
          <w:rFonts w:ascii="宋体" w:hAnsi="宋体" w:cs="宋体"/>
        </w:rPr>
      </w:pPr>
      <w:r>
        <w:rPr>
          <w:rFonts w:hint="eastAsia" w:ascii="宋体" w:hAnsi="宋体" w:cs="宋体"/>
          <w:lang w:bidi="ar"/>
        </w:rPr>
        <w:t>1、承包人应编制应急预案并定期组织应急演练，储备必要的应急物资，确保从业人员清楚应急处置流程和紧急联系方式。</w:t>
      </w:r>
    </w:p>
    <w:p w14:paraId="55952B8B">
      <w:pPr>
        <w:pStyle w:val="18"/>
        <w:autoSpaceDE w:val="0"/>
        <w:spacing w:line="360" w:lineRule="auto"/>
        <w:ind w:firstLine="480" w:firstLineChars="200"/>
        <w:rPr>
          <w:rFonts w:ascii="宋体" w:hAnsi="宋体" w:cs="宋体"/>
        </w:rPr>
      </w:pPr>
      <w:r>
        <w:rPr>
          <w:rFonts w:hint="eastAsia" w:ascii="宋体" w:hAnsi="宋体" w:cs="宋体"/>
          <w:lang w:bidi="ar"/>
        </w:rPr>
        <w:t>2、发生事故事件后，立即组织力量抢救伤员，防止事态扩大，保护事故现场并做好记录、拍照取证；人员伤亡事故立即送医救治或拨打 120 急救电话，情况紧急时可就近抢救，伤情平稳后转至工伤定点医院。</w:t>
      </w:r>
    </w:p>
    <w:p w14:paraId="273B8BAF">
      <w:pPr>
        <w:pStyle w:val="18"/>
        <w:autoSpaceDE w:val="0"/>
        <w:spacing w:line="360" w:lineRule="auto"/>
        <w:ind w:firstLine="480" w:firstLineChars="200"/>
        <w:rPr>
          <w:rFonts w:ascii="宋体" w:hAnsi="宋体" w:cs="宋体"/>
        </w:rPr>
      </w:pPr>
      <w:r>
        <w:rPr>
          <w:rFonts w:hint="eastAsia" w:ascii="宋体" w:hAnsi="宋体" w:cs="宋体"/>
          <w:lang w:bidi="ar"/>
        </w:rPr>
        <w:t>3、发包人相关部门接到报告后立即赶赴现场协助处理，按规定开展事故调查；调查组包含双方安全管理人员、专业技术人员及工会代表（重伤以上）。</w:t>
      </w:r>
    </w:p>
    <w:p w14:paraId="74040A30">
      <w:pPr>
        <w:pStyle w:val="18"/>
        <w:autoSpaceDE w:val="0"/>
        <w:spacing w:line="360" w:lineRule="auto"/>
        <w:ind w:firstLine="480" w:firstLineChars="200"/>
        <w:rPr>
          <w:rFonts w:ascii="宋体" w:hAnsi="宋体" w:cs="宋体"/>
        </w:rPr>
      </w:pPr>
      <w:r>
        <w:rPr>
          <w:rFonts w:hint="eastAsia" w:ascii="宋体" w:hAnsi="宋体" w:cs="宋体"/>
          <w:lang w:bidi="ar"/>
        </w:rPr>
        <w:t>4、事故调查处理权限：微伤事故由事故所在单位或发包人调查处理；轻微伤及以上事故由发包人组织调查处理；重伤 3 人以上及死亡事故按规定由政府部门或其授权单位调查处理。</w:t>
      </w:r>
    </w:p>
    <w:p w14:paraId="0F729326">
      <w:pPr>
        <w:pStyle w:val="3"/>
        <w:keepNext w:val="0"/>
        <w:keepLines w:val="0"/>
        <w:widowControl/>
        <w:autoSpaceDE w:val="0"/>
        <w:spacing w:before="0" w:after="0" w:line="360" w:lineRule="auto"/>
        <w:ind w:firstLine="560" w:firstLineChars="200"/>
        <w:rPr>
          <w:rFonts w:ascii="宋体" w:hAnsi="宋体" w:cs="宋体"/>
          <w:sz w:val="28"/>
          <w:szCs w:val="28"/>
        </w:rPr>
      </w:pPr>
      <w:r>
        <w:rPr>
          <w:rFonts w:hint="eastAsia" w:ascii="宋体" w:hAnsi="宋体" w:cs="宋体"/>
          <w:sz w:val="28"/>
          <w:szCs w:val="28"/>
        </w:rPr>
        <w:t>（八）终止施工特殊条款</w:t>
      </w:r>
    </w:p>
    <w:p w14:paraId="0EC2CC13">
      <w:pPr>
        <w:pStyle w:val="18"/>
        <w:autoSpaceDE w:val="0"/>
        <w:spacing w:line="360" w:lineRule="auto"/>
        <w:ind w:firstLine="480" w:firstLineChars="200"/>
        <w:rPr>
          <w:rFonts w:ascii="宋体" w:hAnsi="宋体" w:cs="宋体"/>
        </w:rPr>
      </w:pPr>
      <w:r>
        <w:rPr>
          <w:rFonts w:hint="eastAsia" w:ascii="宋体" w:hAnsi="宋体" w:cs="宋体"/>
          <w:lang w:bidi="ar"/>
        </w:rPr>
        <w:t>1、承包人存在下列情形之一的，发包人有权将承包人列为</w:t>
      </w:r>
      <w:r>
        <w:rPr>
          <w:rFonts w:hint="eastAsia" w:ascii="宋体" w:hAnsi="宋体" w:cs="宋体"/>
          <w:b/>
          <w:bCs/>
          <w:lang w:bidi="ar"/>
        </w:rPr>
        <w:t>黑名单</w:t>
      </w:r>
      <w:r>
        <w:rPr>
          <w:rFonts w:hint="eastAsia" w:ascii="宋体" w:hAnsi="宋体" w:cs="宋体"/>
          <w:lang w:bidi="ar"/>
        </w:rPr>
        <w:t>且有权立即终止施工并解除合同：</w:t>
      </w:r>
      <w:r>
        <w:rPr>
          <w:rFonts w:hint="eastAsia" w:ascii="宋体" w:hAnsi="宋体" w:cs="宋体"/>
          <w:b/>
          <w:bCs/>
          <w:lang w:bidi="ar"/>
        </w:rPr>
        <w:t>（承包商被列入黑名单的管理期限原则上为三年，自云天化集团HSE 数字化系统终审公示之日起计算。）</w:t>
      </w:r>
    </w:p>
    <w:p w14:paraId="3D6264A4">
      <w:pPr>
        <w:pStyle w:val="18"/>
        <w:autoSpaceDE w:val="0"/>
        <w:spacing w:line="360" w:lineRule="auto"/>
        <w:ind w:firstLine="480" w:firstLineChars="200"/>
        <w:rPr>
          <w:rFonts w:ascii="宋体" w:hAnsi="宋体" w:cs="宋体"/>
        </w:rPr>
      </w:pPr>
      <w:r>
        <w:rPr>
          <w:rFonts w:hint="eastAsia" w:ascii="宋体" w:hAnsi="宋体" w:cs="宋体"/>
          <w:lang w:bidi="ar"/>
        </w:rPr>
        <w:t>（1）存在严重安全违规行为，如拒不执行安全监管指令、伪造资质证书、瞒报事故、或执行“三次提醒”机制（二次提醒：由责任部门与承包人管理层召开警示会议，约谈承包人管理层，限期一个月内完成加整改；三次提醒：列入黑名单，立即终止合同）。</w:t>
      </w:r>
    </w:p>
    <w:p w14:paraId="22ABAE2E">
      <w:pPr>
        <w:pStyle w:val="18"/>
        <w:autoSpaceDE w:val="0"/>
        <w:spacing w:line="360" w:lineRule="auto"/>
        <w:ind w:firstLine="480" w:firstLineChars="200"/>
        <w:rPr>
          <w:rFonts w:ascii="宋体" w:hAnsi="宋体" w:cs="宋体"/>
        </w:rPr>
      </w:pPr>
      <w:r>
        <w:rPr>
          <w:rFonts w:hint="eastAsia" w:ascii="宋体" w:hAnsi="宋体" w:cs="宋体"/>
          <w:lang w:bidi="ar"/>
        </w:rPr>
        <w:t>（2）安全绩效评价结果连续两次为C级，或一次C级且整改不力，安全能力不达标。</w:t>
      </w:r>
    </w:p>
    <w:p w14:paraId="04154661">
      <w:pPr>
        <w:pStyle w:val="18"/>
        <w:autoSpaceDE w:val="0"/>
        <w:spacing w:line="360" w:lineRule="auto"/>
        <w:ind w:firstLine="480" w:firstLineChars="200"/>
        <w:rPr>
          <w:rFonts w:ascii="宋体" w:hAnsi="宋体" w:cs="宋体"/>
        </w:rPr>
      </w:pPr>
      <w:r>
        <w:rPr>
          <w:rFonts w:hint="eastAsia" w:ascii="宋体" w:hAnsi="宋体" w:cs="宋体"/>
          <w:lang w:bidi="ar"/>
        </w:rPr>
        <w:t>（3）发生较大及以上生产安全责任事故，或一年内发生两起及以上一般生产安全责任事故。</w:t>
      </w:r>
    </w:p>
    <w:p w14:paraId="1E5D4648">
      <w:pPr>
        <w:pStyle w:val="18"/>
        <w:autoSpaceDE w:val="0"/>
        <w:spacing w:line="360" w:lineRule="auto"/>
        <w:ind w:firstLine="480" w:firstLineChars="200"/>
        <w:rPr>
          <w:rFonts w:ascii="宋体" w:hAnsi="宋体" w:cs="宋体"/>
        </w:rPr>
      </w:pPr>
      <w:r>
        <w:rPr>
          <w:rFonts w:hint="eastAsia" w:ascii="宋体" w:hAnsi="宋体" w:cs="宋体"/>
          <w:lang w:bidi="ar"/>
        </w:rPr>
        <w:t>（4）承包商单位或相关人员在考核周期内，安全记分累计达到规定上限值。</w:t>
      </w:r>
    </w:p>
    <w:p w14:paraId="34CC582B">
      <w:pPr>
        <w:pStyle w:val="18"/>
        <w:numPr>
          <w:ilvl w:val="0"/>
          <w:numId w:val="9"/>
        </w:numPr>
        <w:autoSpaceDE w:val="0"/>
        <w:spacing w:beforeAutospacing="0" w:afterAutospacing="0" w:line="360" w:lineRule="auto"/>
        <w:ind w:firstLine="480" w:firstLineChars="200"/>
        <w:rPr>
          <w:rFonts w:ascii="宋体" w:hAnsi="宋体" w:cs="宋体"/>
        </w:rPr>
      </w:pPr>
      <w:r>
        <w:rPr>
          <w:rFonts w:hint="eastAsia" w:ascii="宋体" w:hAnsi="宋体" w:cs="宋体"/>
          <w:lang w:bidi="ar"/>
        </w:rPr>
        <w:t>违反安全生产法律法规、集团规章制度或合同约定，情节严重，对安全生产造成重大隐患或不良影响的其他情形。</w:t>
      </w:r>
    </w:p>
    <w:p w14:paraId="395C1D58">
      <w:pPr>
        <w:pStyle w:val="18"/>
        <w:autoSpaceDE w:val="0"/>
        <w:spacing w:line="360" w:lineRule="auto"/>
        <w:ind w:left="420" w:leftChars="200"/>
        <w:rPr>
          <w:rFonts w:ascii="宋体" w:hAnsi="宋体" w:cs="宋体"/>
        </w:rPr>
      </w:pPr>
      <w:r>
        <w:rPr>
          <w:rFonts w:hint="eastAsia" w:ascii="宋体" w:hAnsi="宋体" w:cs="宋体"/>
          <w:lang w:bidi="ar"/>
        </w:rPr>
        <w:t>2、因终止施工造成的损失由承包人承担，发包人有权追究承包人的违约责任。</w:t>
      </w:r>
    </w:p>
    <w:p w14:paraId="7800C82D">
      <w:pPr>
        <w:pStyle w:val="3"/>
        <w:keepNext w:val="0"/>
        <w:keepLines w:val="0"/>
        <w:widowControl/>
        <w:autoSpaceDE w:val="0"/>
        <w:spacing w:before="0" w:after="0" w:line="360" w:lineRule="auto"/>
        <w:ind w:firstLine="560" w:firstLineChars="200"/>
        <w:rPr>
          <w:rFonts w:ascii="宋体" w:hAnsi="宋体" w:cs="宋体"/>
          <w:sz w:val="28"/>
          <w:szCs w:val="28"/>
        </w:rPr>
      </w:pPr>
      <w:r>
        <w:rPr>
          <w:rFonts w:hint="eastAsia" w:ascii="宋体" w:hAnsi="宋体" w:cs="宋体"/>
          <w:sz w:val="28"/>
          <w:szCs w:val="28"/>
        </w:rPr>
        <w:t>（九）考核及奖励规定</w:t>
      </w:r>
    </w:p>
    <w:p w14:paraId="0696F079">
      <w:pPr>
        <w:pStyle w:val="18"/>
        <w:autoSpaceDE w:val="0"/>
        <w:spacing w:line="360" w:lineRule="auto"/>
        <w:ind w:firstLine="480" w:firstLineChars="200"/>
        <w:rPr>
          <w:rFonts w:ascii="宋体" w:hAnsi="宋体" w:cs="宋体"/>
        </w:rPr>
      </w:pPr>
      <w:r>
        <w:rPr>
          <w:rFonts w:hint="eastAsia" w:ascii="宋体" w:hAnsi="宋体" w:cs="宋体"/>
          <w:lang w:bidi="ar"/>
        </w:rPr>
        <w:t>1、发包人对承包人实行日常检查、专项检查、月度检查、季度考核、每半年综合评估与年度综合评价相结合的安全绩效评价机制，评价结果分为 A、B、C 三级（A 级：得分≥90 分；B 级：70 分≤得分＜90 分；C 级：得分＜70 分）。（详见附件3：承包商评价表）</w:t>
      </w:r>
    </w:p>
    <w:p w14:paraId="36C582E7">
      <w:pPr>
        <w:pStyle w:val="18"/>
        <w:autoSpaceDE w:val="0"/>
        <w:spacing w:line="360" w:lineRule="auto"/>
        <w:ind w:firstLine="480" w:firstLineChars="200"/>
        <w:rPr>
          <w:rFonts w:ascii="宋体" w:hAnsi="宋体" w:cs="宋体"/>
        </w:rPr>
      </w:pPr>
      <w:r>
        <w:rPr>
          <w:rFonts w:hint="eastAsia" w:ascii="宋体" w:hAnsi="宋体" w:cs="宋体"/>
          <w:lang w:bidi="ar"/>
        </w:rPr>
        <w:t>2、评价内容包括资质与合规管理、安全培训与能力、作业过程安全控制、安全绩效与改进、综合管理与文化等，其中 “吹哨人” 制度执行效果为核心评价指标之一。</w:t>
      </w:r>
    </w:p>
    <w:p w14:paraId="36716D23">
      <w:pPr>
        <w:pStyle w:val="18"/>
        <w:autoSpaceDE w:val="0"/>
        <w:spacing w:line="360" w:lineRule="auto"/>
        <w:ind w:firstLine="480" w:firstLineChars="200"/>
        <w:rPr>
          <w:rFonts w:ascii="宋体" w:hAnsi="宋体" w:cs="宋体"/>
        </w:rPr>
      </w:pPr>
      <w:r>
        <w:rPr>
          <w:rFonts w:hint="eastAsia" w:ascii="宋体" w:hAnsi="宋体" w:cs="宋体"/>
          <w:lang w:bidi="ar"/>
        </w:rPr>
        <w:t>3、评价结果应用及分级管理：</w:t>
      </w:r>
    </w:p>
    <w:p w14:paraId="14A5DE44">
      <w:pPr>
        <w:pStyle w:val="18"/>
        <w:autoSpaceDE w:val="0"/>
        <w:spacing w:line="360" w:lineRule="auto"/>
        <w:ind w:firstLine="480" w:firstLineChars="200"/>
        <w:rPr>
          <w:rFonts w:ascii="宋体" w:hAnsi="宋体" w:cs="宋体"/>
        </w:rPr>
      </w:pPr>
      <w:r>
        <w:rPr>
          <w:rFonts w:hint="eastAsia" w:ascii="宋体" w:hAnsi="宋体" w:cs="宋体"/>
          <w:lang w:bidi="ar"/>
        </w:rPr>
        <w:t>作为续聘、业务范围调整、合同续签的重要依据；</w:t>
      </w:r>
    </w:p>
    <w:p w14:paraId="04C2D3AB">
      <w:pPr>
        <w:pStyle w:val="18"/>
        <w:autoSpaceDE w:val="0"/>
        <w:spacing w:line="360" w:lineRule="auto"/>
        <w:ind w:firstLine="480" w:firstLineChars="200"/>
        <w:rPr>
          <w:rFonts w:ascii="宋体" w:hAnsi="宋体" w:cs="宋体"/>
        </w:rPr>
      </w:pPr>
      <w:r>
        <w:rPr>
          <w:rFonts w:hint="eastAsia" w:ascii="宋体" w:hAnsi="宋体" w:cs="宋体"/>
          <w:lang w:bidi="ar"/>
        </w:rPr>
        <w:t>连续两次 B 级降为 C 级，连续两次 C 级纳入黑名单；</w:t>
      </w:r>
    </w:p>
    <w:p w14:paraId="7E09B133">
      <w:pPr>
        <w:pStyle w:val="18"/>
        <w:autoSpaceDE w:val="0"/>
        <w:spacing w:line="360" w:lineRule="auto"/>
        <w:ind w:firstLine="480" w:firstLineChars="200"/>
        <w:rPr>
          <w:rFonts w:ascii="宋体" w:hAnsi="宋体" w:cs="宋体"/>
        </w:rPr>
      </w:pPr>
      <w:r>
        <w:rPr>
          <w:rFonts w:hint="eastAsia" w:ascii="宋体" w:hAnsi="宋体" w:cs="宋体"/>
          <w:lang w:bidi="ar"/>
        </w:rPr>
        <w:t>C 级承包人需提交整改申请，经发包人使用部门牵头，联合安全环保管理部门、属地部门共同审核批准后方可作业；</w:t>
      </w:r>
    </w:p>
    <w:p w14:paraId="615D2759">
      <w:pPr>
        <w:pStyle w:val="18"/>
        <w:autoSpaceDE w:val="0"/>
        <w:spacing w:line="360" w:lineRule="auto"/>
        <w:ind w:firstLine="480" w:firstLineChars="200"/>
        <w:rPr>
          <w:rFonts w:ascii="宋体" w:hAnsi="宋体" w:cs="宋体"/>
        </w:rPr>
      </w:pPr>
      <w:r>
        <w:rPr>
          <w:rFonts w:hint="eastAsia" w:ascii="宋体" w:hAnsi="宋体" w:cs="宋体"/>
          <w:lang w:bidi="ar"/>
        </w:rPr>
        <w:t>对安全绩效优秀的承包人，给予业务优先、履约激励、声誉宣传等奖励。</w:t>
      </w:r>
    </w:p>
    <w:p w14:paraId="5269A590">
      <w:pPr>
        <w:pStyle w:val="18"/>
        <w:autoSpaceDE w:val="0"/>
        <w:spacing w:line="360" w:lineRule="auto"/>
        <w:ind w:firstLine="480" w:firstLineChars="200"/>
        <w:rPr>
          <w:rFonts w:ascii="宋体" w:hAnsi="宋体" w:cs="宋体"/>
        </w:rPr>
      </w:pPr>
      <w:r>
        <w:rPr>
          <w:rFonts w:hint="eastAsia" w:ascii="宋体" w:hAnsi="宋体" w:cs="宋体"/>
          <w:lang w:bidi="ar"/>
        </w:rPr>
        <w:t>4、承包人从业人员存在下列行为之一，经查实，应立即清除出厂并纳入</w:t>
      </w:r>
      <w:r>
        <w:rPr>
          <w:rFonts w:hint="eastAsia" w:ascii="宋体" w:hAnsi="宋体" w:cs="宋体"/>
          <w:b/>
          <w:bCs/>
          <w:lang w:bidi="ar"/>
        </w:rPr>
        <w:t>个人黑名单（个人黑名单管理期限原则上为 1 至 3 年）</w:t>
      </w:r>
      <w:r>
        <w:rPr>
          <w:rFonts w:hint="eastAsia" w:ascii="宋体" w:hAnsi="宋体" w:cs="宋体"/>
          <w:lang w:bidi="ar"/>
        </w:rPr>
        <w:t>：</w:t>
      </w:r>
    </w:p>
    <w:p w14:paraId="68EB8357">
      <w:pPr>
        <w:pStyle w:val="18"/>
        <w:autoSpaceDE w:val="0"/>
        <w:spacing w:line="360" w:lineRule="auto"/>
        <w:ind w:firstLine="480" w:firstLineChars="200"/>
        <w:rPr>
          <w:rFonts w:ascii="宋体" w:hAnsi="宋体" w:cs="宋体"/>
        </w:rPr>
      </w:pPr>
      <w:r>
        <w:rPr>
          <w:rFonts w:hint="eastAsia" w:ascii="宋体" w:hAnsi="宋体" w:cs="宋体"/>
          <w:lang w:bidi="ar"/>
        </w:rPr>
        <w:t>（1）发生生产安全责任事故的直接责任者；</w:t>
      </w:r>
    </w:p>
    <w:p w14:paraId="4697F6FA">
      <w:pPr>
        <w:pStyle w:val="18"/>
        <w:autoSpaceDE w:val="0"/>
        <w:spacing w:line="360" w:lineRule="auto"/>
        <w:ind w:firstLine="480" w:firstLineChars="200"/>
        <w:rPr>
          <w:rFonts w:ascii="宋体" w:hAnsi="宋体" w:cs="宋体"/>
        </w:rPr>
      </w:pPr>
      <w:r>
        <w:rPr>
          <w:rFonts w:hint="eastAsia" w:ascii="宋体" w:hAnsi="宋体" w:cs="宋体"/>
          <w:lang w:bidi="ar"/>
        </w:rPr>
        <w:t>（2）伪造、变造、 冒用、转借相关资质证书、身份证明或入厂证件的；</w:t>
      </w:r>
    </w:p>
    <w:p w14:paraId="1960A55E">
      <w:pPr>
        <w:pStyle w:val="18"/>
        <w:autoSpaceDE w:val="0"/>
        <w:spacing w:line="360" w:lineRule="auto"/>
        <w:ind w:firstLine="480" w:firstLineChars="200"/>
        <w:rPr>
          <w:rFonts w:ascii="宋体" w:hAnsi="宋体" w:cs="宋体"/>
        </w:rPr>
      </w:pPr>
      <w:r>
        <w:rPr>
          <w:rFonts w:hint="eastAsia" w:ascii="宋体" w:hAnsi="宋体" w:cs="宋体"/>
          <w:lang w:bidi="ar"/>
        </w:rPr>
        <w:t>（3）在厂区内存在饮酒、吸毒、赌博、打架斗殴等严重违反劳动纪律行为；</w:t>
      </w:r>
    </w:p>
    <w:p w14:paraId="37EF3BB7">
      <w:pPr>
        <w:pStyle w:val="18"/>
        <w:autoSpaceDE w:val="0"/>
        <w:spacing w:line="360" w:lineRule="auto"/>
        <w:ind w:firstLine="480" w:firstLineChars="200"/>
        <w:rPr>
          <w:rFonts w:ascii="宋体" w:hAnsi="宋体" w:cs="宋体"/>
        </w:rPr>
      </w:pPr>
      <w:r>
        <w:rPr>
          <w:rFonts w:hint="eastAsia" w:ascii="宋体" w:hAnsi="宋体" w:cs="宋体"/>
          <w:lang w:bidi="ar"/>
        </w:rPr>
        <w:t>（4）无证、 冒名顶替或伪造审批手续从事特种作业、特种设备作业；</w:t>
      </w:r>
    </w:p>
    <w:p w14:paraId="43077667">
      <w:pPr>
        <w:pStyle w:val="18"/>
        <w:autoSpaceDE w:val="0"/>
        <w:spacing w:line="360" w:lineRule="auto"/>
        <w:ind w:firstLine="480" w:firstLineChars="200"/>
        <w:rPr>
          <w:rFonts w:ascii="宋体" w:hAnsi="宋体" w:cs="宋体"/>
        </w:rPr>
      </w:pPr>
      <w:r>
        <w:rPr>
          <w:rFonts w:hint="eastAsia" w:ascii="宋体" w:hAnsi="宋体" w:cs="宋体"/>
          <w:lang w:bidi="ar"/>
        </w:rPr>
        <w:t>（5）恶意隐瞒作业风险、破坏安全设施或拒不执行重大安全隐患停工指令；</w:t>
      </w:r>
    </w:p>
    <w:p w14:paraId="62C45DCC">
      <w:pPr>
        <w:pStyle w:val="18"/>
        <w:autoSpaceDE w:val="0"/>
        <w:spacing w:line="360" w:lineRule="auto"/>
        <w:ind w:firstLine="480" w:firstLineChars="200"/>
        <w:rPr>
          <w:rFonts w:ascii="宋体" w:hAnsi="宋体" w:cs="宋体"/>
        </w:rPr>
      </w:pPr>
      <w:r>
        <w:rPr>
          <w:rFonts w:hint="eastAsia" w:ascii="宋体" w:hAnsi="宋体" w:cs="宋体"/>
          <w:lang w:bidi="ar"/>
        </w:rPr>
        <w:t>（6）一年内因同类 “ 三违”行为被处罚达到 3 次，或连续两个季度安全绩效评价为不合格；</w:t>
      </w:r>
    </w:p>
    <w:p w14:paraId="42DD161C">
      <w:pPr>
        <w:pStyle w:val="18"/>
        <w:autoSpaceDE w:val="0"/>
        <w:spacing w:line="360" w:lineRule="auto"/>
        <w:ind w:firstLine="480" w:firstLineChars="200"/>
        <w:rPr>
          <w:rFonts w:ascii="宋体" w:hAnsi="宋体" w:cs="宋体"/>
        </w:rPr>
      </w:pPr>
      <w:r>
        <w:rPr>
          <w:rFonts w:hint="eastAsia" w:ascii="宋体" w:hAnsi="宋体" w:cs="宋体"/>
          <w:lang w:bidi="ar"/>
        </w:rPr>
        <w:t>（7）因盗窃、故意破坏等行为被查实并造成企业财产损失；</w:t>
      </w:r>
    </w:p>
    <w:p w14:paraId="13AA9EF5">
      <w:pPr>
        <w:pStyle w:val="18"/>
        <w:autoSpaceDE w:val="0"/>
        <w:spacing w:line="360" w:lineRule="auto"/>
        <w:ind w:firstLine="480" w:firstLineChars="200"/>
        <w:rPr>
          <w:rFonts w:ascii="宋体" w:hAnsi="宋体" w:cs="宋体"/>
        </w:rPr>
      </w:pPr>
      <w:r>
        <w:rPr>
          <w:rFonts w:hint="eastAsia" w:ascii="宋体" w:hAnsi="宋体" w:cs="宋体"/>
          <w:lang w:bidi="ar"/>
        </w:rPr>
        <w:t>（8）其他被认定为严重违反安全生产规章制度或可能对企业安全生产造成极端恶劣影响的行为；（含违反 “安全生产十大禁令”（1、严禁谎报、瞒报事故。2、严禁携带火种进入易燃易爆区域。3、严禁高处作业不系安全带。4、严禁电气、焊接与热切割作业无证操作或未经许可作业。5、严禁在起重吊物上站人、吊物下行走或停留。6、严禁未经许可进入有限空间内作业。7、严禁无证驾驶机动车辆。8、严禁叉车门架下站人、用货叉或托盘带人作业。9、严禁未经批准解除安全联锁。10、严禁违章指挥，强令他人违章作业。））</w:t>
      </w:r>
    </w:p>
    <w:p w14:paraId="5EDDD518">
      <w:pPr>
        <w:pStyle w:val="18"/>
        <w:autoSpaceDE w:val="0"/>
        <w:spacing w:line="360" w:lineRule="auto"/>
        <w:ind w:firstLine="480" w:firstLineChars="200"/>
        <w:rPr>
          <w:rFonts w:ascii="宋体" w:hAnsi="宋体" w:cs="宋体"/>
        </w:rPr>
      </w:pPr>
      <w:r>
        <w:rPr>
          <w:rFonts w:hint="eastAsia" w:ascii="宋体" w:hAnsi="宋体" w:cs="宋体"/>
          <w:lang w:bidi="ar"/>
        </w:rPr>
        <w:t>5、承包人违反本协议及发包人安全环保规章制度的，发包人可酌情给予暂停作业整改、更换管理人员或</w:t>
      </w:r>
      <w:r>
        <w:rPr>
          <w:rFonts w:hint="eastAsia" w:ascii="宋体" w:hAnsi="宋体" w:cs="宋体"/>
          <w:b/>
          <w:bCs/>
          <w:lang w:bidi="ar"/>
        </w:rPr>
        <w:t>经济扣罚</w:t>
      </w:r>
      <w:r>
        <w:rPr>
          <w:rFonts w:hint="eastAsia" w:ascii="宋体" w:hAnsi="宋体" w:cs="宋体"/>
          <w:lang w:bidi="ar"/>
        </w:rPr>
        <w:t>。</w:t>
      </w:r>
      <w:r>
        <w:rPr>
          <w:rFonts w:hint="eastAsia" w:ascii="宋体" w:hAnsi="宋体" w:cs="宋体"/>
          <w:color w:val="0000FF"/>
          <w:lang w:bidi="ar"/>
        </w:rPr>
        <w:t>见附件1安全违约考核标准</w:t>
      </w:r>
    </w:p>
    <w:p w14:paraId="399D7B44">
      <w:pPr>
        <w:pStyle w:val="18"/>
        <w:autoSpaceDE w:val="0"/>
        <w:spacing w:line="360" w:lineRule="auto"/>
        <w:ind w:firstLine="480" w:firstLineChars="200"/>
        <w:rPr>
          <w:rFonts w:ascii="宋体" w:hAnsi="宋体" w:cs="宋体"/>
        </w:rPr>
      </w:pPr>
      <w:r>
        <w:rPr>
          <w:rFonts w:hint="eastAsia" w:ascii="宋体" w:hAnsi="宋体" w:cs="宋体"/>
          <w:lang w:bidi="ar"/>
        </w:rPr>
        <w:t>6、发包人处罚通报以电子文档形式发送至承包人指定邮箱即生效，因处罚影响工期的后果由承包人承担，工期不予延长。</w:t>
      </w:r>
    </w:p>
    <w:p w14:paraId="1542057D">
      <w:pPr>
        <w:pStyle w:val="4"/>
        <w:keepNext w:val="0"/>
        <w:keepLines w:val="0"/>
        <w:widowControl/>
        <w:autoSpaceDE w:val="0"/>
        <w:spacing w:before="120"/>
        <w:ind w:firstLine="480" w:firstLineChars="200"/>
        <w:rPr>
          <w:rFonts w:ascii="宋体" w:hAnsi="宋体" w:cs="宋体"/>
          <w:sz w:val="24"/>
          <w:szCs w:val="24"/>
        </w:rPr>
      </w:pPr>
      <w:r>
        <w:rPr>
          <w:rFonts w:hint="eastAsia" w:ascii="宋体" w:hAnsi="宋体" w:cs="宋体"/>
          <w:sz w:val="24"/>
          <w:szCs w:val="24"/>
        </w:rPr>
        <w:t>7、安全奖励（具体奖励金额见附件 2）</w:t>
      </w:r>
    </w:p>
    <w:p w14:paraId="3C2A56A9">
      <w:pPr>
        <w:pStyle w:val="3"/>
        <w:keepNext w:val="0"/>
        <w:keepLines w:val="0"/>
        <w:widowControl/>
        <w:autoSpaceDE w:val="0"/>
        <w:spacing w:before="0" w:after="0" w:line="360" w:lineRule="auto"/>
        <w:ind w:firstLine="560" w:firstLineChars="200"/>
        <w:rPr>
          <w:rFonts w:ascii="宋体" w:hAnsi="宋体" w:cs="宋体"/>
          <w:sz w:val="28"/>
          <w:szCs w:val="28"/>
        </w:rPr>
      </w:pPr>
      <w:r>
        <w:rPr>
          <w:rFonts w:hint="eastAsia" w:ascii="宋体" w:hAnsi="宋体" w:cs="宋体"/>
          <w:sz w:val="28"/>
          <w:szCs w:val="28"/>
        </w:rPr>
        <w:t>（十）安全管理机构设置及人员配置要求</w:t>
      </w:r>
    </w:p>
    <w:p w14:paraId="1E531C30">
      <w:pPr>
        <w:pStyle w:val="18"/>
        <w:autoSpaceDE w:val="0"/>
        <w:spacing w:line="360" w:lineRule="auto"/>
        <w:ind w:firstLine="480" w:firstLineChars="200"/>
        <w:rPr>
          <w:rFonts w:ascii="宋体" w:hAnsi="宋体" w:cs="宋体"/>
        </w:rPr>
      </w:pPr>
      <w:r>
        <w:rPr>
          <w:rFonts w:hint="eastAsia" w:ascii="宋体" w:hAnsi="宋体" w:cs="宋体"/>
          <w:lang w:bidi="ar"/>
        </w:rPr>
        <w:t>1、承包人应建立安全生产管理机构：高危行业或从业人数超过 100 人的，设置专门安全管理机构并配置专职安全管理人员；检维修、工程项目类承包人不论人员多少，必须配置专职安全管理人员（配置比例不低于从业人员的 2%）；其他承包人宜配置专职或兼职安全管理人员。</w:t>
      </w:r>
    </w:p>
    <w:p w14:paraId="5782D3E3">
      <w:pPr>
        <w:pStyle w:val="18"/>
        <w:autoSpaceDE w:val="0"/>
        <w:spacing w:line="360" w:lineRule="auto"/>
        <w:ind w:firstLine="480" w:firstLineChars="200"/>
        <w:rPr>
          <w:rFonts w:ascii="宋体" w:hAnsi="宋体" w:cs="宋体"/>
        </w:rPr>
      </w:pPr>
      <w:r>
        <w:rPr>
          <w:rFonts w:hint="eastAsia" w:ascii="宋体" w:hAnsi="宋体" w:cs="宋体"/>
          <w:lang w:bidi="ar"/>
        </w:rPr>
        <w:t>2、承包人项目（现场）负责人应具备与所承揽业务相匹配的专业技术能力与安全管理经验，作业期间必须坚守现场履行职责，确需离开须指定符合资质要求的接替人员，并报发包人批准。</w:t>
      </w:r>
    </w:p>
    <w:p w14:paraId="15226BBC">
      <w:pPr>
        <w:pStyle w:val="18"/>
        <w:autoSpaceDE w:val="0"/>
        <w:spacing w:line="360" w:lineRule="auto"/>
        <w:ind w:firstLine="480" w:firstLineChars="200"/>
        <w:rPr>
          <w:rFonts w:ascii="宋体" w:hAnsi="宋体" w:cs="宋体"/>
        </w:rPr>
      </w:pPr>
      <w:r>
        <w:rPr>
          <w:rFonts w:hint="eastAsia" w:ascii="宋体" w:hAnsi="宋体" w:cs="宋体"/>
          <w:lang w:bidi="ar"/>
        </w:rPr>
        <w:t>3、关键岗位人员需定期参加培训与履职能力评估，确保持续胜任岗位要求。</w:t>
      </w:r>
    </w:p>
    <w:p w14:paraId="68FA015F">
      <w:pPr>
        <w:pStyle w:val="3"/>
        <w:keepNext w:val="0"/>
        <w:keepLines w:val="0"/>
        <w:widowControl/>
        <w:autoSpaceDE w:val="0"/>
        <w:spacing w:before="0" w:after="0" w:line="360" w:lineRule="auto"/>
        <w:ind w:firstLine="560" w:firstLineChars="200"/>
        <w:rPr>
          <w:rFonts w:ascii="宋体" w:hAnsi="宋体" w:cs="宋体"/>
          <w:sz w:val="28"/>
          <w:szCs w:val="28"/>
        </w:rPr>
      </w:pPr>
      <w:r>
        <w:rPr>
          <w:rFonts w:hint="eastAsia" w:ascii="宋体" w:hAnsi="宋体" w:cs="宋体"/>
          <w:sz w:val="28"/>
          <w:szCs w:val="28"/>
        </w:rPr>
        <w:t>（十一）从业人员及工机具管理要求</w:t>
      </w:r>
    </w:p>
    <w:p w14:paraId="51098E71">
      <w:pPr>
        <w:pStyle w:val="18"/>
        <w:autoSpaceDE w:val="0"/>
        <w:spacing w:line="360" w:lineRule="auto"/>
        <w:ind w:firstLine="480" w:firstLineChars="200"/>
        <w:rPr>
          <w:rFonts w:ascii="宋体" w:hAnsi="宋体" w:cs="宋体"/>
        </w:rPr>
      </w:pPr>
      <w:r>
        <w:rPr>
          <w:rFonts w:hint="eastAsia" w:ascii="宋体" w:hAnsi="宋体" w:cs="宋体"/>
          <w:lang w:bidi="ar"/>
        </w:rPr>
        <w:t>1、从业人员管理：</w:t>
      </w:r>
    </w:p>
    <w:p w14:paraId="2544022A">
      <w:pPr>
        <w:pStyle w:val="18"/>
        <w:autoSpaceDE w:val="0"/>
        <w:spacing w:line="360" w:lineRule="auto"/>
        <w:ind w:firstLine="480" w:firstLineChars="200"/>
        <w:rPr>
          <w:rFonts w:ascii="宋体" w:hAnsi="宋体" w:cs="宋体"/>
        </w:rPr>
      </w:pPr>
      <w:r>
        <w:rPr>
          <w:rFonts w:hint="eastAsia" w:ascii="宋体" w:hAnsi="宋体" w:cs="宋体"/>
          <w:lang w:bidi="ar"/>
        </w:rPr>
        <w:t>承包人确保从业人员满足国家及发包人规定的学历、技能与岗位能力要求，无从事作业所涉及的职业禁忌，行为能力满足安全作业和应急处置要求。</w:t>
      </w:r>
    </w:p>
    <w:p w14:paraId="430B2179">
      <w:pPr>
        <w:pStyle w:val="18"/>
        <w:autoSpaceDE w:val="0"/>
        <w:spacing w:line="360" w:lineRule="auto"/>
        <w:ind w:firstLine="480" w:firstLineChars="200"/>
        <w:rPr>
          <w:rFonts w:ascii="宋体" w:hAnsi="宋体" w:cs="宋体"/>
        </w:rPr>
      </w:pPr>
      <w:r>
        <w:rPr>
          <w:rFonts w:hint="eastAsia" w:ascii="宋体" w:hAnsi="宋体" w:cs="宋体"/>
          <w:lang w:bidi="ar"/>
        </w:rPr>
        <w:t>依法与从业人员签订劳动合同，明确隶属与权责；定期组织职业健康体检（岗前、岗中、离岗），建立职业健康监护档案，并如实向发包人业务管理部门报告检查结果。</w:t>
      </w:r>
    </w:p>
    <w:p w14:paraId="546C1501">
      <w:pPr>
        <w:pStyle w:val="18"/>
        <w:autoSpaceDE w:val="0"/>
        <w:spacing w:line="360" w:lineRule="auto"/>
        <w:ind w:firstLine="480" w:firstLineChars="200"/>
        <w:rPr>
          <w:rFonts w:ascii="宋体" w:hAnsi="宋体" w:cs="宋体"/>
        </w:rPr>
      </w:pPr>
      <w:r>
        <w:rPr>
          <w:rFonts w:hint="eastAsia" w:ascii="宋体" w:hAnsi="宋体" w:cs="宋体"/>
          <w:lang w:bidi="ar"/>
        </w:rPr>
        <w:t>特种作业人员、特种设备作业人员必须 100% 持有效操作资格证上岗，严禁无证、冒名顶替或伪造审批手续从事相关作业。</w:t>
      </w:r>
    </w:p>
    <w:p w14:paraId="261FAD68">
      <w:pPr>
        <w:pStyle w:val="18"/>
        <w:autoSpaceDE w:val="0"/>
        <w:spacing w:line="360" w:lineRule="auto"/>
        <w:ind w:firstLine="480" w:firstLineChars="200"/>
        <w:rPr>
          <w:rFonts w:ascii="宋体" w:hAnsi="宋体" w:cs="宋体"/>
        </w:rPr>
      </w:pPr>
      <w:r>
        <w:rPr>
          <w:rFonts w:hint="eastAsia" w:ascii="宋体" w:hAnsi="宋体" w:cs="宋体"/>
          <w:lang w:bidi="ar"/>
        </w:rPr>
        <w:t>2、工机具管理：</w:t>
      </w:r>
    </w:p>
    <w:p w14:paraId="51A9381F">
      <w:pPr>
        <w:pStyle w:val="18"/>
        <w:autoSpaceDE w:val="0"/>
        <w:spacing w:line="360" w:lineRule="auto"/>
        <w:ind w:firstLine="480" w:firstLineChars="200"/>
        <w:rPr>
          <w:rFonts w:ascii="宋体" w:hAnsi="宋体" w:cs="宋体"/>
        </w:rPr>
      </w:pPr>
      <w:r>
        <w:rPr>
          <w:rFonts w:hint="eastAsia" w:ascii="宋体" w:hAnsi="宋体" w:cs="宋体"/>
          <w:lang w:bidi="ar"/>
        </w:rPr>
        <w:t>承包人拟进场的工机具需经发包人使用部门检验、检查并标识，提供检维修记录、检定证明等材料，不满足相关标准要求的不得进场使用。</w:t>
      </w:r>
    </w:p>
    <w:p w14:paraId="387F3435">
      <w:pPr>
        <w:pStyle w:val="18"/>
        <w:autoSpaceDE w:val="0"/>
        <w:spacing w:line="360" w:lineRule="auto"/>
        <w:ind w:firstLine="480" w:firstLineChars="200"/>
        <w:rPr>
          <w:rFonts w:ascii="宋体" w:hAnsi="宋体" w:cs="宋体"/>
        </w:rPr>
      </w:pPr>
      <w:r>
        <w:rPr>
          <w:rFonts w:hint="eastAsia" w:ascii="宋体" w:hAnsi="宋体" w:cs="宋体"/>
          <w:lang w:bidi="ar"/>
        </w:rPr>
        <w:t>工机具的使用、维护、保养需符合安全要求，严禁使用不合格或存在安全隐患的工机具；临时用电线路敷设规范，符合安全要求。</w:t>
      </w:r>
    </w:p>
    <w:p w14:paraId="04E2DCB5">
      <w:pPr>
        <w:pStyle w:val="3"/>
        <w:keepNext w:val="0"/>
        <w:keepLines w:val="0"/>
        <w:widowControl/>
        <w:autoSpaceDE w:val="0"/>
        <w:spacing w:before="0" w:after="0" w:line="360" w:lineRule="auto"/>
        <w:ind w:firstLine="560" w:firstLineChars="200"/>
        <w:rPr>
          <w:rFonts w:ascii="宋体" w:hAnsi="宋体" w:cs="宋体"/>
          <w:sz w:val="28"/>
          <w:szCs w:val="28"/>
        </w:rPr>
      </w:pPr>
      <w:r>
        <w:rPr>
          <w:rFonts w:hint="eastAsia" w:ascii="宋体" w:hAnsi="宋体" w:cs="宋体"/>
          <w:sz w:val="28"/>
          <w:szCs w:val="28"/>
        </w:rPr>
        <w:t>（十二）安全管理的权利与义务</w:t>
      </w:r>
    </w:p>
    <w:p w14:paraId="4A541B10">
      <w:pPr>
        <w:pStyle w:val="18"/>
        <w:autoSpaceDE w:val="0"/>
        <w:spacing w:line="360" w:lineRule="auto"/>
        <w:ind w:firstLine="480" w:firstLineChars="200"/>
        <w:rPr>
          <w:rFonts w:ascii="宋体" w:hAnsi="宋体" w:cs="宋体"/>
        </w:rPr>
      </w:pPr>
      <w:r>
        <w:rPr>
          <w:rFonts w:hint="eastAsia" w:ascii="宋体" w:hAnsi="宋体" w:cs="宋体"/>
          <w:lang w:bidi="ar"/>
        </w:rPr>
        <w:t>1、发包人权利：</w:t>
      </w:r>
    </w:p>
    <w:p w14:paraId="72D6CA85">
      <w:pPr>
        <w:pStyle w:val="18"/>
        <w:autoSpaceDE w:val="0"/>
        <w:spacing w:line="360" w:lineRule="auto"/>
        <w:ind w:firstLine="480" w:firstLineChars="200"/>
        <w:rPr>
          <w:rFonts w:ascii="宋体" w:hAnsi="宋体" w:cs="宋体"/>
        </w:rPr>
      </w:pPr>
      <w:r>
        <w:rPr>
          <w:rFonts w:hint="eastAsia" w:ascii="宋体" w:hAnsi="宋体" w:cs="宋体"/>
          <w:lang w:bidi="ar"/>
        </w:rPr>
        <w:t>对承包人作业现场及人员、车辆进行安全环保检查，发现隐患、违章作业或事故时，有权采取停工整改、扣除违约金、责令更换人员设备等措施；</w:t>
      </w:r>
    </w:p>
    <w:p w14:paraId="75AE4405">
      <w:pPr>
        <w:pStyle w:val="18"/>
        <w:autoSpaceDE w:val="0"/>
        <w:spacing w:line="360" w:lineRule="auto"/>
        <w:ind w:firstLine="480" w:firstLineChars="200"/>
        <w:rPr>
          <w:rFonts w:ascii="宋体" w:hAnsi="宋体" w:cs="宋体"/>
        </w:rPr>
      </w:pPr>
      <w:r>
        <w:rPr>
          <w:rFonts w:hint="eastAsia" w:ascii="宋体" w:hAnsi="宋体" w:cs="宋体"/>
          <w:lang w:bidi="ar"/>
        </w:rPr>
        <w:t>对承包人安全绩效进行评价，依据评价结果调整业务合作范围，建立合格承包商名录及黑名单。</w:t>
      </w:r>
    </w:p>
    <w:p w14:paraId="216CDF38">
      <w:pPr>
        <w:pStyle w:val="18"/>
        <w:autoSpaceDE w:val="0"/>
        <w:spacing w:line="360" w:lineRule="auto"/>
        <w:ind w:firstLine="480" w:firstLineChars="200"/>
        <w:rPr>
          <w:rFonts w:ascii="宋体" w:hAnsi="宋体" w:cs="宋体"/>
        </w:rPr>
      </w:pPr>
      <w:r>
        <w:rPr>
          <w:rFonts w:hint="eastAsia" w:ascii="宋体" w:hAnsi="宋体" w:cs="宋体"/>
          <w:lang w:bidi="ar"/>
        </w:rPr>
        <w:t>对承包人报告的隐患进行核实，按规定落实奖励；对承包人拒不执行 “吹哨人” 制度等违规行为，依据合同条款及相关管理制度进行处罚。</w:t>
      </w:r>
    </w:p>
    <w:p w14:paraId="3CC32233">
      <w:pPr>
        <w:pStyle w:val="18"/>
        <w:autoSpaceDE w:val="0"/>
        <w:spacing w:line="360" w:lineRule="auto"/>
        <w:ind w:firstLine="480" w:firstLineChars="200"/>
        <w:rPr>
          <w:rFonts w:ascii="宋体" w:hAnsi="宋体" w:cs="宋体"/>
        </w:rPr>
      </w:pPr>
      <w:r>
        <w:rPr>
          <w:rFonts w:hint="eastAsia" w:ascii="宋体" w:hAnsi="宋体" w:cs="宋体"/>
          <w:lang w:bidi="ar"/>
        </w:rPr>
        <w:t>要求承包人提供人员名单、组织机构文件、管理制度、主要管理人员资质证书、近 3 年安全业绩证明、保险缴纳凭证等材料，进行审核备案。</w:t>
      </w:r>
    </w:p>
    <w:p w14:paraId="545E4F36">
      <w:pPr>
        <w:pStyle w:val="3"/>
        <w:keepNext w:val="0"/>
        <w:keepLines w:val="0"/>
        <w:widowControl/>
        <w:autoSpaceDE w:val="0"/>
        <w:spacing w:before="0" w:after="0" w:line="360" w:lineRule="auto"/>
        <w:ind w:firstLine="560" w:firstLineChars="200"/>
        <w:rPr>
          <w:rFonts w:ascii="宋体" w:hAnsi="宋体" w:cs="宋体"/>
          <w:sz w:val="28"/>
          <w:szCs w:val="28"/>
        </w:rPr>
      </w:pPr>
      <w:r>
        <w:rPr>
          <w:rFonts w:hint="eastAsia" w:ascii="宋体" w:hAnsi="宋体" w:cs="宋体"/>
          <w:sz w:val="28"/>
          <w:szCs w:val="28"/>
        </w:rPr>
        <w:t>2、发包人义务：</w:t>
      </w:r>
    </w:p>
    <w:p w14:paraId="5F3D8A5F">
      <w:pPr>
        <w:pStyle w:val="18"/>
        <w:autoSpaceDE w:val="0"/>
        <w:spacing w:line="360" w:lineRule="auto"/>
        <w:ind w:firstLine="480" w:firstLineChars="200"/>
        <w:rPr>
          <w:rFonts w:ascii="宋体" w:hAnsi="宋体" w:cs="宋体"/>
        </w:rPr>
      </w:pPr>
      <w:r>
        <w:rPr>
          <w:rFonts w:hint="eastAsia" w:ascii="宋体" w:hAnsi="宋体" w:cs="宋体"/>
          <w:lang w:bidi="ar"/>
        </w:rPr>
        <w:t>向承包人告知安全环保规章制度、应急处理程序及 “吹哨人” 制度等核心要求；提供施工、维保所需场地及必要的安全管理标准和工具。</w:t>
      </w:r>
    </w:p>
    <w:p w14:paraId="41039DFD">
      <w:pPr>
        <w:pStyle w:val="18"/>
        <w:autoSpaceDE w:val="0"/>
        <w:spacing w:line="360" w:lineRule="auto"/>
        <w:ind w:firstLine="480" w:firstLineChars="200"/>
        <w:rPr>
          <w:rFonts w:ascii="宋体" w:hAnsi="宋体" w:cs="宋体"/>
        </w:rPr>
      </w:pPr>
      <w:r>
        <w:rPr>
          <w:rFonts w:hint="eastAsia" w:ascii="宋体" w:hAnsi="宋体" w:cs="宋体"/>
          <w:lang w:bidi="ar"/>
        </w:rPr>
        <w:t>组织分级安全教育培训及考核，统筹协调承包商安全管理工作，及时处理承包人反馈的合理诉求，组织开展安全赋能与经验交流活动。</w:t>
      </w:r>
    </w:p>
    <w:p w14:paraId="31018109">
      <w:pPr>
        <w:pStyle w:val="18"/>
        <w:autoSpaceDE w:val="0"/>
        <w:spacing w:line="360" w:lineRule="auto"/>
        <w:ind w:firstLine="480" w:firstLineChars="200"/>
        <w:rPr>
          <w:rFonts w:ascii="宋体" w:hAnsi="宋体" w:cs="宋体"/>
        </w:rPr>
      </w:pPr>
      <w:r>
        <w:rPr>
          <w:rFonts w:hint="eastAsia" w:ascii="宋体" w:hAnsi="宋体" w:cs="宋体"/>
          <w:lang w:bidi="ar"/>
        </w:rPr>
        <w:t>保障 “吹哨人” 奖励资金专项落实。</w:t>
      </w:r>
    </w:p>
    <w:p w14:paraId="40472E35">
      <w:pPr>
        <w:pStyle w:val="18"/>
        <w:autoSpaceDE w:val="0"/>
        <w:spacing w:line="360" w:lineRule="auto"/>
        <w:ind w:firstLine="480" w:firstLineChars="200"/>
        <w:rPr>
          <w:rFonts w:ascii="宋体" w:hAnsi="宋体" w:cs="宋体"/>
        </w:rPr>
      </w:pPr>
      <w:r>
        <w:rPr>
          <w:rFonts w:hint="eastAsia" w:ascii="宋体" w:hAnsi="宋体" w:cs="宋体"/>
          <w:lang w:bidi="ar"/>
        </w:rPr>
        <w:t>3、承包人权利：</w:t>
      </w:r>
    </w:p>
    <w:p w14:paraId="3DC40E72">
      <w:pPr>
        <w:pStyle w:val="18"/>
        <w:autoSpaceDE w:val="0"/>
        <w:spacing w:line="360" w:lineRule="auto"/>
        <w:ind w:firstLine="480" w:firstLineChars="200"/>
        <w:rPr>
          <w:rFonts w:ascii="宋体" w:hAnsi="宋体" w:cs="宋体"/>
        </w:rPr>
      </w:pPr>
      <w:r>
        <w:rPr>
          <w:rFonts w:hint="eastAsia" w:ascii="宋体" w:hAnsi="宋体" w:cs="宋体"/>
          <w:lang w:bidi="ar"/>
        </w:rPr>
        <w:t>要求发包人提供必要的作业条件和安全保障信息；对发包人提出的不合理整改要求可提出异议并协商解决。</w:t>
      </w:r>
    </w:p>
    <w:p w14:paraId="7B50D488">
      <w:pPr>
        <w:pStyle w:val="18"/>
        <w:autoSpaceDE w:val="0"/>
        <w:spacing w:line="360" w:lineRule="auto"/>
        <w:ind w:firstLine="480" w:firstLineChars="200"/>
        <w:rPr>
          <w:rFonts w:ascii="宋体" w:hAnsi="宋体" w:cs="宋体"/>
        </w:rPr>
      </w:pPr>
      <w:r>
        <w:rPr>
          <w:rFonts w:hint="eastAsia" w:ascii="宋体" w:hAnsi="宋体" w:cs="宋体"/>
          <w:lang w:bidi="ar"/>
        </w:rPr>
        <w:t>按规定获得发包人提供的安全培训资源和技术支持；申请 “吹哨人” 专项奖励资金，对符合条件的隐患报告人予以奖励。</w:t>
      </w:r>
    </w:p>
    <w:p w14:paraId="354E6A51">
      <w:pPr>
        <w:pStyle w:val="18"/>
        <w:autoSpaceDE w:val="0"/>
        <w:spacing w:line="360" w:lineRule="auto"/>
        <w:ind w:firstLine="480" w:firstLineChars="200"/>
        <w:rPr>
          <w:rFonts w:ascii="宋体" w:hAnsi="宋体" w:cs="宋体"/>
        </w:rPr>
      </w:pPr>
      <w:r>
        <w:rPr>
          <w:rFonts w:hint="eastAsia" w:ascii="宋体" w:hAnsi="宋体" w:cs="宋体"/>
          <w:lang w:bidi="ar"/>
        </w:rPr>
        <w:t>4、承包人义务：</w:t>
      </w:r>
    </w:p>
    <w:p w14:paraId="35725C93">
      <w:pPr>
        <w:pStyle w:val="18"/>
        <w:autoSpaceDE w:val="0"/>
        <w:spacing w:line="360" w:lineRule="auto"/>
        <w:ind w:firstLine="480" w:firstLineChars="200"/>
        <w:rPr>
          <w:rFonts w:ascii="宋体" w:hAnsi="宋体" w:cs="宋体"/>
        </w:rPr>
      </w:pPr>
      <w:r>
        <w:rPr>
          <w:rFonts w:hint="eastAsia" w:ascii="宋体" w:hAnsi="宋体" w:cs="宋体"/>
          <w:lang w:bidi="ar"/>
        </w:rPr>
        <w:t>严格遵守发包人安全环保规章制度及本协议约定，接受发包人及相关单位监督管理；及时整改安全隐患，如实上报事故事件，承担相应的安全责任。</w:t>
      </w:r>
    </w:p>
    <w:p w14:paraId="4555E28A">
      <w:pPr>
        <w:pStyle w:val="18"/>
        <w:autoSpaceDE w:val="0"/>
        <w:spacing w:line="360" w:lineRule="auto"/>
        <w:ind w:firstLine="480" w:firstLineChars="200"/>
        <w:rPr>
          <w:rFonts w:ascii="宋体" w:hAnsi="宋体" w:cs="宋体"/>
        </w:rPr>
      </w:pPr>
      <w:r>
        <w:rPr>
          <w:rFonts w:hint="eastAsia" w:ascii="宋体" w:hAnsi="宋体" w:cs="宋体"/>
          <w:lang w:bidi="ar"/>
        </w:rPr>
        <w:t>建立并执行 “吹哨人” 及隐患内部报告制度，设立专项奖励，保障从业人员合法权益；积极参与发包人组织的安全文化活动、应急演练及经验交流，推动安全文化融合。</w:t>
      </w:r>
    </w:p>
    <w:p w14:paraId="360618B0">
      <w:pPr>
        <w:pStyle w:val="3"/>
        <w:keepNext w:val="0"/>
        <w:keepLines w:val="0"/>
        <w:widowControl/>
        <w:autoSpaceDE w:val="0"/>
        <w:spacing w:before="0" w:after="0" w:line="360" w:lineRule="auto"/>
        <w:ind w:firstLine="560" w:firstLineChars="200"/>
        <w:rPr>
          <w:rFonts w:ascii="宋体" w:hAnsi="宋体" w:cs="宋体"/>
          <w:sz w:val="28"/>
          <w:szCs w:val="28"/>
        </w:rPr>
      </w:pPr>
      <w:r>
        <w:rPr>
          <w:rFonts w:hint="eastAsia" w:ascii="宋体" w:hAnsi="宋体" w:cs="宋体"/>
          <w:sz w:val="28"/>
          <w:szCs w:val="28"/>
        </w:rPr>
        <w:t>二、“吹哨人” 及隐患内部报告制度专项约定</w:t>
      </w:r>
    </w:p>
    <w:p w14:paraId="6E38C45D">
      <w:pPr>
        <w:pStyle w:val="18"/>
        <w:autoSpaceDE w:val="0"/>
        <w:spacing w:line="360" w:lineRule="auto"/>
        <w:ind w:firstLine="480" w:firstLineChars="200"/>
        <w:rPr>
          <w:rFonts w:ascii="宋体" w:hAnsi="宋体" w:cs="宋体"/>
        </w:rPr>
      </w:pPr>
      <w:r>
        <w:rPr>
          <w:rFonts w:hint="eastAsia" w:ascii="宋体" w:hAnsi="宋体" w:cs="宋体"/>
          <w:lang w:bidi="ar"/>
        </w:rPr>
        <w:t>1、承包人必须建立并有效执行安全生产 “吹哨人” 及隐患内部报告制度，明确报告流程、受理部门、反馈时限及奖励标准，形成书面制度文件报发包人备案。</w:t>
      </w:r>
    </w:p>
    <w:p w14:paraId="48B392C2">
      <w:pPr>
        <w:pStyle w:val="18"/>
        <w:autoSpaceDE w:val="0"/>
        <w:spacing w:line="360" w:lineRule="auto"/>
        <w:ind w:firstLine="480" w:firstLineChars="200"/>
        <w:rPr>
          <w:rFonts w:ascii="宋体" w:hAnsi="宋体" w:cs="宋体"/>
        </w:rPr>
      </w:pPr>
      <w:r>
        <w:rPr>
          <w:rFonts w:hint="eastAsia" w:ascii="宋体" w:hAnsi="宋体" w:cs="宋体"/>
          <w:lang w:bidi="ar"/>
        </w:rPr>
        <w:t>2、承包人应设立 “吹哨人” 专项奖励额度，奖励标准不低于发包人规定的相关标准，奖励资金从安全生产费用或专项奖励基金中列支。</w:t>
      </w:r>
    </w:p>
    <w:p w14:paraId="3D2A8CDE">
      <w:pPr>
        <w:pStyle w:val="18"/>
        <w:autoSpaceDE w:val="0"/>
        <w:spacing w:line="360" w:lineRule="auto"/>
        <w:ind w:firstLine="480" w:firstLineChars="200"/>
        <w:rPr>
          <w:rFonts w:ascii="宋体" w:hAnsi="宋体" w:cs="宋体"/>
        </w:rPr>
      </w:pPr>
      <w:r>
        <w:rPr>
          <w:rFonts w:hint="eastAsia" w:ascii="宋体" w:hAnsi="宋体" w:cs="宋体"/>
          <w:lang w:bidi="ar"/>
        </w:rPr>
        <w:t>3、承包人需依据发包人核实的隐患情况和评估意见，在收到发包人通知后 15 个工作日内对 “吹哨人”（隐患报告人）予以奖励，并将奖励发放情况（含报告人信息、隐患内容、核实结果、奖励金额及发放时间）报发包人安全环保管理部门备案。</w:t>
      </w:r>
    </w:p>
    <w:p w14:paraId="063F64D4">
      <w:pPr>
        <w:pStyle w:val="18"/>
        <w:autoSpaceDE w:val="0"/>
        <w:spacing w:line="360" w:lineRule="auto"/>
        <w:ind w:firstLine="480" w:firstLineChars="200"/>
        <w:rPr>
          <w:rFonts w:ascii="宋体" w:hAnsi="宋体" w:cs="宋体"/>
        </w:rPr>
      </w:pPr>
      <w:r>
        <w:rPr>
          <w:rFonts w:hint="eastAsia" w:ascii="宋体" w:hAnsi="宋体" w:cs="宋体"/>
          <w:lang w:bidi="ar"/>
        </w:rPr>
        <w:t>4、承包人应建立 “吹哨人” 奖励台账，详细记录相关信息，接受发包人定期检查；发包人安全环保管理部门负责收集、审核《承包商安全生产 “吹哨人” 和隐患内部报告奖励统计表》并归档。见附件4</w:t>
      </w:r>
    </w:p>
    <w:p w14:paraId="7DAF6FD4">
      <w:pPr>
        <w:pStyle w:val="18"/>
        <w:autoSpaceDE w:val="0"/>
        <w:spacing w:line="360" w:lineRule="auto"/>
        <w:ind w:firstLine="480" w:firstLineChars="200"/>
        <w:rPr>
          <w:rFonts w:ascii="宋体" w:hAnsi="宋体" w:cs="宋体"/>
        </w:rPr>
      </w:pPr>
      <w:r>
        <w:rPr>
          <w:rFonts w:hint="eastAsia" w:ascii="宋体" w:hAnsi="宋体" w:cs="宋体"/>
          <w:lang w:bidi="ar"/>
        </w:rPr>
        <w:t>5、如承包人拒不建立 “吹哨人” 及隐患内部报告制度、未按规定设立专项奖励或未及时兑现奖励的，发包人有权依据合同条款及相关管理制度对承包人进行经济处罚，情节严重的纳入黑名单，直至终止合同。</w:t>
      </w:r>
    </w:p>
    <w:p w14:paraId="61CA9758">
      <w:pPr>
        <w:pStyle w:val="18"/>
        <w:autoSpaceDE w:val="0"/>
        <w:spacing w:line="360" w:lineRule="auto"/>
        <w:ind w:firstLine="480" w:firstLineChars="200"/>
        <w:rPr>
          <w:rFonts w:ascii="宋体" w:hAnsi="宋体" w:cs="宋体"/>
        </w:rPr>
      </w:pPr>
      <w:r>
        <w:rPr>
          <w:rFonts w:hint="eastAsia" w:ascii="宋体" w:hAnsi="宋体" w:cs="宋体"/>
          <w:lang w:bidi="ar"/>
        </w:rPr>
        <w:t>6、发包人工会对 “吹哨人” 制度的执行情况实施监督与指导，每年会同安全环保管理部门组织对 “吹哨人” 报告事项进行评选与奖励，营造全员参与、主动排查隐患的安全文化氛围。</w:t>
      </w:r>
    </w:p>
    <w:p w14:paraId="71AA2F41">
      <w:pPr>
        <w:pStyle w:val="3"/>
        <w:keepNext w:val="0"/>
        <w:keepLines w:val="0"/>
        <w:widowControl/>
        <w:autoSpaceDE w:val="0"/>
        <w:spacing w:before="0" w:after="0" w:line="360" w:lineRule="auto"/>
        <w:ind w:firstLine="560" w:firstLineChars="200"/>
        <w:rPr>
          <w:rFonts w:ascii="宋体" w:hAnsi="宋体" w:cs="宋体"/>
          <w:sz w:val="28"/>
          <w:szCs w:val="28"/>
        </w:rPr>
      </w:pPr>
      <w:r>
        <w:rPr>
          <w:rFonts w:hint="eastAsia" w:ascii="宋体" w:hAnsi="宋体" w:cs="宋体"/>
          <w:sz w:val="28"/>
          <w:szCs w:val="28"/>
        </w:rPr>
        <w:t>三、“五个一” 一体化管理专项约定</w:t>
      </w:r>
    </w:p>
    <w:p w14:paraId="292BACF9">
      <w:pPr>
        <w:pStyle w:val="18"/>
        <w:autoSpaceDE w:val="0"/>
        <w:spacing w:line="360" w:lineRule="auto"/>
        <w:ind w:firstLine="480" w:firstLineChars="200"/>
        <w:rPr>
          <w:rFonts w:ascii="宋体" w:hAnsi="宋体" w:cs="宋体"/>
        </w:rPr>
      </w:pPr>
      <w:r>
        <w:rPr>
          <w:rFonts w:hint="eastAsia" w:ascii="宋体" w:hAnsi="宋体" w:cs="宋体"/>
          <w:lang w:bidi="ar"/>
        </w:rPr>
        <w:t>1、一套标准：承包人必须严格遵守发包人统一的安全管理标准、技术标准与操作标准，将发包人安全规章制度融入自身管理体系，实现安全管理同质化。</w:t>
      </w:r>
    </w:p>
    <w:p w14:paraId="5745FED7">
      <w:pPr>
        <w:pStyle w:val="18"/>
        <w:autoSpaceDE w:val="0"/>
        <w:spacing w:line="360" w:lineRule="auto"/>
        <w:ind w:firstLine="480" w:firstLineChars="200"/>
        <w:rPr>
          <w:rFonts w:ascii="宋体" w:hAnsi="宋体" w:cs="宋体"/>
        </w:rPr>
      </w:pPr>
      <w:r>
        <w:rPr>
          <w:rFonts w:hint="eastAsia" w:ascii="宋体" w:hAnsi="宋体" w:cs="宋体"/>
          <w:lang w:bidi="ar"/>
        </w:rPr>
        <w:t>2、一套考核：承包人接受发包人统一的安全绩效评价体系，评价结果与其业务承揽范围、合同续签、评优评先直接挂钩，形成 “安全表现决定市场机会” 的导向。</w:t>
      </w:r>
    </w:p>
    <w:p w14:paraId="357558FB">
      <w:pPr>
        <w:pStyle w:val="18"/>
        <w:autoSpaceDE w:val="0"/>
        <w:spacing w:line="360" w:lineRule="auto"/>
        <w:ind w:firstLine="480" w:firstLineChars="200"/>
        <w:rPr>
          <w:rFonts w:ascii="宋体" w:hAnsi="宋体" w:cs="宋体"/>
        </w:rPr>
      </w:pPr>
      <w:r>
        <w:rPr>
          <w:rFonts w:hint="eastAsia" w:ascii="宋体" w:hAnsi="宋体" w:cs="宋体"/>
          <w:lang w:bidi="ar"/>
        </w:rPr>
        <w:t>3、一体运作：承包人关键岗位人员需参加发包人的安全生产例会、班前会和安全活动，遵循发包人管理流程；双方建立安全信息双向通报机制，实现风险共知、信息互通。</w:t>
      </w:r>
    </w:p>
    <w:p w14:paraId="2CD63587">
      <w:pPr>
        <w:pStyle w:val="18"/>
        <w:autoSpaceDE w:val="0"/>
        <w:spacing w:line="360" w:lineRule="auto"/>
        <w:ind w:firstLine="480" w:firstLineChars="200"/>
        <w:rPr>
          <w:rFonts w:ascii="宋体" w:hAnsi="宋体" w:cs="宋体"/>
        </w:rPr>
      </w:pPr>
      <w:r>
        <w:rPr>
          <w:rFonts w:hint="eastAsia" w:ascii="宋体" w:hAnsi="宋体" w:cs="宋体"/>
          <w:lang w:bidi="ar"/>
        </w:rPr>
        <w:t>4、一个团队：承包人现场负责人深度参与发包人安全例会、联合检查等活动，被纳入发包人现场管理团队，形成目标一致、行动协同的管理合力。</w:t>
      </w:r>
    </w:p>
    <w:p w14:paraId="1E2805C4">
      <w:pPr>
        <w:pStyle w:val="18"/>
        <w:autoSpaceDE w:val="0"/>
        <w:spacing w:line="360" w:lineRule="auto"/>
        <w:ind w:firstLine="480" w:firstLineChars="200"/>
        <w:rPr>
          <w:rFonts w:ascii="宋体" w:hAnsi="宋体" w:cs="宋体"/>
        </w:rPr>
      </w:pPr>
      <w:r>
        <w:rPr>
          <w:rFonts w:hint="eastAsia" w:ascii="宋体" w:hAnsi="宋体" w:cs="宋体"/>
          <w:lang w:bidi="ar"/>
        </w:rPr>
        <w:t>5、一种文化：承包人积极参与发包人组织的安全月、应急演练、安全知识竞赛等活动，认同并践行发包人 “生命至上、安全第一” 的核心安全价值观，共同营造 “彼此尊重、相互监督、责任共担、安全共赢” 的安全文化氛围。</w:t>
      </w:r>
    </w:p>
    <w:p w14:paraId="1EE1F85D">
      <w:pPr>
        <w:pStyle w:val="3"/>
        <w:keepNext w:val="0"/>
        <w:keepLines w:val="0"/>
        <w:widowControl/>
        <w:autoSpaceDE w:val="0"/>
        <w:spacing w:before="0" w:after="0" w:line="360" w:lineRule="auto"/>
        <w:ind w:firstLine="560" w:firstLineChars="200"/>
        <w:rPr>
          <w:rFonts w:ascii="宋体" w:hAnsi="宋体" w:cs="宋体"/>
          <w:sz w:val="28"/>
          <w:szCs w:val="28"/>
        </w:rPr>
      </w:pPr>
      <w:r>
        <w:rPr>
          <w:rFonts w:hint="eastAsia" w:ascii="宋体" w:hAnsi="宋体" w:cs="宋体"/>
          <w:sz w:val="28"/>
          <w:szCs w:val="28"/>
        </w:rPr>
        <w:t>四、其他约定</w:t>
      </w:r>
    </w:p>
    <w:p w14:paraId="34C9C03A">
      <w:pPr>
        <w:pStyle w:val="18"/>
        <w:autoSpaceDE w:val="0"/>
        <w:spacing w:line="360" w:lineRule="auto"/>
        <w:ind w:firstLine="480" w:firstLineChars="200"/>
        <w:rPr>
          <w:rFonts w:ascii="宋体" w:hAnsi="宋体" w:cs="宋体"/>
        </w:rPr>
      </w:pPr>
      <w:r>
        <w:rPr>
          <w:rFonts w:hint="eastAsia" w:ascii="宋体" w:hAnsi="宋体" w:cs="宋体"/>
          <w:lang w:bidi="ar"/>
        </w:rPr>
        <w:t>1、本协议未尽事宜由双方协商补充解决，协商不成的按所签合同争议条款处理。</w:t>
      </w:r>
    </w:p>
    <w:p w14:paraId="2D3AE3FD">
      <w:pPr>
        <w:pStyle w:val="18"/>
        <w:autoSpaceDE w:val="0"/>
        <w:spacing w:line="360" w:lineRule="auto"/>
        <w:ind w:firstLine="480" w:firstLineChars="200"/>
        <w:rPr>
          <w:rFonts w:ascii="宋体" w:hAnsi="宋体" w:cs="宋体"/>
        </w:rPr>
      </w:pPr>
      <w:r>
        <w:rPr>
          <w:rFonts w:hint="eastAsia" w:ascii="宋体" w:hAnsi="宋体" w:cs="宋体"/>
          <w:lang w:bidi="ar"/>
        </w:rPr>
        <w:t>2、本协议内容与国家有关规定相抵触的，按国家规定执行。</w:t>
      </w:r>
    </w:p>
    <w:p w14:paraId="57B7EC9D">
      <w:pPr>
        <w:pStyle w:val="18"/>
        <w:autoSpaceDE w:val="0"/>
        <w:spacing w:line="360" w:lineRule="auto"/>
        <w:ind w:firstLine="480" w:firstLineChars="200"/>
        <w:rPr>
          <w:rFonts w:ascii="宋体" w:hAnsi="宋体" w:cs="宋体"/>
        </w:rPr>
      </w:pPr>
      <w:r>
        <w:rPr>
          <w:rFonts w:hint="eastAsia" w:ascii="宋体" w:hAnsi="宋体" w:cs="宋体"/>
          <w:lang w:bidi="ar"/>
        </w:rPr>
        <w:t>3、本协议一式两份，甲乙双方各执一份，签字盖章后生效，有效期与合同有效期一致。</w:t>
      </w:r>
    </w:p>
    <w:p w14:paraId="22868C40">
      <w:pPr>
        <w:pStyle w:val="18"/>
        <w:autoSpaceDE w:val="0"/>
        <w:spacing w:line="360" w:lineRule="auto"/>
        <w:rPr>
          <w:rFonts w:ascii="宋体" w:hAnsi="宋体" w:cs="宋体"/>
        </w:rPr>
      </w:pPr>
      <w:r>
        <w:rPr>
          <w:rFonts w:hint="eastAsia" w:ascii="宋体" w:hAnsi="宋体" w:cs="宋体"/>
          <w:lang w:bidi="ar"/>
        </w:rPr>
        <w:t xml:space="preserve"> </w:t>
      </w:r>
    </w:p>
    <w:p w14:paraId="474EA2D9">
      <w:pPr>
        <w:pStyle w:val="18"/>
        <w:autoSpaceDE w:val="0"/>
        <w:spacing w:line="360" w:lineRule="auto"/>
        <w:ind w:firstLine="480" w:firstLineChars="200"/>
        <w:rPr>
          <w:rFonts w:ascii="宋体" w:hAnsi="宋体" w:cs="宋体"/>
        </w:rPr>
      </w:pPr>
      <w:r>
        <w:rPr>
          <w:rFonts w:hint="eastAsia" w:ascii="宋体" w:hAnsi="宋体" w:cs="宋体"/>
          <w:lang w:bidi="ar"/>
        </w:rPr>
        <w:t xml:space="preserve"> </w:t>
      </w:r>
    </w:p>
    <w:p w14:paraId="33CFF2B5">
      <w:pPr>
        <w:pStyle w:val="18"/>
        <w:autoSpaceDE w:val="0"/>
        <w:spacing w:line="360" w:lineRule="auto"/>
        <w:rPr>
          <w:rFonts w:ascii="宋体" w:hAnsi="宋体" w:cs="宋体"/>
        </w:rPr>
      </w:pPr>
      <w:r>
        <w:rPr>
          <w:rFonts w:hint="eastAsia" w:ascii="宋体" w:hAnsi="宋体" w:cs="宋体"/>
          <w:lang w:bidi="ar"/>
        </w:rPr>
        <w:t>发包人：重庆天泽新材料有限公司</w:t>
      </w:r>
    </w:p>
    <w:p w14:paraId="2F571459">
      <w:pPr>
        <w:pStyle w:val="18"/>
        <w:autoSpaceDE w:val="0"/>
        <w:spacing w:line="360" w:lineRule="auto"/>
        <w:rPr>
          <w:rFonts w:ascii="宋体" w:hAnsi="宋体" w:cs="宋体"/>
        </w:rPr>
      </w:pPr>
      <w:r>
        <w:rPr>
          <w:rFonts w:hint="eastAsia" w:ascii="宋体" w:hAnsi="宋体" w:cs="宋体"/>
          <w:lang w:bidi="ar"/>
        </w:rPr>
        <w:t xml:space="preserve"> </w:t>
      </w:r>
    </w:p>
    <w:p w14:paraId="0CA0FD94">
      <w:pPr>
        <w:pStyle w:val="18"/>
        <w:autoSpaceDE w:val="0"/>
        <w:spacing w:line="360" w:lineRule="auto"/>
        <w:rPr>
          <w:rFonts w:ascii="宋体" w:hAnsi="宋体" w:cs="宋体"/>
        </w:rPr>
      </w:pPr>
      <w:r>
        <w:rPr>
          <w:rFonts w:hint="eastAsia" w:ascii="宋体" w:hAnsi="宋体" w:cs="宋体"/>
          <w:lang w:bidi="ar"/>
        </w:rPr>
        <w:t xml:space="preserve">法定代表人 </w:t>
      </w:r>
    </w:p>
    <w:p w14:paraId="43574B6C">
      <w:pPr>
        <w:pStyle w:val="18"/>
        <w:autoSpaceDE w:val="0"/>
        <w:spacing w:line="360" w:lineRule="auto"/>
        <w:rPr>
          <w:rFonts w:ascii="宋体" w:hAnsi="宋体" w:cs="宋体"/>
        </w:rPr>
      </w:pPr>
      <w:r>
        <w:rPr>
          <w:rFonts w:hint="eastAsia" w:ascii="宋体" w:hAnsi="宋体" w:cs="宋体"/>
          <w:lang w:bidi="ar"/>
        </w:rPr>
        <w:t>或其授权的代理人：</w:t>
      </w:r>
    </w:p>
    <w:p w14:paraId="17F10F9B">
      <w:pPr>
        <w:pStyle w:val="18"/>
        <w:autoSpaceDE w:val="0"/>
        <w:spacing w:line="360" w:lineRule="auto"/>
        <w:rPr>
          <w:rFonts w:ascii="宋体" w:hAnsi="宋体" w:cs="宋体"/>
        </w:rPr>
      </w:pPr>
      <w:r>
        <w:rPr>
          <w:rFonts w:hint="eastAsia" w:ascii="宋体" w:hAnsi="宋体" w:cs="宋体"/>
          <w:lang w:bidi="ar"/>
        </w:rPr>
        <w:t xml:space="preserve"> </w:t>
      </w:r>
    </w:p>
    <w:p w14:paraId="61B42530">
      <w:pPr>
        <w:pStyle w:val="18"/>
        <w:autoSpaceDE w:val="0"/>
        <w:spacing w:line="360" w:lineRule="auto"/>
        <w:rPr>
          <w:rFonts w:ascii="宋体" w:hAnsi="宋体" w:cs="宋体"/>
        </w:rPr>
      </w:pPr>
      <w:r>
        <w:rPr>
          <w:rFonts w:hint="eastAsia" w:ascii="宋体" w:hAnsi="宋体" w:cs="宋体"/>
          <w:lang w:bidi="ar"/>
        </w:rPr>
        <w:t>承包人：</w:t>
      </w:r>
    </w:p>
    <w:p w14:paraId="18C74C0D">
      <w:pPr>
        <w:pStyle w:val="18"/>
        <w:autoSpaceDE w:val="0"/>
        <w:spacing w:line="360" w:lineRule="auto"/>
        <w:rPr>
          <w:rFonts w:ascii="宋体" w:hAnsi="宋体" w:cs="宋体"/>
        </w:rPr>
      </w:pPr>
      <w:r>
        <w:rPr>
          <w:rFonts w:hint="eastAsia" w:ascii="宋体" w:hAnsi="宋体" w:cs="宋体"/>
          <w:lang w:bidi="ar"/>
        </w:rPr>
        <w:t xml:space="preserve"> </w:t>
      </w:r>
    </w:p>
    <w:p w14:paraId="60AF4FFF">
      <w:pPr>
        <w:pStyle w:val="18"/>
        <w:autoSpaceDE w:val="0"/>
        <w:spacing w:line="360" w:lineRule="auto"/>
        <w:rPr>
          <w:rFonts w:ascii="宋体" w:hAnsi="宋体" w:cs="宋体"/>
        </w:rPr>
      </w:pPr>
      <w:r>
        <w:rPr>
          <w:rFonts w:hint="eastAsia" w:ascii="宋体" w:hAnsi="宋体" w:cs="宋体"/>
          <w:lang w:bidi="ar"/>
        </w:rPr>
        <w:t xml:space="preserve">法定代表人 </w:t>
      </w:r>
    </w:p>
    <w:p w14:paraId="2F113201">
      <w:pPr>
        <w:pStyle w:val="18"/>
        <w:autoSpaceDE w:val="0"/>
        <w:spacing w:line="360" w:lineRule="auto"/>
        <w:rPr>
          <w:rFonts w:ascii="宋体" w:hAnsi="宋体" w:cs="宋体"/>
        </w:rPr>
      </w:pPr>
      <w:r>
        <w:rPr>
          <w:rFonts w:hint="eastAsia" w:ascii="宋体" w:hAnsi="宋体" w:cs="宋体"/>
          <w:lang w:bidi="ar"/>
        </w:rPr>
        <w:t>或其授权的代理人：</w:t>
      </w:r>
    </w:p>
    <w:p w14:paraId="5B6A4CE4">
      <w:pPr>
        <w:pStyle w:val="18"/>
        <w:autoSpaceDE w:val="0"/>
        <w:spacing w:line="360" w:lineRule="auto"/>
        <w:rPr>
          <w:rFonts w:ascii="宋体" w:hAnsi="宋体" w:cs="宋体"/>
        </w:rPr>
      </w:pPr>
      <w:r>
        <w:rPr>
          <w:rFonts w:hint="eastAsia" w:ascii="宋体" w:hAnsi="宋体" w:cs="宋体"/>
          <w:lang w:bidi="ar"/>
        </w:rPr>
        <w:t xml:space="preserve"> </w:t>
      </w:r>
    </w:p>
    <w:p w14:paraId="23063D6D">
      <w:pPr>
        <w:pStyle w:val="18"/>
        <w:autoSpaceDE w:val="0"/>
        <w:spacing w:line="360" w:lineRule="auto"/>
        <w:rPr>
          <w:rFonts w:ascii="宋体" w:hAnsi="宋体" w:cs="宋体"/>
        </w:rPr>
      </w:pPr>
      <w:r>
        <w:rPr>
          <w:rFonts w:hint="eastAsia" w:ascii="宋体" w:hAnsi="宋体" w:cs="宋体"/>
          <w:lang w:bidi="ar"/>
        </w:rPr>
        <w:t xml:space="preserve"> </w:t>
      </w:r>
    </w:p>
    <w:p w14:paraId="1EA7F0E3">
      <w:pPr>
        <w:pStyle w:val="18"/>
        <w:autoSpaceDE w:val="0"/>
        <w:spacing w:line="360" w:lineRule="auto"/>
        <w:rPr>
          <w:rFonts w:ascii="宋体" w:hAnsi="宋体" w:cs="宋体"/>
        </w:rPr>
      </w:pPr>
      <w:r>
        <w:rPr>
          <w:rFonts w:hint="eastAsia" w:ascii="宋体" w:hAnsi="宋体" w:cs="宋体"/>
          <w:lang w:bidi="ar"/>
        </w:rPr>
        <w:t xml:space="preserve"> </w:t>
      </w:r>
    </w:p>
    <w:p w14:paraId="0F2C2A6F">
      <w:pPr>
        <w:pStyle w:val="18"/>
        <w:autoSpaceDE w:val="0"/>
        <w:spacing w:line="360" w:lineRule="auto"/>
        <w:rPr>
          <w:rFonts w:ascii="宋体" w:hAnsi="宋体" w:cs="宋体"/>
          <w:lang w:bidi="ar"/>
        </w:rPr>
      </w:pPr>
      <w:r>
        <w:rPr>
          <w:rFonts w:hint="eastAsia" w:ascii="宋体" w:hAnsi="宋体" w:cs="宋体"/>
          <w:lang w:bidi="ar"/>
        </w:rPr>
        <w:t xml:space="preserve"> </w:t>
      </w:r>
    </w:p>
    <w:p w14:paraId="21B9CE76">
      <w:pPr>
        <w:widowControl/>
        <w:jc w:val="left"/>
        <w:rPr>
          <w:rFonts w:ascii="宋体" w:hAnsi="宋体" w:cs="宋体"/>
          <w:kern w:val="0"/>
          <w:sz w:val="24"/>
          <w:lang w:bidi="ar"/>
        </w:rPr>
      </w:pPr>
      <w:r>
        <w:rPr>
          <w:rFonts w:ascii="宋体" w:hAnsi="宋体" w:cs="宋体"/>
          <w:kern w:val="0"/>
          <w:lang w:bidi="ar"/>
        </w:rPr>
        <w:br w:type="page"/>
      </w:r>
    </w:p>
    <w:p w14:paraId="73051569">
      <w:pPr>
        <w:pStyle w:val="18"/>
        <w:autoSpaceDE w:val="0"/>
        <w:spacing w:line="360" w:lineRule="auto"/>
        <w:rPr>
          <w:rFonts w:ascii="宋体" w:hAnsi="宋体" w:cs="宋体"/>
        </w:rPr>
      </w:pPr>
    </w:p>
    <w:p w14:paraId="085AE309">
      <w:pPr>
        <w:pStyle w:val="18"/>
        <w:autoSpaceDE w:val="0"/>
        <w:spacing w:line="360" w:lineRule="auto"/>
        <w:jc w:val="center"/>
        <w:rPr>
          <w:rFonts w:ascii="宋体" w:hAnsi="宋体" w:cs="宋体"/>
          <w:b/>
          <w:bCs/>
          <w:lang w:bidi="ar"/>
        </w:rPr>
      </w:pPr>
      <w:r>
        <w:rPr>
          <w:rFonts w:hint="eastAsia" w:ascii="宋体" w:hAnsi="宋体" w:cs="宋体"/>
          <w:b/>
          <w:bCs/>
          <w:lang w:bidi="ar"/>
        </w:rPr>
        <w:t>附件 1、安全违约考核标准</w:t>
      </w:r>
    </w:p>
    <w:p w14:paraId="5E036B74">
      <w:pPr>
        <w:pStyle w:val="18"/>
        <w:autoSpaceDE w:val="0"/>
        <w:spacing w:line="360" w:lineRule="auto"/>
        <w:jc w:val="center"/>
        <w:rPr>
          <w:rFonts w:ascii="宋体" w:hAnsi="宋体" w:cs="宋体"/>
          <w:b/>
          <w:bCs/>
        </w:rPr>
      </w:pPr>
    </w:p>
    <w:tbl>
      <w:tblPr>
        <w:tblStyle w:val="20"/>
        <w:tblpPr w:leftFromText="180" w:rightFromText="180" w:vertAnchor="text" w:horzAnchor="page" w:tblpY="497"/>
        <w:tblOverlap w:val="never"/>
        <w:tblW w:w="10188" w:type="dxa"/>
        <w:tblInd w:w="0" w:type="dxa"/>
        <w:tblLayout w:type="fixed"/>
        <w:tblCellMar>
          <w:top w:w="0" w:type="dxa"/>
          <w:left w:w="108" w:type="dxa"/>
          <w:bottom w:w="0" w:type="dxa"/>
          <w:right w:w="108" w:type="dxa"/>
        </w:tblCellMar>
      </w:tblPr>
      <w:tblGrid>
        <w:gridCol w:w="724"/>
        <w:gridCol w:w="11"/>
        <w:gridCol w:w="8030"/>
        <w:gridCol w:w="36"/>
        <w:gridCol w:w="1387"/>
      </w:tblGrid>
      <w:tr w14:paraId="5C4C9BFB">
        <w:tblPrEx>
          <w:tblCellMar>
            <w:top w:w="0" w:type="dxa"/>
            <w:left w:w="108" w:type="dxa"/>
            <w:bottom w:w="0" w:type="dxa"/>
            <w:right w:w="108" w:type="dxa"/>
          </w:tblCellMar>
        </w:tblPrEx>
        <w:trPr>
          <w:trHeight w:val="465" w:hRule="atLeast"/>
        </w:trPr>
        <w:tc>
          <w:tcPr>
            <w:tcW w:w="8765" w:type="dxa"/>
            <w:gridSpan w:val="3"/>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1C7B5033">
            <w:pPr>
              <w:widowControl/>
              <w:jc w:val="center"/>
              <w:textAlignment w:val="center"/>
              <w:rPr>
                <w:rFonts w:ascii="等线" w:hAnsi="等线" w:eastAsia="等线" w:cs="等线"/>
                <w:sz w:val="22"/>
              </w:rPr>
            </w:pPr>
            <w:r>
              <w:rPr>
                <w:rFonts w:hint="eastAsia" w:ascii="等线" w:hAnsi="等线" w:eastAsia="等线" w:cs="等线"/>
                <w:kern w:val="0"/>
                <w:sz w:val="22"/>
                <w:lang w:bidi="ar"/>
              </w:rPr>
              <w:t>违规事项</w:t>
            </w:r>
          </w:p>
        </w:tc>
        <w:tc>
          <w:tcPr>
            <w:tcW w:w="1423"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1B93EC93">
            <w:pPr>
              <w:widowControl/>
              <w:jc w:val="left"/>
              <w:textAlignment w:val="center"/>
              <w:rPr>
                <w:rFonts w:ascii="等线" w:hAnsi="等线" w:eastAsia="等线" w:cs="等线"/>
                <w:sz w:val="22"/>
              </w:rPr>
            </w:pPr>
            <w:r>
              <w:rPr>
                <w:rFonts w:hint="eastAsia" w:ascii="等线" w:hAnsi="等线" w:eastAsia="等线" w:cs="等线"/>
                <w:kern w:val="0"/>
                <w:sz w:val="22"/>
                <w:lang w:bidi="ar"/>
              </w:rPr>
              <w:t>扣罚金额</w:t>
            </w:r>
          </w:p>
        </w:tc>
      </w:tr>
      <w:tr w14:paraId="5B473B1B">
        <w:tblPrEx>
          <w:tblCellMar>
            <w:top w:w="0" w:type="dxa"/>
            <w:left w:w="108" w:type="dxa"/>
            <w:bottom w:w="0" w:type="dxa"/>
            <w:right w:w="108" w:type="dxa"/>
          </w:tblCellMar>
        </w:tblPrEx>
        <w:trPr>
          <w:trHeight w:val="285" w:hRule="atLeast"/>
        </w:trPr>
        <w:tc>
          <w:tcPr>
            <w:tcW w:w="10188" w:type="dxa"/>
            <w:gridSpan w:val="5"/>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116BF493">
            <w:pPr>
              <w:widowControl/>
              <w:jc w:val="left"/>
              <w:textAlignment w:val="center"/>
              <w:rPr>
                <w:rFonts w:ascii="等线" w:hAnsi="等线" w:eastAsia="等线" w:cs="等线"/>
                <w:sz w:val="22"/>
              </w:rPr>
            </w:pPr>
            <w:r>
              <w:rPr>
                <w:rFonts w:hint="eastAsia" w:ascii="等线" w:hAnsi="等线" w:eastAsia="等线" w:cs="等线"/>
                <w:kern w:val="0"/>
                <w:sz w:val="22"/>
                <w:lang w:bidi="ar"/>
              </w:rPr>
              <w:t>说明：扣罚和奖励金额为事件每发生1次或1人.次的金额，金额单位：元，币种为人民币。同一事务，未及时完成整改，重复发生的，加倍扣罚，连续多次发生，3倍扣罚。</w:t>
            </w:r>
          </w:p>
        </w:tc>
      </w:tr>
      <w:tr w14:paraId="116788E1">
        <w:tblPrEx>
          <w:tblCellMar>
            <w:top w:w="0" w:type="dxa"/>
            <w:left w:w="108" w:type="dxa"/>
            <w:bottom w:w="0" w:type="dxa"/>
            <w:right w:w="108" w:type="dxa"/>
          </w:tblCellMar>
        </w:tblPrEx>
        <w:trPr>
          <w:trHeight w:val="285" w:hRule="atLeast"/>
        </w:trPr>
        <w:tc>
          <w:tcPr>
            <w:tcW w:w="10188" w:type="dxa"/>
            <w:gridSpan w:val="5"/>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21DF41B4">
            <w:pPr>
              <w:widowControl/>
              <w:jc w:val="center"/>
              <w:textAlignment w:val="center"/>
              <w:rPr>
                <w:rFonts w:ascii="等线" w:hAnsi="等线" w:eastAsia="等线" w:cs="等线"/>
                <w:b/>
                <w:sz w:val="22"/>
              </w:rPr>
            </w:pPr>
            <w:r>
              <w:rPr>
                <w:rFonts w:hint="eastAsia" w:ascii="等线" w:hAnsi="等线" w:eastAsia="等线" w:cs="等线"/>
                <w:b/>
                <w:kern w:val="0"/>
                <w:sz w:val="22"/>
                <w:lang w:bidi="ar"/>
              </w:rPr>
              <w:t>一、保证措施</w:t>
            </w:r>
          </w:p>
        </w:tc>
      </w:tr>
      <w:tr w14:paraId="462FF694">
        <w:tblPrEx>
          <w:tblCellMar>
            <w:top w:w="0" w:type="dxa"/>
            <w:left w:w="108" w:type="dxa"/>
            <w:bottom w:w="0" w:type="dxa"/>
            <w:right w:w="108" w:type="dxa"/>
          </w:tblCellMar>
        </w:tblPrEx>
        <w:trPr>
          <w:trHeight w:val="690" w:hRule="atLeast"/>
        </w:trPr>
        <w:tc>
          <w:tcPr>
            <w:tcW w:w="735"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3BBBA5D5">
            <w:pPr>
              <w:widowControl/>
              <w:jc w:val="center"/>
              <w:textAlignment w:val="center"/>
              <w:rPr>
                <w:rFonts w:ascii="等线" w:hAnsi="等线" w:eastAsia="等线" w:cs="等线"/>
                <w:sz w:val="22"/>
              </w:rPr>
            </w:pPr>
            <w:r>
              <w:rPr>
                <w:rFonts w:hint="eastAsia" w:ascii="等线" w:hAnsi="等线" w:eastAsia="等线" w:cs="等线"/>
                <w:kern w:val="0"/>
                <w:sz w:val="22"/>
                <w:lang w:bidi="ar"/>
              </w:rPr>
              <w:t>1</w:t>
            </w:r>
          </w:p>
        </w:tc>
        <w:tc>
          <w:tcPr>
            <w:tcW w:w="8030"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2414EC6E">
            <w:pPr>
              <w:widowControl/>
              <w:jc w:val="left"/>
              <w:textAlignment w:val="center"/>
              <w:rPr>
                <w:rFonts w:ascii="等线" w:hAnsi="等线" w:eastAsia="等线" w:cs="等线"/>
                <w:sz w:val="22"/>
              </w:rPr>
            </w:pPr>
            <w:r>
              <w:rPr>
                <w:rFonts w:hint="eastAsia" w:ascii="等线" w:hAnsi="等线" w:eastAsia="等线" w:cs="等线"/>
                <w:kern w:val="0"/>
                <w:sz w:val="22"/>
                <w:lang w:bidi="ar"/>
              </w:rPr>
              <w:t>施工期间，同承发包项目相关的企业、人员资质发生变更应报批的隐瞒不报，未经建设单位同意私自分包，聘用的分包商无有效资质，与分包单位无安全协议。</w:t>
            </w:r>
          </w:p>
        </w:tc>
        <w:tc>
          <w:tcPr>
            <w:tcW w:w="1423"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1E75676C">
            <w:pPr>
              <w:widowControl/>
              <w:jc w:val="left"/>
              <w:textAlignment w:val="center"/>
              <w:rPr>
                <w:rFonts w:ascii="等线" w:hAnsi="等线" w:eastAsia="等线" w:cs="等线"/>
                <w:sz w:val="22"/>
              </w:rPr>
            </w:pPr>
            <w:r>
              <w:rPr>
                <w:rFonts w:hint="eastAsia" w:ascii="等线" w:hAnsi="等线" w:eastAsia="等线" w:cs="等线"/>
                <w:kern w:val="0"/>
                <w:sz w:val="22"/>
                <w:lang w:bidi="ar"/>
              </w:rPr>
              <w:t>5000~10000</w:t>
            </w:r>
          </w:p>
        </w:tc>
      </w:tr>
      <w:tr w14:paraId="7241A16A">
        <w:tblPrEx>
          <w:tblCellMar>
            <w:top w:w="0" w:type="dxa"/>
            <w:left w:w="108" w:type="dxa"/>
            <w:bottom w:w="0" w:type="dxa"/>
            <w:right w:w="108" w:type="dxa"/>
          </w:tblCellMar>
        </w:tblPrEx>
        <w:trPr>
          <w:trHeight w:val="285" w:hRule="atLeast"/>
        </w:trPr>
        <w:tc>
          <w:tcPr>
            <w:tcW w:w="735"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679761C2">
            <w:pPr>
              <w:widowControl/>
              <w:jc w:val="center"/>
              <w:textAlignment w:val="center"/>
              <w:rPr>
                <w:rFonts w:ascii="等线" w:hAnsi="等线" w:eastAsia="等线" w:cs="等线"/>
                <w:sz w:val="22"/>
              </w:rPr>
            </w:pPr>
            <w:r>
              <w:rPr>
                <w:rFonts w:hint="eastAsia" w:ascii="等线" w:hAnsi="等线" w:eastAsia="等线" w:cs="等线"/>
                <w:kern w:val="0"/>
                <w:sz w:val="22"/>
                <w:lang w:bidi="ar"/>
              </w:rPr>
              <w:t>2</w:t>
            </w:r>
          </w:p>
        </w:tc>
        <w:tc>
          <w:tcPr>
            <w:tcW w:w="8030"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16681D32">
            <w:pPr>
              <w:widowControl/>
              <w:jc w:val="left"/>
              <w:textAlignment w:val="center"/>
              <w:rPr>
                <w:rFonts w:ascii="等线" w:hAnsi="等线" w:eastAsia="等线" w:cs="等线"/>
                <w:sz w:val="22"/>
              </w:rPr>
            </w:pPr>
            <w:r>
              <w:rPr>
                <w:rFonts w:hint="eastAsia" w:ascii="等线" w:hAnsi="等线" w:eastAsia="等线" w:cs="等线"/>
                <w:kern w:val="0"/>
                <w:sz w:val="22"/>
                <w:lang w:bidi="ar"/>
              </w:rPr>
              <w:t>未获开工令私自开工，不执行建设（监理）单位发出的停工指令。</w:t>
            </w:r>
          </w:p>
        </w:tc>
        <w:tc>
          <w:tcPr>
            <w:tcW w:w="1423"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61460924">
            <w:pPr>
              <w:widowControl/>
              <w:jc w:val="left"/>
              <w:textAlignment w:val="center"/>
              <w:rPr>
                <w:rFonts w:ascii="等线" w:hAnsi="等线" w:eastAsia="等线" w:cs="等线"/>
                <w:sz w:val="22"/>
              </w:rPr>
            </w:pPr>
            <w:r>
              <w:rPr>
                <w:rFonts w:hint="eastAsia" w:ascii="等线" w:hAnsi="等线" w:eastAsia="等线" w:cs="等线"/>
                <w:kern w:val="0"/>
                <w:sz w:val="22"/>
                <w:lang w:bidi="ar"/>
              </w:rPr>
              <w:t>5000~10000</w:t>
            </w:r>
          </w:p>
        </w:tc>
      </w:tr>
      <w:tr w14:paraId="2985E9F0">
        <w:tblPrEx>
          <w:tblCellMar>
            <w:top w:w="0" w:type="dxa"/>
            <w:left w:w="108" w:type="dxa"/>
            <w:bottom w:w="0" w:type="dxa"/>
            <w:right w:w="108" w:type="dxa"/>
          </w:tblCellMar>
        </w:tblPrEx>
        <w:trPr>
          <w:trHeight w:val="690" w:hRule="atLeast"/>
        </w:trPr>
        <w:tc>
          <w:tcPr>
            <w:tcW w:w="735"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5F3424DE">
            <w:pPr>
              <w:widowControl/>
              <w:jc w:val="center"/>
              <w:textAlignment w:val="center"/>
              <w:rPr>
                <w:rFonts w:ascii="等线" w:hAnsi="等线" w:eastAsia="等线" w:cs="等线"/>
                <w:sz w:val="22"/>
              </w:rPr>
            </w:pPr>
            <w:r>
              <w:rPr>
                <w:rFonts w:hint="eastAsia" w:ascii="等线" w:hAnsi="等线" w:eastAsia="等线" w:cs="等线"/>
                <w:kern w:val="0"/>
                <w:sz w:val="22"/>
                <w:lang w:bidi="ar"/>
              </w:rPr>
              <w:t>3</w:t>
            </w:r>
          </w:p>
        </w:tc>
        <w:tc>
          <w:tcPr>
            <w:tcW w:w="8030"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615BEF64">
            <w:pPr>
              <w:widowControl/>
              <w:jc w:val="left"/>
              <w:textAlignment w:val="center"/>
              <w:rPr>
                <w:rFonts w:ascii="等线" w:hAnsi="等线" w:eastAsia="等线" w:cs="等线"/>
                <w:sz w:val="22"/>
              </w:rPr>
            </w:pPr>
            <w:r>
              <w:rPr>
                <w:rFonts w:hint="eastAsia" w:ascii="等线" w:hAnsi="等线" w:eastAsia="等线" w:cs="等线"/>
                <w:kern w:val="0"/>
                <w:sz w:val="22"/>
                <w:lang w:bidi="ar"/>
              </w:rPr>
              <w:t>安全制度不健全，缺乏符合本企业需要的《安全环保责任制》《隐患排查整改》《事故应急管理》等安全管理制度。</w:t>
            </w:r>
          </w:p>
        </w:tc>
        <w:tc>
          <w:tcPr>
            <w:tcW w:w="1423"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3BCEF103">
            <w:pPr>
              <w:widowControl/>
              <w:jc w:val="left"/>
              <w:textAlignment w:val="center"/>
              <w:rPr>
                <w:rFonts w:ascii="等线" w:hAnsi="等线" w:eastAsia="等线" w:cs="等线"/>
                <w:sz w:val="22"/>
              </w:rPr>
            </w:pPr>
            <w:r>
              <w:rPr>
                <w:rFonts w:hint="eastAsia" w:ascii="等线" w:hAnsi="等线" w:eastAsia="等线" w:cs="等线"/>
                <w:kern w:val="0"/>
                <w:sz w:val="22"/>
                <w:lang w:bidi="ar"/>
              </w:rPr>
              <w:t>1000~5000</w:t>
            </w:r>
          </w:p>
        </w:tc>
      </w:tr>
      <w:tr w14:paraId="20933623">
        <w:tblPrEx>
          <w:tblCellMar>
            <w:top w:w="0" w:type="dxa"/>
            <w:left w:w="108" w:type="dxa"/>
            <w:bottom w:w="0" w:type="dxa"/>
            <w:right w:w="108" w:type="dxa"/>
          </w:tblCellMar>
        </w:tblPrEx>
        <w:trPr>
          <w:trHeight w:val="285" w:hRule="atLeast"/>
        </w:trPr>
        <w:tc>
          <w:tcPr>
            <w:tcW w:w="735"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0C1D4E9D">
            <w:pPr>
              <w:widowControl/>
              <w:jc w:val="center"/>
              <w:textAlignment w:val="center"/>
              <w:rPr>
                <w:rFonts w:ascii="等线" w:hAnsi="等线" w:eastAsia="等线" w:cs="等线"/>
                <w:sz w:val="22"/>
              </w:rPr>
            </w:pPr>
            <w:r>
              <w:rPr>
                <w:rFonts w:hint="eastAsia" w:ascii="等线" w:hAnsi="等线" w:eastAsia="等线" w:cs="等线"/>
                <w:kern w:val="0"/>
                <w:sz w:val="22"/>
                <w:lang w:bidi="ar"/>
              </w:rPr>
              <w:t>4</w:t>
            </w:r>
          </w:p>
        </w:tc>
        <w:tc>
          <w:tcPr>
            <w:tcW w:w="8030"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1D040E64">
            <w:pPr>
              <w:widowControl/>
              <w:jc w:val="left"/>
              <w:textAlignment w:val="center"/>
              <w:rPr>
                <w:rFonts w:ascii="等线" w:hAnsi="等线" w:eastAsia="等线" w:cs="等线"/>
                <w:sz w:val="22"/>
              </w:rPr>
            </w:pPr>
            <w:r>
              <w:rPr>
                <w:rFonts w:hint="eastAsia" w:ascii="等线" w:hAnsi="等线" w:eastAsia="等线" w:cs="等线"/>
                <w:kern w:val="0"/>
                <w:sz w:val="22"/>
                <w:lang w:bidi="ar"/>
              </w:rPr>
              <w:t>三级安全教育、日常安全教育不符合国家规定、公司制度要求。</w:t>
            </w:r>
          </w:p>
        </w:tc>
        <w:tc>
          <w:tcPr>
            <w:tcW w:w="1423"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7B167A99">
            <w:pPr>
              <w:widowControl/>
              <w:jc w:val="left"/>
              <w:textAlignment w:val="center"/>
              <w:rPr>
                <w:rFonts w:ascii="等线" w:hAnsi="等线" w:eastAsia="等线" w:cs="等线"/>
                <w:sz w:val="22"/>
              </w:rPr>
            </w:pPr>
            <w:r>
              <w:rPr>
                <w:rFonts w:hint="eastAsia" w:ascii="等线" w:hAnsi="等线" w:eastAsia="等线" w:cs="等线"/>
                <w:kern w:val="0"/>
                <w:sz w:val="22"/>
                <w:lang w:bidi="ar"/>
              </w:rPr>
              <w:t>1000~3000</w:t>
            </w:r>
          </w:p>
        </w:tc>
      </w:tr>
      <w:tr w14:paraId="626C7728">
        <w:tblPrEx>
          <w:tblCellMar>
            <w:top w:w="0" w:type="dxa"/>
            <w:left w:w="108" w:type="dxa"/>
            <w:bottom w:w="0" w:type="dxa"/>
            <w:right w:w="108" w:type="dxa"/>
          </w:tblCellMar>
        </w:tblPrEx>
        <w:trPr>
          <w:trHeight w:val="285" w:hRule="atLeast"/>
        </w:trPr>
        <w:tc>
          <w:tcPr>
            <w:tcW w:w="735"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698BE59C">
            <w:pPr>
              <w:widowControl/>
              <w:jc w:val="center"/>
              <w:textAlignment w:val="center"/>
              <w:rPr>
                <w:rFonts w:ascii="等线" w:hAnsi="等线" w:eastAsia="等线" w:cs="等线"/>
                <w:sz w:val="22"/>
              </w:rPr>
            </w:pPr>
            <w:r>
              <w:rPr>
                <w:rFonts w:hint="eastAsia" w:ascii="等线" w:hAnsi="等线" w:eastAsia="等线" w:cs="等线"/>
                <w:kern w:val="0"/>
                <w:sz w:val="22"/>
                <w:lang w:bidi="ar"/>
              </w:rPr>
              <w:t>5</w:t>
            </w:r>
          </w:p>
        </w:tc>
        <w:tc>
          <w:tcPr>
            <w:tcW w:w="8030"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16584FFD">
            <w:pPr>
              <w:widowControl/>
              <w:jc w:val="left"/>
              <w:textAlignment w:val="center"/>
              <w:rPr>
                <w:rFonts w:ascii="等线" w:hAnsi="等线" w:eastAsia="等线" w:cs="等线"/>
                <w:sz w:val="22"/>
              </w:rPr>
            </w:pPr>
            <w:r>
              <w:rPr>
                <w:rFonts w:hint="eastAsia" w:ascii="等线" w:hAnsi="等线" w:eastAsia="等线" w:cs="等线"/>
                <w:kern w:val="0"/>
                <w:sz w:val="22"/>
                <w:lang w:bidi="ar"/>
              </w:rPr>
              <w:t>项目经理、技术负责人、安全管理人员、特种作业人员无证上岗。</w:t>
            </w:r>
          </w:p>
        </w:tc>
        <w:tc>
          <w:tcPr>
            <w:tcW w:w="1423"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61D2F3A4">
            <w:pPr>
              <w:widowControl/>
              <w:jc w:val="left"/>
              <w:textAlignment w:val="center"/>
              <w:rPr>
                <w:rFonts w:ascii="等线" w:hAnsi="等线" w:eastAsia="等线" w:cs="等线"/>
                <w:sz w:val="22"/>
              </w:rPr>
            </w:pPr>
            <w:r>
              <w:rPr>
                <w:rFonts w:hint="eastAsia" w:ascii="等线" w:hAnsi="等线" w:eastAsia="等线" w:cs="等线"/>
                <w:kern w:val="0"/>
                <w:sz w:val="22"/>
                <w:lang w:bidi="ar"/>
              </w:rPr>
              <w:t>1000~3000</w:t>
            </w:r>
          </w:p>
        </w:tc>
      </w:tr>
      <w:tr w14:paraId="26D9FD90">
        <w:tblPrEx>
          <w:tblCellMar>
            <w:top w:w="0" w:type="dxa"/>
            <w:left w:w="108" w:type="dxa"/>
            <w:bottom w:w="0" w:type="dxa"/>
            <w:right w:w="108" w:type="dxa"/>
          </w:tblCellMar>
        </w:tblPrEx>
        <w:trPr>
          <w:trHeight w:val="285" w:hRule="atLeast"/>
        </w:trPr>
        <w:tc>
          <w:tcPr>
            <w:tcW w:w="735"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15443E3F">
            <w:pPr>
              <w:widowControl/>
              <w:jc w:val="center"/>
              <w:textAlignment w:val="center"/>
              <w:rPr>
                <w:rFonts w:ascii="等线" w:hAnsi="等线" w:eastAsia="等线" w:cs="等线"/>
                <w:sz w:val="22"/>
              </w:rPr>
            </w:pPr>
            <w:r>
              <w:rPr>
                <w:rFonts w:hint="eastAsia" w:ascii="等线" w:hAnsi="等线" w:eastAsia="等线" w:cs="等线"/>
                <w:kern w:val="0"/>
                <w:sz w:val="22"/>
                <w:lang w:bidi="ar"/>
              </w:rPr>
              <w:t>6</w:t>
            </w:r>
          </w:p>
        </w:tc>
        <w:tc>
          <w:tcPr>
            <w:tcW w:w="8030"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50CCED08">
            <w:pPr>
              <w:widowControl/>
              <w:jc w:val="left"/>
              <w:textAlignment w:val="center"/>
              <w:rPr>
                <w:rFonts w:ascii="等线" w:hAnsi="等线" w:eastAsia="等线" w:cs="等线"/>
                <w:sz w:val="22"/>
              </w:rPr>
            </w:pPr>
            <w:r>
              <w:rPr>
                <w:rFonts w:hint="eastAsia" w:ascii="等线" w:hAnsi="等线" w:eastAsia="等线" w:cs="等线"/>
                <w:kern w:val="0"/>
                <w:sz w:val="22"/>
                <w:lang w:bidi="ar"/>
              </w:rPr>
              <w:t>安全风险辨识不全，安全措施不齐全。施工组织设计（方案）应编制但未编制、未经审批完成就施工，未履行书面的安全技术交底就施工。</w:t>
            </w:r>
          </w:p>
        </w:tc>
        <w:tc>
          <w:tcPr>
            <w:tcW w:w="1423"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4A80F381">
            <w:pPr>
              <w:widowControl/>
              <w:jc w:val="left"/>
              <w:textAlignment w:val="center"/>
              <w:rPr>
                <w:rFonts w:ascii="等线" w:hAnsi="等线" w:eastAsia="等线" w:cs="等线"/>
                <w:sz w:val="22"/>
              </w:rPr>
            </w:pPr>
            <w:r>
              <w:rPr>
                <w:rFonts w:hint="eastAsia" w:ascii="等线" w:hAnsi="等线" w:eastAsia="等线" w:cs="等线"/>
                <w:kern w:val="0"/>
                <w:sz w:val="22"/>
                <w:lang w:bidi="ar"/>
              </w:rPr>
              <w:t>1000~3000</w:t>
            </w:r>
          </w:p>
        </w:tc>
      </w:tr>
      <w:tr w14:paraId="48EB8E91">
        <w:tblPrEx>
          <w:tblCellMar>
            <w:top w:w="0" w:type="dxa"/>
            <w:left w:w="108" w:type="dxa"/>
            <w:bottom w:w="0" w:type="dxa"/>
            <w:right w:w="108" w:type="dxa"/>
          </w:tblCellMar>
        </w:tblPrEx>
        <w:trPr>
          <w:trHeight w:val="285" w:hRule="atLeast"/>
        </w:trPr>
        <w:tc>
          <w:tcPr>
            <w:tcW w:w="735"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6D35622F">
            <w:pPr>
              <w:widowControl/>
              <w:jc w:val="center"/>
              <w:textAlignment w:val="center"/>
              <w:rPr>
                <w:rFonts w:ascii="等线" w:hAnsi="等线" w:eastAsia="等线" w:cs="等线"/>
                <w:sz w:val="22"/>
              </w:rPr>
            </w:pPr>
            <w:r>
              <w:rPr>
                <w:rFonts w:hint="eastAsia" w:ascii="等线" w:hAnsi="等线" w:eastAsia="等线" w:cs="等线"/>
                <w:kern w:val="0"/>
                <w:sz w:val="22"/>
                <w:lang w:bidi="ar"/>
              </w:rPr>
              <w:t>7</w:t>
            </w:r>
          </w:p>
        </w:tc>
        <w:tc>
          <w:tcPr>
            <w:tcW w:w="8030"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58A51FBC">
            <w:pPr>
              <w:widowControl/>
              <w:jc w:val="left"/>
              <w:textAlignment w:val="center"/>
              <w:rPr>
                <w:rFonts w:ascii="等线" w:hAnsi="等线" w:eastAsia="等线" w:cs="等线"/>
                <w:sz w:val="22"/>
              </w:rPr>
            </w:pPr>
            <w:r>
              <w:rPr>
                <w:rFonts w:hint="eastAsia" w:ascii="等线" w:hAnsi="等线" w:eastAsia="等线" w:cs="等线"/>
                <w:sz w:val="22"/>
              </w:rPr>
              <w:t>不服从工程会议决议、业主（监理）方工程指令。</w:t>
            </w:r>
          </w:p>
        </w:tc>
        <w:tc>
          <w:tcPr>
            <w:tcW w:w="1423"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4FD6AE58">
            <w:pPr>
              <w:widowControl/>
              <w:jc w:val="left"/>
              <w:textAlignment w:val="center"/>
              <w:rPr>
                <w:rFonts w:ascii="等线" w:hAnsi="等线" w:eastAsia="等线" w:cs="等线"/>
                <w:sz w:val="22"/>
              </w:rPr>
            </w:pPr>
            <w:r>
              <w:rPr>
                <w:rFonts w:hint="eastAsia" w:ascii="等线" w:hAnsi="等线" w:eastAsia="等线" w:cs="等线"/>
                <w:kern w:val="0"/>
                <w:sz w:val="22"/>
                <w:lang w:bidi="ar"/>
              </w:rPr>
              <w:t>1000~3000</w:t>
            </w:r>
          </w:p>
        </w:tc>
      </w:tr>
      <w:tr w14:paraId="2092FBCE">
        <w:tblPrEx>
          <w:tblCellMar>
            <w:top w:w="0" w:type="dxa"/>
            <w:left w:w="108" w:type="dxa"/>
            <w:bottom w:w="0" w:type="dxa"/>
            <w:right w:w="108" w:type="dxa"/>
          </w:tblCellMar>
        </w:tblPrEx>
        <w:trPr>
          <w:trHeight w:val="414" w:hRule="atLeast"/>
        </w:trPr>
        <w:tc>
          <w:tcPr>
            <w:tcW w:w="735"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4E4C0D2A">
            <w:pPr>
              <w:widowControl/>
              <w:jc w:val="center"/>
              <w:textAlignment w:val="center"/>
              <w:rPr>
                <w:rFonts w:ascii="等线" w:hAnsi="等线" w:eastAsia="等线" w:cs="等线"/>
                <w:sz w:val="22"/>
              </w:rPr>
            </w:pPr>
            <w:r>
              <w:rPr>
                <w:rFonts w:hint="eastAsia" w:ascii="等线" w:hAnsi="等线" w:eastAsia="等线" w:cs="等线"/>
                <w:kern w:val="0"/>
                <w:sz w:val="22"/>
                <w:lang w:bidi="ar"/>
              </w:rPr>
              <w:t>8</w:t>
            </w:r>
          </w:p>
        </w:tc>
        <w:tc>
          <w:tcPr>
            <w:tcW w:w="8030"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7F76CA80">
            <w:pPr>
              <w:widowControl/>
              <w:jc w:val="left"/>
              <w:textAlignment w:val="center"/>
              <w:rPr>
                <w:rFonts w:ascii="等线" w:hAnsi="等线" w:eastAsia="等线" w:cs="等线"/>
                <w:sz w:val="22"/>
              </w:rPr>
            </w:pPr>
            <w:r>
              <w:rPr>
                <w:rFonts w:hint="eastAsia" w:ascii="等线" w:hAnsi="等线" w:eastAsia="等线" w:cs="等线"/>
                <w:kern w:val="0"/>
                <w:sz w:val="22"/>
                <w:lang w:bidi="ar"/>
              </w:rPr>
              <w:t>未定期进行安全检查，安全隐患纠正措施不力，隐患排查、整改记录缺失。</w:t>
            </w:r>
          </w:p>
        </w:tc>
        <w:tc>
          <w:tcPr>
            <w:tcW w:w="1423"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2988E176">
            <w:pPr>
              <w:widowControl/>
              <w:jc w:val="left"/>
              <w:textAlignment w:val="center"/>
              <w:rPr>
                <w:rFonts w:ascii="等线" w:hAnsi="等线" w:eastAsia="等线" w:cs="等线"/>
                <w:sz w:val="22"/>
              </w:rPr>
            </w:pPr>
            <w:r>
              <w:rPr>
                <w:rFonts w:hint="eastAsia" w:ascii="等线" w:hAnsi="等线" w:eastAsia="等线" w:cs="等线"/>
                <w:kern w:val="0"/>
                <w:sz w:val="22"/>
                <w:lang w:bidi="ar"/>
              </w:rPr>
              <w:t>1000~3000</w:t>
            </w:r>
          </w:p>
        </w:tc>
      </w:tr>
      <w:tr w14:paraId="5A6B74B6">
        <w:tblPrEx>
          <w:tblCellMar>
            <w:top w:w="0" w:type="dxa"/>
            <w:left w:w="108" w:type="dxa"/>
            <w:bottom w:w="0" w:type="dxa"/>
            <w:right w:w="108" w:type="dxa"/>
          </w:tblCellMar>
        </w:tblPrEx>
        <w:trPr>
          <w:trHeight w:val="285" w:hRule="atLeast"/>
        </w:trPr>
        <w:tc>
          <w:tcPr>
            <w:tcW w:w="735"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2287B82B">
            <w:pPr>
              <w:widowControl/>
              <w:jc w:val="center"/>
              <w:textAlignment w:val="center"/>
              <w:rPr>
                <w:rFonts w:ascii="等线" w:hAnsi="等线" w:eastAsia="等线" w:cs="等线"/>
                <w:sz w:val="22"/>
              </w:rPr>
            </w:pPr>
            <w:r>
              <w:rPr>
                <w:rFonts w:hint="eastAsia" w:ascii="等线" w:hAnsi="等线" w:eastAsia="等线" w:cs="等线"/>
                <w:kern w:val="0"/>
                <w:sz w:val="22"/>
                <w:lang w:bidi="ar"/>
              </w:rPr>
              <w:t>9</w:t>
            </w:r>
          </w:p>
        </w:tc>
        <w:tc>
          <w:tcPr>
            <w:tcW w:w="8030"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12109F44">
            <w:pPr>
              <w:widowControl/>
              <w:jc w:val="left"/>
              <w:textAlignment w:val="center"/>
              <w:rPr>
                <w:rFonts w:ascii="等线" w:hAnsi="等线" w:eastAsia="等线" w:cs="等线"/>
                <w:sz w:val="22"/>
              </w:rPr>
            </w:pPr>
            <w:r>
              <w:rPr>
                <w:rFonts w:hint="eastAsia" w:ascii="等线" w:hAnsi="等线" w:eastAsia="等线" w:cs="等线"/>
                <w:kern w:val="0"/>
                <w:sz w:val="22"/>
                <w:lang w:bidi="ar"/>
              </w:rPr>
              <w:t>施工作业无安全操作规程以及违反操作规程作业。</w:t>
            </w:r>
          </w:p>
        </w:tc>
        <w:tc>
          <w:tcPr>
            <w:tcW w:w="1423"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7338B977">
            <w:pPr>
              <w:widowControl/>
              <w:jc w:val="left"/>
              <w:textAlignment w:val="center"/>
              <w:rPr>
                <w:rFonts w:ascii="等线" w:hAnsi="等线" w:eastAsia="等线" w:cs="等线"/>
                <w:sz w:val="22"/>
              </w:rPr>
            </w:pPr>
            <w:r>
              <w:rPr>
                <w:rFonts w:hint="eastAsia" w:ascii="等线" w:hAnsi="等线" w:eastAsia="等线" w:cs="等线"/>
                <w:kern w:val="0"/>
                <w:sz w:val="22"/>
                <w:lang w:bidi="ar"/>
              </w:rPr>
              <w:t>1000~3000</w:t>
            </w:r>
          </w:p>
        </w:tc>
      </w:tr>
      <w:tr w14:paraId="67F3F538">
        <w:tblPrEx>
          <w:tblCellMar>
            <w:top w:w="0" w:type="dxa"/>
            <w:left w:w="108" w:type="dxa"/>
            <w:bottom w:w="0" w:type="dxa"/>
            <w:right w:w="108" w:type="dxa"/>
          </w:tblCellMar>
        </w:tblPrEx>
        <w:trPr>
          <w:trHeight w:val="548" w:hRule="atLeast"/>
        </w:trPr>
        <w:tc>
          <w:tcPr>
            <w:tcW w:w="735"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6C94FE20">
            <w:pPr>
              <w:widowControl/>
              <w:jc w:val="center"/>
              <w:textAlignment w:val="center"/>
              <w:rPr>
                <w:rFonts w:ascii="等线" w:hAnsi="等线" w:eastAsia="等线" w:cs="等线"/>
                <w:sz w:val="22"/>
              </w:rPr>
            </w:pPr>
            <w:r>
              <w:rPr>
                <w:rFonts w:hint="eastAsia" w:ascii="等线" w:hAnsi="等线" w:eastAsia="等线" w:cs="等线"/>
                <w:kern w:val="0"/>
                <w:sz w:val="22"/>
                <w:lang w:bidi="ar"/>
              </w:rPr>
              <w:t>10</w:t>
            </w:r>
          </w:p>
        </w:tc>
        <w:tc>
          <w:tcPr>
            <w:tcW w:w="8030"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705388A5">
            <w:pPr>
              <w:widowControl/>
              <w:jc w:val="left"/>
              <w:textAlignment w:val="center"/>
              <w:rPr>
                <w:rFonts w:ascii="等线" w:hAnsi="等线" w:eastAsia="等线" w:cs="等线"/>
                <w:sz w:val="22"/>
              </w:rPr>
            </w:pPr>
            <w:r>
              <w:rPr>
                <w:rFonts w:hint="eastAsia" w:ascii="等线" w:hAnsi="等线" w:eastAsia="等线" w:cs="等线"/>
                <w:kern w:val="0"/>
                <w:sz w:val="22"/>
                <w:lang w:bidi="ar"/>
              </w:rPr>
              <w:t>工机具、车辆、设备入场前，大型登高、吊装设备、脚手架架设后应进行备案、报批、验收的，未经同意就使用。</w:t>
            </w:r>
          </w:p>
        </w:tc>
        <w:tc>
          <w:tcPr>
            <w:tcW w:w="1423"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1E806E55">
            <w:pPr>
              <w:widowControl/>
              <w:jc w:val="left"/>
              <w:textAlignment w:val="center"/>
              <w:rPr>
                <w:rFonts w:ascii="等线" w:hAnsi="等线" w:eastAsia="等线" w:cs="等线"/>
                <w:sz w:val="22"/>
              </w:rPr>
            </w:pPr>
            <w:r>
              <w:rPr>
                <w:rFonts w:hint="eastAsia" w:ascii="等线" w:hAnsi="等线" w:eastAsia="等线" w:cs="等线"/>
                <w:kern w:val="0"/>
                <w:sz w:val="22"/>
                <w:lang w:bidi="ar"/>
              </w:rPr>
              <w:t>1000~3000</w:t>
            </w:r>
          </w:p>
        </w:tc>
      </w:tr>
      <w:tr w14:paraId="1349D04B">
        <w:tblPrEx>
          <w:tblCellMar>
            <w:top w:w="0" w:type="dxa"/>
            <w:left w:w="108" w:type="dxa"/>
            <w:bottom w:w="0" w:type="dxa"/>
            <w:right w:w="108" w:type="dxa"/>
          </w:tblCellMar>
        </w:tblPrEx>
        <w:trPr>
          <w:trHeight w:val="392" w:hRule="atLeast"/>
        </w:trPr>
        <w:tc>
          <w:tcPr>
            <w:tcW w:w="735"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4C81097A">
            <w:pPr>
              <w:widowControl/>
              <w:jc w:val="center"/>
              <w:textAlignment w:val="center"/>
              <w:rPr>
                <w:rFonts w:ascii="等线" w:hAnsi="等线" w:eastAsia="等线" w:cs="等线"/>
                <w:kern w:val="0"/>
                <w:sz w:val="22"/>
                <w:lang w:bidi="ar"/>
              </w:rPr>
            </w:pPr>
            <w:r>
              <w:rPr>
                <w:rFonts w:hint="eastAsia" w:ascii="等线" w:hAnsi="等线" w:eastAsia="等线" w:cs="等线"/>
                <w:kern w:val="0"/>
                <w:sz w:val="22"/>
                <w:lang w:bidi="ar"/>
              </w:rPr>
              <w:t>11</w:t>
            </w:r>
          </w:p>
        </w:tc>
        <w:tc>
          <w:tcPr>
            <w:tcW w:w="8030"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10FE79E7">
            <w:pPr>
              <w:widowControl/>
              <w:jc w:val="left"/>
              <w:textAlignment w:val="center"/>
              <w:rPr>
                <w:rFonts w:ascii="等线" w:hAnsi="等线" w:eastAsia="等线" w:cs="等线"/>
                <w:kern w:val="0"/>
                <w:sz w:val="22"/>
                <w:lang w:bidi="ar"/>
              </w:rPr>
            </w:pPr>
            <w:r>
              <w:rPr>
                <w:rFonts w:hint="eastAsia" w:ascii="等线" w:hAnsi="等线" w:eastAsia="等线" w:cs="等线"/>
                <w:kern w:val="0"/>
                <w:sz w:val="22"/>
                <w:lang w:bidi="ar"/>
              </w:rPr>
              <w:t>违章指挥，强令他人违章作业</w:t>
            </w:r>
          </w:p>
        </w:tc>
        <w:tc>
          <w:tcPr>
            <w:tcW w:w="1423"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4EB44E1A">
            <w:pPr>
              <w:widowControl/>
              <w:jc w:val="left"/>
              <w:textAlignment w:val="center"/>
              <w:rPr>
                <w:rFonts w:ascii="等线" w:hAnsi="等线" w:eastAsia="等线" w:cs="等线"/>
                <w:kern w:val="0"/>
                <w:sz w:val="22"/>
                <w:lang w:bidi="ar"/>
              </w:rPr>
            </w:pPr>
            <w:r>
              <w:rPr>
                <w:rFonts w:hint="eastAsia" w:ascii="等线" w:hAnsi="等线" w:eastAsia="等线" w:cs="等线"/>
                <w:kern w:val="0"/>
                <w:sz w:val="22"/>
                <w:lang w:bidi="ar"/>
              </w:rPr>
              <w:t>3000~10000</w:t>
            </w:r>
          </w:p>
        </w:tc>
      </w:tr>
      <w:tr w14:paraId="0618C926">
        <w:tblPrEx>
          <w:tblCellMar>
            <w:top w:w="0" w:type="dxa"/>
            <w:left w:w="108" w:type="dxa"/>
            <w:bottom w:w="0" w:type="dxa"/>
            <w:right w:w="108" w:type="dxa"/>
          </w:tblCellMar>
        </w:tblPrEx>
        <w:trPr>
          <w:trHeight w:val="392" w:hRule="atLeast"/>
        </w:trPr>
        <w:tc>
          <w:tcPr>
            <w:tcW w:w="735"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62A24C25">
            <w:pPr>
              <w:widowControl/>
              <w:jc w:val="center"/>
              <w:textAlignment w:val="center"/>
              <w:rPr>
                <w:rFonts w:ascii="等线" w:hAnsi="等线" w:eastAsia="等线" w:cs="等线"/>
                <w:kern w:val="0"/>
                <w:sz w:val="22"/>
                <w:lang w:bidi="ar"/>
              </w:rPr>
            </w:pPr>
            <w:r>
              <w:rPr>
                <w:rFonts w:hint="eastAsia" w:ascii="等线" w:hAnsi="等线" w:eastAsia="等线" w:cs="等线"/>
                <w:color w:val="00B0F0"/>
                <w:kern w:val="0"/>
                <w:sz w:val="22"/>
                <w:lang w:bidi="ar"/>
              </w:rPr>
              <w:t>12</w:t>
            </w:r>
          </w:p>
        </w:tc>
        <w:tc>
          <w:tcPr>
            <w:tcW w:w="8030"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24BA8947">
            <w:pPr>
              <w:widowControl/>
              <w:jc w:val="left"/>
              <w:textAlignment w:val="center"/>
              <w:rPr>
                <w:rFonts w:ascii="等线" w:hAnsi="等线" w:eastAsia="等线" w:cs="等线"/>
                <w:color w:val="00B0F0"/>
                <w:kern w:val="0"/>
                <w:sz w:val="22"/>
              </w:rPr>
            </w:pPr>
            <w:r>
              <w:rPr>
                <w:rFonts w:hint="eastAsia" w:ascii="等线" w:hAnsi="等线" w:eastAsia="等线" w:cs="等线"/>
                <w:color w:val="00B0F0"/>
                <w:kern w:val="0"/>
                <w:sz w:val="22"/>
                <w:lang w:bidi="ar"/>
              </w:rPr>
              <w:t>拒不执行安全生产 “吹哨人” 及隐患内部报告制度或未按规定给予 “吹哨人” 奖励</w:t>
            </w:r>
          </w:p>
        </w:tc>
        <w:tc>
          <w:tcPr>
            <w:tcW w:w="1423"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1989FC6B">
            <w:pPr>
              <w:widowControl/>
              <w:jc w:val="left"/>
              <w:textAlignment w:val="center"/>
              <w:rPr>
                <w:rFonts w:ascii="等线" w:hAnsi="等线" w:eastAsia="等线" w:cs="等线"/>
                <w:color w:val="00B0F0"/>
                <w:kern w:val="0"/>
                <w:sz w:val="22"/>
              </w:rPr>
            </w:pPr>
            <w:r>
              <w:rPr>
                <w:rFonts w:hint="eastAsia" w:ascii="等线" w:hAnsi="等线" w:eastAsia="等线" w:cs="等线"/>
                <w:color w:val="00B0F0"/>
                <w:kern w:val="0"/>
                <w:sz w:val="22"/>
                <w:lang w:bidi="ar"/>
              </w:rPr>
              <w:t>5000</w:t>
            </w:r>
          </w:p>
        </w:tc>
      </w:tr>
      <w:tr w14:paraId="1D7FC864">
        <w:tblPrEx>
          <w:tblCellMar>
            <w:top w:w="0" w:type="dxa"/>
            <w:left w:w="108" w:type="dxa"/>
            <w:bottom w:w="0" w:type="dxa"/>
            <w:right w:w="108" w:type="dxa"/>
          </w:tblCellMar>
        </w:tblPrEx>
        <w:trPr>
          <w:trHeight w:val="285" w:hRule="atLeast"/>
        </w:trPr>
        <w:tc>
          <w:tcPr>
            <w:tcW w:w="10188" w:type="dxa"/>
            <w:gridSpan w:val="5"/>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717FFC8A">
            <w:pPr>
              <w:widowControl/>
              <w:jc w:val="center"/>
              <w:textAlignment w:val="center"/>
              <w:rPr>
                <w:rFonts w:ascii="等线" w:hAnsi="等线" w:eastAsia="等线" w:cs="等线"/>
                <w:b/>
                <w:sz w:val="22"/>
              </w:rPr>
            </w:pPr>
            <w:r>
              <w:rPr>
                <w:rFonts w:hint="eastAsia" w:ascii="等线" w:hAnsi="等线" w:eastAsia="等线" w:cs="等线"/>
                <w:b/>
                <w:kern w:val="0"/>
                <w:sz w:val="22"/>
                <w:lang w:bidi="ar"/>
              </w:rPr>
              <w:t>二、个人违章</w:t>
            </w:r>
          </w:p>
        </w:tc>
      </w:tr>
      <w:tr w14:paraId="3AAD099B">
        <w:tblPrEx>
          <w:tblCellMar>
            <w:top w:w="0" w:type="dxa"/>
            <w:left w:w="108" w:type="dxa"/>
            <w:bottom w:w="0" w:type="dxa"/>
            <w:right w:w="108" w:type="dxa"/>
          </w:tblCellMar>
        </w:tblPrEx>
        <w:trPr>
          <w:trHeight w:val="90" w:hRule="atLeast"/>
        </w:trPr>
        <w:tc>
          <w:tcPr>
            <w:tcW w:w="735"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09B551A1">
            <w:pPr>
              <w:widowControl/>
              <w:jc w:val="center"/>
              <w:textAlignment w:val="center"/>
              <w:rPr>
                <w:rFonts w:ascii="等线" w:hAnsi="等线" w:eastAsia="等线" w:cs="等线"/>
                <w:sz w:val="22"/>
              </w:rPr>
            </w:pPr>
            <w:r>
              <w:rPr>
                <w:rFonts w:hint="eastAsia" w:ascii="等线" w:hAnsi="等线" w:eastAsia="等线" w:cs="等线"/>
                <w:kern w:val="0"/>
                <w:sz w:val="22"/>
                <w:lang w:bidi="ar"/>
              </w:rPr>
              <w:t>13</w:t>
            </w:r>
          </w:p>
        </w:tc>
        <w:tc>
          <w:tcPr>
            <w:tcW w:w="8030"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19046B56">
            <w:pPr>
              <w:widowControl/>
              <w:jc w:val="left"/>
              <w:textAlignment w:val="center"/>
              <w:rPr>
                <w:rFonts w:ascii="等线" w:hAnsi="等线" w:eastAsia="等线" w:cs="等线"/>
                <w:color w:val="00B0F0"/>
                <w:sz w:val="22"/>
              </w:rPr>
            </w:pPr>
            <w:r>
              <w:rPr>
                <w:rFonts w:hint="eastAsia" w:ascii="等线" w:hAnsi="等线" w:eastAsia="等线" w:cs="等线"/>
                <w:color w:val="00B0F0"/>
                <w:kern w:val="0"/>
                <w:sz w:val="22"/>
                <w:lang w:bidi="ar"/>
              </w:rPr>
              <w:t>未参加施工单位培训及建设单位三级安全教育培训和考试就入场，借用、冒用他人入场许可证的。</w:t>
            </w:r>
          </w:p>
        </w:tc>
        <w:tc>
          <w:tcPr>
            <w:tcW w:w="1423"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41D79BF2">
            <w:pPr>
              <w:widowControl/>
              <w:jc w:val="left"/>
              <w:textAlignment w:val="center"/>
              <w:rPr>
                <w:rFonts w:ascii="等线" w:hAnsi="等线" w:eastAsia="等线" w:cs="等线"/>
                <w:color w:val="00B0F0"/>
                <w:sz w:val="22"/>
              </w:rPr>
            </w:pPr>
            <w:r>
              <w:rPr>
                <w:rFonts w:hint="eastAsia" w:ascii="等线" w:hAnsi="等线" w:eastAsia="等线" w:cs="等线"/>
                <w:color w:val="00B0F0"/>
                <w:kern w:val="0"/>
                <w:sz w:val="22"/>
                <w:lang w:bidi="ar"/>
              </w:rPr>
              <w:t>5000~10000</w:t>
            </w:r>
          </w:p>
        </w:tc>
      </w:tr>
      <w:tr w14:paraId="22CD8267">
        <w:tblPrEx>
          <w:tblCellMar>
            <w:top w:w="0" w:type="dxa"/>
            <w:left w:w="108" w:type="dxa"/>
            <w:bottom w:w="0" w:type="dxa"/>
            <w:right w:w="108" w:type="dxa"/>
          </w:tblCellMar>
        </w:tblPrEx>
        <w:trPr>
          <w:trHeight w:val="366" w:hRule="atLeast"/>
        </w:trPr>
        <w:tc>
          <w:tcPr>
            <w:tcW w:w="735"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1EBCC05F">
            <w:pPr>
              <w:widowControl/>
              <w:jc w:val="center"/>
              <w:textAlignment w:val="center"/>
              <w:rPr>
                <w:rFonts w:ascii="等线" w:hAnsi="等线" w:eastAsia="等线" w:cs="等线"/>
                <w:sz w:val="22"/>
              </w:rPr>
            </w:pPr>
            <w:r>
              <w:rPr>
                <w:rFonts w:hint="eastAsia" w:ascii="等线" w:hAnsi="等线" w:eastAsia="等线" w:cs="等线"/>
                <w:kern w:val="0"/>
                <w:sz w:val="22"/>
                <w:lang w:bidi="ar"/>
              </w:rPr>
              <w:t>14</w:t>
            </w:r>
          </w:p>
        </w:tc>
        <w:tc>
          <w:tcPr>
            <w:tcW w:w="8030"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4F1A48E3">
            <w:pPr>
              <w:widowControl/>
              <w:jc w:val="left"/>
              <w:textAlignment w:val="center"/>
              <w:rPr>
                <w:rFonts w:ascii="等线" w:hAnsi="等线" w:eastAsia="等线" w:cs="等线"/>
                <w:sz w:val="22"/>
              </w:rPr>
            </w:pPr>
            <w:r>
              <w:rPr>
                <w:rFonts w:hint="eastAsia" w:ascii="等线" w:hAnsi="等线" w:eastAsia="等线" w:cs="等线"/>
                <w:kern w:val="0"/>
                <w:sz w:val="22"/>
                <w:lang w:bidi="ar"/>
              </w:rPr>
              <w:t>安全帽、护目镜、劳保鞋、工作服、反光背心等劳动防护用品未按规定穿佩戴。使用的劳动防护用品受损或质量达不到规范要求。</w:t>
            </w:r>
          </w:p>
        </w:tc>
        <w:tc>
          <w:tcPr>
            <w:tcW w:w="1423"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2A8B08E0">
            <w:pPr>
              <w:widowControl/>
              <w:jc w:val="left"/>
              <w:textAlignment w:val="center"/>
              <w:rPr>
                <w:rFonts w:ascii="等线" w:hAnsi="等线" w:eastAsia="等线" w:cs="等线"/>
                <w:sz w:val="22"/>
              </w:rPr>
            </w:pPr>
            <w:r>
              <w:rPr>
                <w:rFonts w:hint="eastAsia" w:ascii="等线" w:hAnsi="等线" w:eastAsia="等线" w:cs="等线"/>
                <w:kern w:val="0"/>
                <w:sz w:val="22"/>
                <w:lang w:bidi="ar"/>
              </w:rPr>
              <w:t>200~500</w:t>
            </w:r>
          </w:p>
        </w:tc>
      </w:tr>
      <w:tr w14:paraId="2EC7AF97">
        <w:tblPrEx>
          <w:tblCellMar>
            <w:top w:w="0" w:type="dxa"/>
            <w:left w:w="108" w:type="dxa"/>
            <w:bottom w:w="0" w:type="dxa"/>
            <w:right w:w="108" w:type="dxa"/>
          </w:tblCellMar>
        </w:tblPrEx>
        <w:trPr>
          <w:trHeight w:val="285" w:hRule="atLeast"/>
        </w:trPr>
        <w:tc>
          <w:tcPr>
            <w:tcW w:w="735"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7ED7472A">
            <w:pPr>
              <w:widowControl/>
              <w:jc w:val="center"/>
              <w:textAlignment w:val="center"/>
              <w:rPr>
                <w:rFonts w:ascii="等线" w:hAnsi="等线" w:eastAsia="等线" w:cs="等线"/>
                <w:sz w:val="22"/>
              </w:rPr>
            </w:pPr>
            <w:r>
              <w:rPr>
                <w:rFonts w:hint="eastAsia" w:ascii="等线" w:hAnsi="等线" w:eastAsia="等线" w:cs="等线"/>
                <w:kern w:val="0"/>
                <w:sz w:val="22"/>
                <w:lang w:bidi="ar"/>
              </w:rPr>
              <w:t>15</w:t>
            </w:r>
          </w:p>
        </w:tc>
        <w:tc>
          <w:tcPr>
            <w:tcW w:w="8030"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5DE9A2B8">
            <w:pPr>
              <w:widowControl/>
              <w:jc w:val="left"/>
              <w:textAlignment w:val="center"/>
              <w:rPr>
                <w:rFonts w:ascii="等线" w:hAnsi="等线" w:eastAsia="等线" w:cs="等线"/>
                <w:sz w:val="22"/>
              </w:rPr>
            </w:pPr>
            <w:r>
              <w:rPr>
                <w:rFonts w:hint="eastAsia" w:ascii="等线" w:hAnsi="等线" w:eastAsia="等线" w:cs="等线"/>
                <w:kern w:val="0"/>
                <w:sz w:val="22"/>
                <w:lang w:bidi="ar"/>
              </w:rPr>
              <w:t>班前或班中饮酒后，仍然进入施工现场工作。</w:t>
            </w:r>
          </w:p>
        </w:tc>
        <w:tc>
          <w:tcPr>
            <w:tcW w:w="1423"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090AC942">
            <w:pPr>
              <w:widowControl/>
              <w:jc w:val="left"/>
              <w:textAlignment w:val="center"/>
              <w:rPr>
                <w:rFonts w:ascii="等线" w:hAnsi="等线" w:eastAsia="等线" w:cs="等线"/>
                <w:sz w:val="22"/>
              </w:rPr>
            </w:pPr>
            <w:r>
              <w:rPr>
                <w:rFonts w:hint="eastAsia" w:ascii="等线" w:hAnsi="等线" w:eastAsia="等线" w:cs="等线"/>
                <w:kern w:val="0"/>
                <w:sz w:val="22"/>
                <w:lang w:bidi="ar"/>
              </w:rPr>
              <w:t>1000</w:t>
            </w:r>
          </w:p>
        </w:tc>
      </w:tr>
      <w:tr w14:paraId="204A9AEE">
        <w:tblPrEx>
          <w:tblCellMar>
            <w:top w:w="0" w:type="dxa"/>
            <w:left w:w="108" w:type="dxa"/>
            <w:bottom w:w="0" w:type="dxa"/>
            <w:right w:w="108" w:type="dxa"/>
          </w:tblCellMar>
        </w:tblPrEx>
        <w:trPr>
          <w:trHeight w:val="285" w:hRule="atLeast"/>
        </w:trPr>
        <w:tc>
          <w:tcPr>
            <w:tcW w:w="735"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6AB85D3D">
            <w:pPr>
              <w:widowControl/>
              <w:jc w:val="center"/>
              <w:textAlignment w:val="center"/>
              <w:rPr>
                <w:rFonts w:ascii="等线" w:hAnsi="等线" w:eastAsia="等线" w:cs="等线"/>
                <w:sz w:val="22"/>
              </w:rPr>
            </w:pPr>
            <w:r>
              <w:rPr>
                <w:rFonts w:hint="eastAsia" w:ascii="等线" w:hAnsi="等线" w:eastAsia="等线" w:cs="等线"/>
                <w:kern w:val="0"/>
                <w:sz w:val="22"/>
                <w:lang w:bidi="ar"/>
              </w:rPr>
              <w:t>16</w:t>
            </w:r>
          </w:p>
        </w:tc>
        <w:tc>
          <w:tcPr>
            <w:tcW w:w="8030"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35E7D001">
            <w:pPr>
              <w:widowControl/>
              <w:jc w:val="left"/>
              <w:textAlignment w:val="center"/>
              <w:rPr>
                <w:rFonts w:ascii="等线" w:hAnsi="等线" w:eastAsia="等线" w:cs="等线"/>
                <w:sz w:val="22"/>
              </w:rPr>
            </w:pPr>
            <w:r>
              <w:rPr>
                <w:rFonts w:hint="eastAsia" w:ascii="等线" w:hAnsi="等线" w:eastAsia="等线" w:cs="等线"/>
                <w:kern w:val="0"/>
                <w:sz w:val="22"/>
                <w:lang w:bidi="ar"/>
              </w:rPr>
              <w:t>超过2米有可能跌落的场所施工作业未系或未按规范系双钩安全带。</w:t>
            </w:r>
          </w:p>
        </w:tc>
        <w:tc>
          <w:tcPr>
            <w:tcW w:w="1423"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373B61DF">
            <w:pPr>
              <w:widowControl/>
              <w:jc w:val="left"/>
              <w:textAlignment w:val="center"/>
              <w:rPr>
                <w:rFonts w:ascii="等线" w:hAnsi="等线" w:eastAsia="等线" w:cs="等线"/>
                <w:sz w:val="22"/>
              </w:rPr>
            </w:pPr>
            <w:r>
              <w:rPr>
                <w:rFonts w:hint="eastAsia" w:ascii="等线" w:hAnsi="等线" w:eastAsia="等线" w:cs="等线"/>
                <w:kern w:val="0"/>
                <w:sz w:val="22"/>
                <w:lang w:bidi="ar"/>
              </w:rPr>
              <w:t>1000</w:t>
            </w:r>
          </w:p>
        </w:tc>
      </w:tr>
      <w:tr w14:paraId="478DF045">
        <w:tblPrEx>
          <w:tblCellMar>
            <w:top w:w="0" w:type="dxa"/>
            <w:left w:w="108" w:type="dxa"/>
            <w:bottom w:w="0" w:type="dxa"/>
            <w:right w:w="108" w:type="dxa"/>
          </w:tblCellMar>
        </w:tblPrEx>
        <w:trPr>
          <w:trHeight w:val="260" w:hRule="atLeast"/>
        </w:trPr>
        <w:tc>
          <w:tcPr>
            <w:tcW w:w="735"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4C066CD5">
            <w:pPr>
              <w:widowControl/>
              <w:jc w:val="center"/>
              <w:textAlignment w:val="center"/>
              <w:rPr>
                <w:rFonts w:ascii="等线" w:hAnsi="等线" w:eastAsia="等线" w:cs="等线"/>
                <w:sz w:val="22"/>
              </w:rPr>
            </w:pPr>
            <w:r>
              <w:rPr>
                <w:rFonts w:hint="eastAsia" w:ascii="等线" w:hAnsi="等线" w:eastAsia="等线" w:cs="等线"/>
                <w:kern w:val="0"/>
                <w:sz w:val="22"/>
                <w:lang w:bidi="ar"/>
              </w:rPr>
              <w:t>17</w:t>
            </w:r>
          </w:p>
        </w:tc>
        <w:tc>
          <w:tcPr>
            <w:tcW w:w="8030"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5CCC9E1C">
            <w:pPr>
              <w:widowControl/>
              <w:jc w:val="left"/>
              <w:textAlignment w:val="center"/>
              <w:rPr>
                <w:rFonts w:ascii="等线" w:hAnsi="等线" w:eastAsia="等线" w:cs="宋体"/>
                <w:szCs w:val="21"/>
              </w:rPr>
            </w:pPr>
            <w:r>
              <w:rPr>
                <w:rFonts w:hint="eastAsia" w:ascii="等线" w:hAnsi="等线" w:eastAsia="等线" w:cs="宋体"/>
                <w:kern w:val="0"/>
                <w:szCs w:val="21"/>
                <w:lang w:bidi="ar"/>
              </w:rPr>
              <w:t>在施工区内禁止吸烟处吸烟（非一级禁烟区），乱丢垃圾，污损破坏环境设施等行为。</w:t>
            </w:r>
          </w:p>
        </w:tc>
        <w:tc>
          <w:tcPr>
            <w:tcW w:w="1423"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5A1F7B4B">
            <w:pPr>
              <w:widowControl/>
              <w:jc w:val="left"/>
              <w:textAlignment w:val="center"/>
              <w:rPr>
                <w:rFonts w:ascii="等线" w:hAnsi="等线" w:eastAsia="等线"/>
                <w:szCs w:val="21"/>
              </w:rPr>
            </w:pPr>
            <w:r>
              <w:rPr>
                <w:rFonts w:ascii="等线" w:hAnsi="等线" w:eastAsia="等线"/>
                <w:kern w:val="0"/>
                <w:szCs w:val="21"/>
                <w:lang w:bidi="ar"/>
              </w:rPr>
              <w:t>100~500</w:t>
            </w:r>
          </w:p>
        </w:tc>
      </w:tr>
      <w:tr w14:paraId="74D76B26">
        <w:tblPrEx>
          <w:tblCellMar>
            <w:top w:w="0" w:type="dxa"/>
            <w:left w:w="108" w:type="dxa"/>
            <w:bottom w:w="0" w:type="dxa"/>
            <w:right w:w="108" w:type="dxa"/>
          </w:tblCellMar>
        </w:tblPrEx>
        <w:trPr>
          <w:trHeight w:val="260" w:hRule="atLeast"/>
        </w:trPr>
        <w:tc>
          <w:tcPr>
            <w:tcW w:w="735"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4ED5F67A">
            <w:pPr>
              <w:widowControl/>
              <w:jc w:val="center"/>
              <w:textAlignment w:val="center"/>
              <w:rPr>
                <w:rFonts w:ascii="等线" w:hAnsi="等线" w:eastAsia="等线" w:cs="等线"/>
                <w:kern w:val="0"/>
                <w:sz w:val="22"/>
                <w:lang w:bidi="ar"/>
              </w:rPr>
            </w:pPr>
            <w:r>
              <w:rPr>
                <w:rFonts w:hint="eastAsia" w:ascii="等线" w:hAnsi="等线" w:eastAsia="等线" w:cs="等线"/>
                <w:color w:val="00B0F0"/>
                <w:kern w:val="0"/>
                <w:sz w:val="22"/>
                <w:lang w:bidi="ar"/>
              </w:rPr>
              <w:t>18</w:t>
            </w:r>
          </w:p>
        </w:tc>
        <w:tc>
          <w:tcPr>
            <w:tcW w:w="8030"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6236AF67">
            <w:pPr>
              <w:widowControl/>
              <w:jc w:val="left"/>
              <w:textAlignment w:val="center"/>
              <w:rPr>
                <w:rFonts w:ascii="等线" w:hAnsi="等线" w:eastAsia="等线" w:cs="宋体"/>
                <w:color w:val="00B0F0"/>
                <w:kern w:val="0"/>
                <w:szCs w:val="21"/>
                <w:lang w:bidi="ar"/>
              </w:rPr>
            </w:pPr>
            <w:r>
              <w:rPr>
                <w:rFonts w:hint="eastAsia" w:ascii="等线" w:hAnsi="等线" w:eastAsia="等线" w:cs="等线"/>
                <w:color w:val="00B0F0"/>
                <w:kern w:val="0"/>
                <w:sz w:val="22"/>
                <w:lang w:bidi="ar"/>
              </w:rPr>
              <w:t>在施工区内随地大小便</w:t>
            </w:r>
          </w:p>
        </w:tc>
        <w:tc>
          <w:tcPr>
            <w:tcW w:w="1423"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7BC510EE">
            <w:pPr>
              <w:widowControl/>
              <w:jc w:val="left"/>
              <w:textAlignment w:val="center"/>
              <w:rPr>
                <w:rFonts w:ascii="等线" w:hAnsi="等线" w:eastAsia="等线"/>
                <w:color w:val="00B0F0"/>
                <w:kern w:val="0"/>
                <w:szCs w:val="21"/>
                <w:lang w:bidi="ar"/>
              </w:rPr>
            </w:pPr>
            <w:r>
              <w:rPr>
                <w:rFonts w:hint="eastAsia" w:ascii="等线" w:hAnsi="等线" w:eastAsia="等线"/>
                <w:color w:val="00B0F0"/>
                <w:kern w:val="0"/>
                <w:szCs w:val="21"/>
                <w:lang w:bidi="ar"/>
              </w:rPr>
              <w:t>2000</w:t>
            </w:r>
          </w:p>
        </w:tc>
      </w:tr>
      <w:tr w14:paraId="321FA2F7">
        <w:tblPrEx>
          <w:tblCellMar>
            <w:top w:w="0" w:type="dxa"/>
            <w:left w:w="108" w:type="dxa"/>
            <w:bottom w:w="0" w:type="dxa"/>
            <w:right w:w="108" w:type="dxa"/>
          </w:tblCellMar>
        </w:tblPrEx>
        <w:trPr>
          <w:trHeight w:val="285" w:hRule="atLeast"/>
        </w:trPr>
        <w:tc>
          <w:tcPr>
            <w:tcW w:w="10188" w:type="dxa"/>
            <w:gridSpan w:val="5"/>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3325E6E2">
            <w:pPr>
              <w:widowControl/>
              <w:jc w:val="center"/>
              <w:textAlignment w:val="center"/>
              <w:rPr>
                <w:rFonts w:ascii="等线" w:hAnsi="等线" w:eastAsia="等线" w:cs="等线"/>
                <w:b/>
                <w:sz w:val="22"/>
              </w:rPr>
            </w:pPr>
            <w:r>
              <w:rPr>
                <w:rFonts w:hint="eastAsia" w:ascii="等线" w:hAnsi="等线" w:eastAsia="等线" w:cs="等线"/>
                <w:b/>
                <w:kern w:val="0"/>
                <w:sz w:val="22"/>
                <w:lang w:bidi="ar"/>
              </w:rPr>
              <w:t>三、现场及施工作业违章</w:t>
            </w:r>
          </w:p>
        </w:tc>
      </w:tr>
      <w:tr w14:paraId="3F909825">
        <w:tblPrEx>
          <w:tblCellMar>
            <w:top w:w="0" w:type="dxa"/>
            <w:left w:w="108" w:type="dxa"/>
            <w:bottom w:w="0" w:type="dxa"/>
            <w:right w:w="108" w:type="dxa"/>
          </w:tblCellMar>
        </w:tblPrEx>
        <w:trPr>
          <w:trHeight w:val="1292" w:hRule="atLeast"/>
        </w:trPr>
        <w:tc>
          <w:tcPr>
            <w:tcW w:w="735"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1F4F60DE">
            <w:pPr>
              <w:widowControl/>
              <w:jc w:val="center"/>
              <w:textAlignment w:val="center"/>
              <w:rPr>
                <w:rFonts w:ascii="等线" w:hAnsi="等线" w:eastAsia="等线" w:cs="等线"/>
                <w:sz w:val="22"/>
              </w:rPr>
            </w:pPr>
            <w:r>
              <w:rPr>
                <w:rFonts w:hint="eastAsia" w:ascii="等线" w:hAnsi="等线" w:eastAsia="等线" w:cs="等线"/>
                <w:kern w:val="0"/>
                <w:sz w:val="22"/>
                <w:lang w:bidi="ar"/>
              </w:rPr>
              <w:t>19</w:t>
            </w:r>
          </w:p>
        </w:tc>
        <w:tc>
          <w:tcPr>
            <w:tcW w:w="8030"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73EB0CEA">
            <w:pPr>
              <w:widowControl/>
              <w:jc w:val="left"/>
              <w:textAlignment w:val="center"/>
              <w:rPr>
                <w:rFonts w:ascii="等线" w:hAnsi="等线" w:eastAsia="等线" w:cs="等线"/>
                <w:sz w:val="22"/>
              </w:rPr>
            </w:pPr>
            <w:r>
              <w:rPr>
                <w:rFonts w:hint="eastAsia" w:ascii="等线" w:hAnsi="等线" w:eastAsia="等线" w:cs="等线"/>
                <w:kern w:val="0"/>
                <w:sz w:val="22"/>
                <w:lang w:bidi="ar"/>
              </w:rPr>
              <w:t>施工平面布置图不符合规定，现场状况与图不相符；施工现场搭设临时建筑，未经业主方同意后就实施。 班组工具房的布设未经过业主方统一规划或认可，布置不整齐，施工常用工器具、材料应规划区域、堆放整齐、标识清楚，不影响外观形象，未做到上述措施的。</w:t>
            </w:r>
          </w:p>
        </w:tc>
        <w:tc>
          <w:tcPr>
            <w:tcW w:w="1423"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272132D1">
            <w:pPr>
              <w:widowControl/>
              <w:jc w:val="left"/>
              <w:textAlignment w:val="center"/>
              <w:rPr>
                <w:rFonts w:ascii="等线" w:hAnsi="等线" w:eastAsia="等线" w:cs="等线"/>
                <w:sz w:val="22"/>
              </w:rPr>
            </w:pPr>
            <w:r>
              <w:rPr>
                <w:rFonts w:hint="eastAsia" w:ascii="等线" w:hAnsi="等线" w:eastAsia="等线" w:cs="等线"/>
                <w:kern w:val="0"/>
                <w:sz w:val="22"/>
                <w:lang w:bidi="ar"/>
              </w:rPr>
              <w:t>3000~5000</w:t>
            </w:r>
          </w:p>
        </w:tc>
      </w:tr>
      <w:tr w14:paraId="3DAF1F31">
        <w:tblPrEx>
          <w:tblCellMar>
            <w:top w:w="0" w:type="dxa"/>
            <w:left w:w="108" w:type="dxa"/>
            <w:bottom w:w="0" w:type="dxa"/>
            <w:right w:w="108" w:type="dxa"/>
          </w:tblCellMar>
        </w:tblPrEx>
        <w:trPr>
          <w:trHeight w:val="648" w:hRule="atLeast"/>
        </w:trPr>
        <w:tc>
          <w:tcPr>
            <w:tcW w:w="735"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4C3D4067">
            <w:pPr>
              <w:widowControl/>
              <w:jc w:val="center"/>
              <w:textAlignment w:val="center"/>
              <w:rPr>
                <w:rFonts w:ascii="等线" w:hAnsi="等线" w:eastAsia="等线" w:cs="等线"/>
                <w:sz w:val="22"/>
              </w:rPr>
            </w:pPr>
            <w:r>
              <w:rPr>
                <w:rFonts w:hint="eastAsia" w:ascii="等线" w:hAnsi="等线" w:eastAsia="等线" w:cs="等线"/>
                <w:kern w:val="0"/>
                <w:sz w:val="22"/>
                <w:lang w:bidi="ar"/>
              </w:rPr>
              <w:t>20</w:t>
            </w:r>
          </w:p>
        </w:tc>
        <w:tc>
          <w:tcPr>
            <w:tcW w:w="8030"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027435A8">
            <w:pPr>
              <w:widowControl/>
              <w:jc w:val="left"/>
              <w:textAlignment w:val="center"/>
              <w:rPr>
                <w:rFonts w:ascii="等线" w:hAnsi="等线" w:eastAsia="等线" w:cs="等线"/>
                <w:sz w:val="22"/>
              </w:rPr>
            </w:pPr>
            <w:r>
              <w:rPr>
                <w:rFonts w:hint="eastAsia" w:ascii="等线" w:hAnsi="等线" w:eastAsia="等线" w:cs="等线"/>
                <w:kern w:val="0"/>
                <w:sz w:val="22"/>
                <w:lang w:bidi="ar"/>
              </w:rPr>
              <w:t>施工场所的井、坑、孔、洞、地沟、临边等，未及时设置有效的孔洞、临边防护设施及安全警告标志，安全网搭设不健全。未经许可，私自拆除安全防护设施。</w:t>
            </w:r>
          </w:p>
        </w:tc>
        <w:tc>
          <w:tcPr>
            <w:tcW w:w="1423"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14662831">
            <w:pPr>
              <w:widowControl/>
              <w:jc w:val="left"/>
              <w:textAlignment w:val="center"/>
              <w:rPr>
                <w:rFonts w:ascii="等线" w:hAnsi="等线" w:eastAsia="等线" w:cs="等线"/>
                <w:sz w:val="22"/>
              </w:rPr>
            </w:pPr>
            <w:r>
              <w:rPr>
                <w:rFonts w:hint="eastAsia" w:ascii="等线" w:hAnsi="等线" w:eastAsia="等线" w:cs="等线"/>
                <w:kern w:val="0"/>
                <w:sz w:val="22"/>
                <w:lang w:bidi="ar"/>
              </w:rPr>
              <w:t>1000~3000</w:t>
            </w:r>
          </w:p>
        </w:tc>
      </w:tr>
      <w:tr w14:paraId="3F5AE7BB">
        <w:tblPrEx>
          <w:tblCellMar>
            <w:top w:w="0" w:type="dxa"/>
            <w:left w:w="108" w:type="dxa"/>
            <w:bottom w:w="0" w:type="dxa"/>
            <w:right w:w="108" w:type="dxa"/>
          </w:tblCellMar>
        </w:tblPrEx>
        <w:trPr>
          <w:trHeight w:val="285" w:hRule="atLeast"/>
        </w:trPr>
        <w:tc>
          <w:tcPr>
            <w:tcW w:w="735"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12B5C9F6">
            <w:pPr>
              <w:widowControl/>
              <w:jc w:val="center"/>
              <w:textAlignment w:val="center"/>
              <w:rPr>
                <w:rFonts w:ascii="等线" w:hAnsi="等线" w:eastAsia="等线" w:cs="等线"/>
                <w:sz w:val="22"/>
              </w:rPr>
            </w:pPr>
            <w:r>
              <w:rPr>
                <w:rFonts w:hint="eastAsia" w:ascii="等线" w:hAnsi="等线" w:eastAsia="等线" w:cs="等线"/>
                <w:kern w:val="0"/>
                <w:sz w:val="22"/>
                <w:lang w:bidi="ar"/>
              </w:rPr>
              <w:t>21</w:t>
            </w:r>
          </w:p>
        </w:tc>
        <w:tc>
          <w:tcPr>
            <w:tcW w:w="8030"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1A9BE46E">
            <w:pPr>
              <w:widowControl/>
              <w:jc w:val="left"/>
              <w:textAlignment w:val="center"/>
              <w:rPr>
                <w:rFonts w:ascii="等线" w:hAnsi="等线" w:eastAsia="等线" w:cs="等线"/>
                <w:sz w:val="22"/>
              </w:rPr>
            </w:pPr>
            <w:r>
              <w:rPr>
                <w:rFonts w:hint="eastAsia" w:ascii="等线" w:hAnsi="等线" w:eastAsia="等线" w:cs="等线"/>
                <w:kern w:val="0"/>
                <w:sz w:val="22"/>
                <w:lang w:bidi="ar"/>
              </w:rPr>
              <w:t>不严格执行工作票、证制度，监护人玩忽职守、无票作业。</w:t>
            </w:r>
          </w:p>
        </w:tc>
        <w:tc>
          <w:tcPr>
            <w:tcW w:w="1423"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256AAB7D">
            <w:pPr>
              <w:widowControl/>
              <w:jc w:val="left"/>
              <w:textAlignment w:val="center"/>
              <w:rPr>
                <w:rFonts w:ascii="等线" w:hAnsi="等线" w:eastAsia="等线" w:cs="等线"/>
                <w:sz w:val="22"/>
              </w:rPr>
            </w:pPr>
            <w:r>
              <w:rPr>
                <w:rFonts w:hint="eastAsia" w:ascii="等线" w:hAnsi="等线" w:eastAsia="等线" w:cs="等线"/>
                <w:kern w:val="0"/>
                <w:sz w:val="22"/>
                <w:lang w:bidi="ar"/>
              </w:rPr>
              <w:t>1000~3000</w:t>
            </w:r>
          </w:p>
        </w:tc>
      </w:tr>
      <w:tr w14:paraId="26C96702">
        <w:tblPrEx>
          <w:tblCellMar>
            <w:top w:w="0" w:type="dxa"/>
            <w:left w:w="108" w:type="dxa"/>
            <w:bottom w:w="0" w:type="dxa"/>
            <w:right w:w="108" w:type="dxa"/>
          </w:tblCellMar>
        </w:tblPrEx>
        <w:trPr>
          <w:trHeight w:val="549" w:hRule="atLeast"/>
        </w:trPr>
        <w:tc>
          <w:tcPr>
            <w:tcW w:w="735"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15AB7D93">
            <w:pPr>
              <w:widowControl/>
              <w:jc w:val="center"/>
              <w:textAlignment w:val="center"/>
              <w:rPr>
                <w:rFonts w:ascii="等线" w:hAnsi="等线" w:eastAsia="等线" w:cs="等线"/>
                <w:sz w:val="22"/>
              </w:rPr>
            </w:pPr>
            <w:r>
              <w:rPr>
                <w:rFonts w:hint="eastAsia" w:ascii="等线" w:hAnsi="等线" w:eastAsia="等线" w:cs="等线"/>
                <w:kern w:val="0"/>
                <w:sz w:val="22"/>
                <w:lang w:bidi="ar"/>
              </w:rPr>
              <w:t>22</w:t>
            </w:r>
          </w:p>
        </w:tc>
        <w:tc>
          <w:tcPr>
            <w:tcW w:w="8030"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132A084A">
            <w:pPr>
              <w:widowControl/>
              <w:jc w:val="left"/>
              <w:textAlignment w:val="center"/>
              <w:rPr>
                <w:rFonts w:ascii="等线" w:hAnsi="等线" w:eastAsia="等线" w:cs="等线"/>
                <w:sz w:val="22"/>
              </w:rPr>
            </w:pPr>
            <w:r>
              <w:rPr>
                <w:rFonts w:hint="eastAsia" w:ascii="等线" w:hAnsi="等线" w:eastAsia="等线" w:cs="等线"/>
                <w:kern w:val="0"/>
                <w:sz w:val="22"/>
                <w:lang w:bidi="ar"/>
              </w:rPr>
              <w:t>现场临时用电、吊装、有限空间、动火、盲板抽堵、高空作业不符合规范要求，安全设施带病作业、措施不健全，违章作业。</w:t>
            </w:r>
          </w:p>
        </w:tc>
        <w:tc>
          <w:tcPr>
            <w:tcW w:w="1423"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67BAF5BD">
            <w:pPr>
              <w:widowControl/>
              <w:jc w:val="left"/>
              <w:textAlignment w:val="center"/>
              <w:rPr>
                <w:rFonts w:ascii="等线" w:hAnsi="等线" w:eastAsia="等线" w:cs="等线"/>
                <w:sz w:val="22"/>
              </w:rPr>
            </w:pPr>
            <w:r>
              <w:rPr>
                <w:rFonts w:hint="eastAsia" w:ascii="等线" w:hAnsi="等线" w:eastAsia="等线" w:cs="等线"/>
                <w:kern w:val="0"/>
                <w:sz w:val="22"/>
                <w:lang w:bidi="ar"/>
              </w:rPr>
              <w:t>1000~5000</w:t>
            </w:r>
          </w:p>
        </w:tc>
      </w:tr>
      <w:tr w14:paraId="5DEC82ED">
        <w:tblPrEx>
          <w:tblCellMar>
            <w:top w:w="0" w:type="dxa"/>
            <w:left w:w="108" w:type="dxa"/>
            <w:bottom w:w="0" w:type="dxa"/>
            <w:right w:w="108" w:type="dxa"/>
          </w:tblCellMar>
        </w:tblPrEx>
        <w:trPr>
          <w:trHeight w:val="502" w:hRule="atLeast"/>
        </w:trPr>
        <w:tc>
          <w:tcPr>
            <w:tcW w:w="735"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38E8ABF8">
            <w:pPr>
              <w:widowControl/>
              <w:jc w:val="center"/>
              <w:textAlignment w:val="center"/>
              <w:rPr>
                <w:rFonts w:ascii="等线" w:hAnsi="等线" w:eastAsia="等线" w:cs="等线"/>
                <w:sz w:val="22"/>
              </w:rPr>
            </w:pPr>
            <w:r>
              <w:rPr>
                <w:rFonts w:hint="eastAsia" w:ascii="等线" w:hAnsi="等线" w:eastAsia="等线" w:cs="等线"/>
                <w:kern w:val="0"/>
                <w:sz w:val="22"/>
                <w:lang w:bidi="ar"/>
              </w:rPr>
              <w:t>23</w:t>
            </w:r>
          </w:p>
        </w:tc>
        <w:tc>
          <w:tcPr>
            <w:tcW w:w="8030"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55C140F2">
            <w:pPr>
              <w:widowControl/>
              <w:jc w:val="left"/>
              <w:textAlignment w:val="center"/>
              <w:rPr>
                <w:rFonts w:ascii="等线" w:hAnsi="等线" w:eastAsia="等线" w:cs="等线"/>
                <w:sz w:val="22"/>
              </w:rPr>
            </w:pPr>
            <w:r>
              <w:rPr>
                <w:rFonts w:hint="eastAsia" w:ascii="等线" w:hAnsi="等线" w:eastAsia="等线" w:cs="等线"/>
                <w:kern w:val="0"/>
                <w:sz w:val="22"/>
                <w:lang w:bidi="ar"/>
              </w:rPr>
              <w:t>登高作业工具、设备、脚手架、跳板、安全网、栏杆等等安全设施、附件不健全，带病作业，未按安全规程、技术要求使用操作。</w:t>
            </w:r>
          </w:p>
        </w:tc>
        <w:tc>
          <w:tcPr>
            <w:tcW w:w="1423"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697B6556">
            <w:pPr>
              <w:widowControl/>
              <w:jc w:val="left"/>
              <w:textAlignment w:val="center"/>
              <w:rPr>
                <w:rFonts w:ascii="等线" w:hAnsi="等线" w:eastAsia="等线" w:cs="等线"/>
                <w:sz w:val="22"/>
              </w:rPr>
            </w:pPr>
            <w:r>
              <w:rPr>
                <w:rFonts w:hint="eastAsia" w:ascii="等线" w:hAnsi="等线" w:eastAsia="等线" w:cs="等线"/>
                <w:kern w:val="0"/>
                <w:sz w:val="22"/>
                <w:lang w:bidi="ar"/>
              </w:rPr>
              <w:t>1000~3000</w:t>
            </w:r>
          </w:p>
        </w:tc>
      </w:tr>
      <w:tr w14:paraId="08FD6728">
        <w:tblPrEx>
          <w:tblCellMar>
            <w:top w:w="0" w:type="dxa"/>
            <w:left w:w="108" w:type="dxa"/>
            <w:bottom w:w="0" w:type="dxa"/>
            <w:right w:w="108" w:type="dxa"/>
          </w:tblCellMar>
        </w:tblPrEx>
        <w:trPr>
          <w:trHeight w:val="531" w:hRule="atLeast"/>
        </w:trPr>
        <w:tc>
          <w:tcPr>
            <w:tcW w:w="735"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3A2CDD96">
            <w:pPr>
              <w:widowControl/>
              <w:jc w:val="center"/>
              <w:textAlignment w:val="center"/>
              <w:rPr>
                <w:rFonts w:ascii="等线" w:hAnsi="等线" w:eastAsia="等线" w:cs="等线"/>
                <w:sz w:val="22"/>
              </w:rPr>
            </w:pPr>
            <w:r>
              <w:rPr>
                <w:rFonts w:hint="eastAsia" w:ascii="等线" w:hAnsi="等线" w:eastAsia="等线" w:cs="等线"/>
                <w:kern w:val="0"/>
                <w:sz w:val="22"/>
                <w:lang w:bidi="ar"/>
              </w:rPr>
              <w:t>24</w:t>
            </w:r>
          </w:p>
        </w:tc>
        <w:tc>
          <w:tcPr>
            <w:tcW w:w="8030"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13C13511">
            <w:pPr>
              <w:widowControl/>
              <w:jc w:val="left"/>
              <w:textAlignment w:val="center"/>
              <w:rPr>
                <w:rFonts w:ascii="等线" w:hAnsi="等线" w:eastAsia="等线" w:cs="等线"/>
                <w:sz w:val="22"/>
              </w:rPr>
            </w:pPr>
            <w:r>
              <w:rPr>
                <w:rFonts w:hint="eastAsia" w:ascii="等线" w:hAnsi="等线" w:eastAsia="等线" w:cs="等线"/>
                <w:kern w:val="0"/>
                <w:sz w:val="22"/>
                <w:lang w:bidi="ar"/>
              </w:rPr>
              <w:t>入场工、器具安全附件不健全，临时搭设的平台不符合安全标准，使用淘汰落后的设备、设施，设备设施配置不符合国家规范标准要求。</w:t>
            </w:r>
          </w:p>
        </w:tc>
        <w:tc>
          <w:tcPr>
            <w:tcW w:w="1423"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2FE25F40">
            <w:pPr>
              <w:widowControl/>
              <w:jc w:val="left"/>
              <w:textAlignment w:val="center"/>
              <w:rPr>
                <w:rFonts w:ascii="等线" w:hAnsi="等线" w:eastAsia="等线" w:cs="等线"/>
                <w:sz w:val="22"/>
              </w:rPr>
            </w:pPr>
            <w:r>
              <w:rPr>
                <w:rFonts w:hint="eastAsia" w:ascii="等线" w:hAnsi="等线" w:eastAsia="等线" w:cs="等线"/>
                <w:kern w:val="0"/>
                <w:sz w:val="22"/>
                <w:lang w:bidi="ar"/>
              </w:rPr>
              <w:t>1000~3000</w:t>
            </w:r>
          </w:p>
        </w:tc>
      </w:tr>
      <w:tr w14:paraId="36CC80C7">
        <w:tblPrEx>
          <w:tblCellMar>
            <w:top w:w="0" w:type="dxa"/>
            <w:left w:w="108" w:type="dxa"/>
            <w:bottom w:w="0" w:type="dxa"/>
            <w:right w:w="108" w:type="dxa"/>
          </w:tblCellMar>
        </w:tblPrEx>
        <w:trPr>
          <w:trHeight w:val="570" w:hRule="atLeast"/>
        </w:trPr>
        <w:tc>
          <w:tcPr>
            <w:tcW w:w="735"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210A5732">
            <w:pPr>
              <w:widowControl/>
              <w:jc w:val="center"/>
              <w:textAlignment w:val="center"/>
              <w:rPr>
                <w:rFonts w:ascii="等线" w:hAnsi="等线" w:eastAsia="等线" w:cs="等线"/>
                <w:sz w:val="22"/>
              </w:rPr>
            </w:pPr>
            <w:r>
              <w:rPr>
                <w:rFonts w:hint="eastAsia" w:ascii="等线" w:hAnsi="等线" w:eastAsia="等线" w:cs="等线"/>
                <w:kern w:val="0"/>
                <w:sz w:val="22"/>
                <w:lang w:bidi="ar"/>
              </w:rPr>
              <w:t>25</w:t>
            </w:r>
          </w:p>
        </w:tc>
        <w:tc>
          <w:tcPr>
            <w:tcW w:w="8030"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3D38A134">
            <w:pPr>
              <w:widowControl/>
              <w:jc w:val="left"/>
              <w:textAlignment w:val="center"/>
              <w:rPr>
                <w:rFonts w:ascii="等线" w:hAnsi="等线" w:eastAsia="等线" w:cs="等线"/>
                <w:sz w:val="22"/>
              </w:rPr>
            </w:pPr>
            <w:r>
              <w:rPr>
                <w:rFonts w:hint="eastAsia" w:ascii="等线" w:hAnsi="等线" w:eastAsia="等线" w:cs="等线"/>
                <w:kern w:val="0"/>
                <w:sz w:val="22"/>
                <w:lang w:bidi="ar"/>
              </w:rPr>
              <w:t>文明施工措施不健全，责任区清洁、扬尘、污泥控制不到位，工人操作未做到“工完料尽场地清”；剩余物料、废旧物料、危险废弃物未分类处置，未按要求在指定区域按指定方式处理。</w:t>
            </w:r>
          </w:p>
        </w:tc>
        <w:tc>
          <w:tcPr>
            <w:tcW w:w="1423"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6F30B148">
            <w:pPr>
              <w:widowControl/>
              <w:jc w:val="left"/>
              <w:textAlignment w:val="center"/>
              <w:rPr>
                <w:rFonts w:ascii="等线" w:hAnsi="等线" w:eastAsia="等线" w:cs="等线"/>
                <w:sz w:val="22"/>
              </w:rPr>
            </w:pPr>
            <w:r>
              <w:rPr>
                <w:rFonts w:hint="eastAsia" w:ascii="等线" w:hAnsi="等线" w:eastAsia="等线" w:cs="等线"/>
                <w:kern w:val="0"/>
                <w:sz w:val="22"/>
                <w:lang w:bidi="ar"/>
              </w:rPr>
              <w:t>1000~3000</w:t>
            </w:r>
          </w:p>
        </w:tc>
      </w:tr>
      <w:tr w14:paraId="213FB38C">
        <w:tblPrEx>
          <w:tblCellMar>
            <w:top w:w="0" w:type="dxa"/>
            <w:left w:w="108" w:type="dxa"/>
            <w:bottom w:w="0" w:type="dxa"/>
            <w:right w:w="108" w:type="dxa"/>
          </w:tblCellMar>
        </w:tblPrEx>
        <w:trPr>
          <w:trHeight w:val="570" w:hRule="atLeast"/>
        </w:trPr>
        <w:tc>
          <w:tcPr>
            <w:tcW w:w="735"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60C63C18">
            <w:pPr>
              <w:widowControl/>
              <w:jc w:val="center"/>
              <w:textAlignment w:val="center"/>
              <w:rPr>
                <w:rFonts w:ascii="等线" w:hAnsi="等线" w:eastAsia="等线" w:cs="等线"/>
                <w:kern w:val="0"/>
                <w:sz w:val="22"/>
                <w:lang w:bidi="ar"/>
              </w:rPr>
            </w:pPr>
            <w:r>
              <w:rPr>
                <w:rFonts w:hint="eastAsia" w:ascii="等线" w:hAnsi="等线" w:eastAsia="等线" w:cs="等线"/>
                <w:kern w:val="0"/>
                <w:sz w:val="22"/>
                <w:lang w:bidi="ar"/>
              </w:rPr>
              <w:t>26</w:t>
            </w:r>
          </w:p>
        </w:tc>
        <w:tc>
          <w:tcPr>
            <w:tcW w:w="8030"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35A35E75">
            <w:pPr>
              <w:widowControl/>
              <w:jc w:val="left"/>
              <w:textAlignment w:val="center"/>
              <w:rPr>
                <w:rFonts w:ascii="等线" w:hAnsi="等线" w:eastAsia="等线" w:cs="等线"/>
                <w:kern w:val="0"/>
                <w:sz w:val="22"/>
                <w:lang w:bidi="ar"/>
              </w:rPr>
            </w:pPr>
            <w:r>
              <w:rPr>
                <w:rFonts w:hint="eastAsia" w:ascii="等线" w:hAnsi="等线" w:eastAsia="等线" w:cs="等线"/>
                <w:kern w:val="0"/>
                <w:sz w:val="22"/>
                <w:lang w:bidi="ar"/>
              </w:rPr>
              <w:t>场地内部道路未硬化、进出场车辆冲洗设施、“五牌一图”、大门、围挡、宿舍、厕所、淋浴间、开水间、绿化、办公室等临时设施设置不符规范或缺失。</w:t>
            </w:r>
          </w:p>
        </w:tc>
        <w:tc>
          <w:tcPr>
            <w:tcW w:w="1423"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69D7B9E2">
            <w:pPr>
              <w:widowControl/>
              <w:jc w:val="left"/>
              <w:textAlignment w:val="center"/>
              <w:rPr>
                <w:rFonts w:ascii="等线" w:hAnsi="等线" w:eastAsia="等线" w:cs="等线"/>
                <w:kern w:val="0"/>
                <w:sz w:val="22"/>
                <w:lang w:bidi="ar"/>
              </w:rPr>
            </w:pPr>
            <w:r>
              <w:rPr>
                <w:rFonts w:hint="eastAsia" w:ascii="等线" w:hAnsi="等线" w:eastAsia="等线" w:cs="等线"/>
                <w:kern w:val="0"/>
                <w:sz w:val="22"/>
                <w:lang w:bidi="ar"/>
              </w:rPr>
              <w:t>3000~5000</w:t>
            </w:r>
          </w:p>
        </w:tc>
      </w:tr>
      <w:tr w14:paraId="06E731A7">
        <w:tblPrEx>
          <w:tblCellMar>
            <w:top w:w="0" w:type="dxa"/>
            <w:left w:w="108" w:type="dxa"/>
            <w:bottom w:w="0" w:type="dxa"/>
            <w:right w:w="108" w:type="dxa"/>
          </w:tblCellMar>
        </w:tblPrEx>
        <w:trPr>
          <w:trHeight w:val="621" w:hRule="atLeast"/>
        </w:trPr>
        <w:tc>
          <w:tcPr>
            <w:tcW w:w="735"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08B2D954">
            <w:pPr>
              <w:widowControl/>
              <w:jc w:val="center"/>
              <w:textAlignment w:val="center"/>
              <w:rPr>
                <w:rFonts w:ascii="等线" w:hAnsi="等线" w:eastAsia="等线" w:cs="等线"/>
                <w:sz w:val="22"/>
              </w:rPr>
            </w:pPr>
            <w:r>
              <w:rPr>
                <w:rFonts w:hint="eastAsia" w:ascii="等线" w:hAnsi="等线" w:eastAsia="等线" w:cs="等线"/>
                <w:kern w:val="0"/>
                <w:sz w:val="22"/>
                <w:lang w:bidi="ar"/>
              </w:rPr>
              <w:t>27</w:t>
            </w:r>
          </w:p>
        </w:tc>
        <w:tc>
          <w:tcPr>
            <w:tcW w:w="8030"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55F6B26D">
            <w:pPr>
              <w:widowControl/>
              <w:jc w:val="left"/>
              <w:textAlignment w:val="center"/>
              <w:rPr>
                <w:rFonts w:ascii="等线" w:hAnsi="等线" w:eastAsia="等线" w:cs="等线"/>
                <w:sz w:val="22"/>
              </w:rPr>
            </w:pPr>
            <w:r>
              <w:rPr>
                <w:rFonts w:hint="eastAsia" w:ascii="等线" w:hAnsi="等线" w:eastAsia="等线" w:cs="等线"/>
                <w:kern w:val="0"/>
                <w:sz w:val="22"/>
                <w:lang w:bidi="ar"/>
              </w:rPr>
              <w:t>堵塞消防通道、易燃、易爆品、易腐蚀品未按规范存放和使用，消防设施配备不符合要求，未按消防规范作业。</w:t>
            </w:r>
          </w:p>
        </w:tc>
        <w:tc>
          <w:tcPr>
            <w:tcW w:w="1423"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75A42357">
            <w:pPr>
              <w:widowControl/>
              <w:jc w:val="left"/>
              <w:textAlignment w:val="center"/>
              <w:rPr>
                <w:rFonts w:ascii="等线" w:hAnsi="等线" w:eastAsia="等线" w:cs="等线"/>
                <w:sz w:val="22"/>
              </w:rPr>
            </w:pPr>
            <w:r>
              <w:rPr>
                <w:rFonts w:hint="eastAsia" w:ascii="等线" w:hAnsi="等线" w:eastAsia="等线" w:cs="等线"/>
                <w:kern w:val="0"/>
                <w:sz w:val="22"/>
                <w:lang w:bidi="ar"/>
              </w:rPr>
              <w:t>1000~3000</w:t>
            </w:r>
          </w:p>
        </w:tc>
      </w:tr>
      <w:tr w14:paraId="09218B5D">
        <w:tblPrEx>
          <w:tblCellMar>
            <w:top w:w="0" w:type="dxa"/>
            <w:left w:w="108" w:type="dxa"/>
            <w:bottom w:w="0" w:type="dxa"/>
            <w:right w:w="108" w:type="dxa"/>
          </w:tblCellMar>
        </w:tblPrEx>
        <w:trPr>
          <w:trHeight w:val="285" w:hRule="atLeast"/>
        </w:trPr>
        <w:tc>
          <w:tcPr>
            <w:tcW w:w="735"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146327AA">
            <w:pPr>
              <w:widowControl/>
              <w:jc w:val="center"/>
              <w:textAlignment w:val="center"/>
              <w:rPr>
                <w:rFonts w:ascii="等线" w:hAnsi="等线" w:eastAsia="等线" w:cs="等线"/>
                <w:sz w:val="22"/>
              </w:rPr>
            </w:pPr>
            <w:r>
              <w:rPr>
                <w:rFonts w:hint="eastAsia" w:ascii="等线" w:hAnsi="等线" w:eastAsia="等线" w:cs="等线"/>
                <w:kern w:val="0"/>
                <w:sz w:val="22"/>
                <w:lang w:bidi="ar"/>
              </w:rPr>
              <w:t>28</w:t>
            </w:r>
          </w:p>
        </w:tc>
        <w:tc>
          <w:tcPr>
            <w:tcW w:w="8030"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322A138E">
            <w:pPr>
              <w:widowControl/>
              <w:jc w:val="left"/>
              <w:textAlignment w:val="center"/>
              <w:rPr>
                <w:rFonts w:ascii="等线" w:hAnsi="等线" w:eastAsia="等线" w:cs="等线"/>
                <w:sz w:val="22"/>
              </w:rPr>
            </w:pPr>
            <w:r>
              <w:rPr>
                <w:rFonts w:hint="eastAsia" w:ascii="等线" w:hAnsi="等线" w:eastAsia="等线" w:cs="等线"/>
                <w:kern w:val="0"/>
                <w:sz w:val="22"/>
                <w:lang w:bidi="ar"/>
              </w:rPr>
              <w:t xml:space="preserve">未履行成品保护制度，对设施、路面保护不力，成品保护措施不健全。 </w:t>
            </w:r>
          </w:p>
        </w:tc>
        <w:tc>
          <w:tcPr>
            <w:tcW w:w="1423"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65945D1E">
            <w:pPr>
              <w:widowControl/>
              <w:jc w:val="left"/>
              <w:textAlignment w:val="center"/>
              <w:rPr>
                <w:rFonts w:ascii="等线" w:hAnsi="等线" w:eastAsia="等线" w:cs="等线"/>
                <w:sz w:val="22"/>
              </w:rPr>
            </w:pPr>
            <w:r>
              <w:rPr>
                <w:rFonts w:hint="eastAsia" w:ascii="等线" w:hAnsi="等线" w:eastAsia="等线" w:cs="等线"/>
                <w:kern w:val="0"/>
                <w:sz w:val="22"/>
                <w:lang w:bidi="ar"/>
              </w:rPr>
              <w:t>1000~3000</w:t>
            </w:r>
          </w:p>
        </w:tc>
      </w:tr>
      <w:tr w14:paraId="4C299358">
        <w:tblPrEx>
          <w:tblCellMar>
            <w:top w:w="0" w:type="dxa"/>
            <w:left w:w="108" w:type="dxa"/>
            <w:bottom w:w="0" w:type="dxa"/>
            <w:right w:w="108" w:type="dxa"/>
          </w:tblCellMar>
        </w:tblPrEx>
        <w:trPr>
          <w:trHeight w:val="285" w:hRule="atLeast"/>
        </w:trPr>
        <w:tc>
          <w:tcPr>
            <w:tcW w:w="10188" w:type="dxa"/>
            <w:gridSpan w:val="5"/>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56E7151D">
            <w:pPr>
              <w:widowControl/>
              <w:jc w:val="center"/>
              <w:textAlignment w:val="center"/>
              <w:rPr>
                <w:rFonts w:ascii="等线" w:hAnsi="等线" w:eastAsia="等线" w:cs="等线"/>
                <w:b/>
                <w:sz w:val="22"/>
              </w:rPr>
            </w:pPr>
            <w:r>
              <w:rPr>
                <w:rFonts w:hint="eastAsia" w:ascii="等线" w:hAnsi="等线" w:eastAsia="等线" w:cs="等线"/>
                <w:b/>
                <w:kern w:val="0"/>
                <w:sz w:val="22"/>
                <w:lang w:bidi="ar"/>
              </w:rPr>
              <w:t>四、厂区规范管理</w:t>
            </w:r>
          </w:p>
        </w:tc>
      </w:tr>
      <w:tr w14:paraId="5EB52A9A">
        <w:tblPrEx>
          <w:tblCellMar>
            <w:top w:w="0" w:type="dxa"/>
            <w:left w:w="108" w:type="dxa"/>
            <w:bottom w:w="0" w:type="dxa"/>
            <w:right w:w="108" w:type="dxa"/>
          </w:tblCellMar>
        </w:tblPrEx>
        <w:trPr>
          <w:trHeight w:val="285" w:hRule="atLeast"/>
        </w:trPr>
        <w:tc>
          <w:tcPr>
            <w:tcW w:w="735"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4C1920B7">
            <w:pPr>
              <w:widowControl/>
              <w:jc w:val="center"/>
              <w:textAlignment w:val="center"/>
              <w:rPr>
                <w:rFonts w:ascii="等线" w:hAnsi="等线" w:eastAsia="等线" w:cs="等线"/>
                <w:sz w:val="22"/>
              </w:rPr>
            </w:pPr>
            <w:r>
              <w:rPr>
                <w:rFonts w:hint="eastAsia" w:ascii="等线" w:hAnsi="等线" w:eastAsia="等线" w:cs="等线"/>
                <w:sz w:val="22"/>
              </w:rPr>
              <w:t>29</w:t>
            </w:r>
          </w:p>
        </w:tc>
        <w:tc>
          <w:tcPr>
            <w:tcW w:w="8030"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31F9979E">
            <w:pPr>
              <w:widowControl/>
              <w:jc w:val="left"/>
              <w:textAlignment w:val="center"/>
              <w:rPr>
                <w:rFonts w:ascii="等线" w:hAnsi="等线" w:eastAsia="等线" w:cs="等线"/>
                <w:sz w:val="22"/>
              </w:rPr>
            </w:pPr>
            <w:r>
              <w:rPr>
                <w:rFonts w:hint="eastAsia" w:ascii="等线" w:hAnsi="等线" w:eastAsia="等线" w:cs="等线"/>
                <w:kern w:val="0"/>
                <w:sz w:val="22"/>
                <w:lang w:bidi="ar"/>
              </w:rPr>
              <w:t>入场车辆未按规定入场、行驶、停放的，行人在限定区域以外行走的。</w:t>
            </w:r>
          </w:p>
        </w:tc>
        <w:tc>
          <w:tcPr>
            <w:tcW w:w="1423"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5907E3D7">
            <w:pPr>
              <w:widowControl/>
              <w:jc w:val="left"/>
              <w:textAlignment w:val="center"/>
              <w:rPr>
                <w:rFonts w:ascii="等线" w:hAnsi="等线" w:eastAsia="等线" w:cs="等线"/>
                <w:sz w:val="22"/>
              </w:rPr>
            </w:pPr>
            <w:r>
              <w:rPr>
                <w:rFonts w:hint="eastAsia" w:ascii="等线" w:hAnsi="等线" w:eastAsia="等线" w:cs="等线"/>
                <w:kern w:val="0"/>
                <w:sz w:val="22"/>
                <w:lang w:bidi="ar"/>
              </w:rPr>
              <w:t>200~500</w:t>
            </w:r>
          </w:p>
        </w:tc>
      </w:tr>
      <w:tr w14:paraId="380C9CD9">
        <w:tblPrEx>
          <w:tblCellMar>
            <w:top w:w="0" w:type="dxa"/>
            <w:left w:w="108" w:type="dxa"/>
            <w:bottom w:w="0" w:type="dxa"/>
            <w:right w:w="108" w:type="dxa"/>
          </w:tblCellMar>
        </w:tblPrEx>
        <w:trPr>
          <w:trHeight w:val="285" w:hRule="atLeast"/>
        </w:trPr>
        <w:tc>
          <w:tcPr>
            <w:tcW w:w="735"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0E6C1BDE">
            <w:pPr>
              <w:widowControl/>
              <w:jc w:val="center"/>
              <w:textAlignment w:val="center"/>
              <w:rPr>
                <w:rFonts w:ascii="等线" w:hAnsi="等线" w:eastAsia="等线" w:cs="等线"/>
                <w:sz w:val="22"/>
              </w:rPr>
            </w:pPr>
            <w:r>
              <w:rPr>
                <w:rFonts w:hint="eastAsia" w:ascii="等线" w:hAnsi="等线" w:eastAsia="等线" w:cs="等线"/>
                <w:sz w:val="22"/>
              </w:rPr>
              <w:t>30</w:t>
            </w:r>
          </w:p>
        </w:tc>
        <w:tc>
          <w:tcPr>
            <w:tcW w:w="8030"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695917B7">
            <w:pPr>
              <w:widowControl/>
              <w:jc w:val="left"/>
              <w:textAlignment w:val="center"/>
              <w:rPr>
                <w:rFonts w:ascii="等线" w:hAnsi="等线" w:eastAsia="等线" w:cs="等线"/>
                <w:sz w:val="22"/>
              </w:rPr>
            </w:pPr>
            <w:r>
              <w:rPr>
                <w:rFonts w:hint="eastAsia" w:ascii="等线" w:hAnsi="等线" w:eastAsia="等线" w:cs="等线"/>
                <w:kern w:val="0"/>
                <w:sz w:val="22"/>
                <w:lang w:bidi="ar"/>
              </w:rPr>
              <w:t>打架斗殴、威胁甲方管理人员的。</w:t>
            </w:r>
          </w:p>
        </w:tc>
        <w:tc>
          <w:tcPr>
            <w:tcW w:w="1423"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55A81747">
            <w:pPr>
              <w:widowControl/>
              <w:jc w:val="left"/>
              <w:textAlignment w:val="center"/>
              <w:rPr>
                <w:rFonts w:ascii="等线" w:hAnsi="等线" w:eastAsia="等线" w:cs="等线"/>
                <w:sz w:val="22"/>
              </w:rPr>
            </w:pPr>
            <w:r>
              <w:rPr>
                <w:rFonts w:hint="eastAsia" w:ascii="等线" w:hAnsi="等线" w:eastAsia="等线" w:cs="等线"/>
                <w:kern w:val="0"/>
                <w:sz w:val="22"/>
                <w:lang w:bidi="ar"/>
              </w:rPr>
              <w:t>3000~5000</w:t>
            </w:r>
          </w:p>
        </w:tc>
      </w:tr>
      <w:tr w14:paraId="4D1A1AC4">
        <w:tblPrEx>
          <w:tblCellMar>
            <w:top w:w="0" w:type="dxa"/>
            <w:left w:w="108" w:type="dxa"/>
            <w:bottom w:w="0" w:type="dxa"/>
            <w:right w:w="108" w:type="dxa"/>
          </w:tblCellMar>
        </w:tblPrEx>
        <w:trPr>
          <w:trHeight w:val="285" w:hRule="atLeast"/>
        </w:trPr>
        <w:tc>
          <w:tcPr>
            <w:tcW w:w="735"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105308EF">
            <w:pPr>
              <w:widowControl/>
              <w:jc w:val="center"/>
              <w:textAlignment w:val="center"/>
              <w:rPr>
                <w:rFonts w:ascii="等线" w:hAnsi="等线" w:eastAsia="等线" w:cs="等线"/>
                <w:sz w:val="22"/>
              </w:rPr>
            </w:pPr>
            <w:r>
              <w:rPr>
                <w:rFonts w:hint="eastAsia" w:ascii="等线" w:hAnsi="等线" w:eastAsia="等线" w:cs="等线"/>
                <w:sz w:val="22"/>
              </w:rPr>
              <w:t>31</w:t>
            </w:r>
          </w:p>
        </w:tc>
        <w:tc>
          <w:tcPr>
            <w:tcW w:w="8030"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7A78200A">
            <w:pPr>
              <w:widowControl/>
              <w:jc w:val="left"/>
              <w:textAlignment w:val="center"/>
              <w:rPr>
                <w:rFonts w:ascii="等线" w:hAnsi="等线" w:eastAsia="等线" w:cs="等线"/>
                <w:sz w:val="22"/>
              </w:rPr>
            </w:pPr>
            <w:r>
              <w:rPr>
                <w:rFonts w:hint="eastAsia" w:ascii="等线" w:hAnsi="等线" w:eastAsia="等线" w:cs="等线"/>
                <w:kern w:val="0"/>
                <w:sz w:val="22"/>
                <w:lang w:bidi="ar"/>
              </w:rPr>
              <w:t>违反业主方生产场所相关安全、环保、消防、文明管理规定的。</w:t>
            </w:r>
          </w:p>
        </w:tc>
        <w:tc>
          <w:tcPr>
            <w:tcW w:w="1423"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7889A026">
            <w:pPr>
              <w:widowControl/>
              <w:jc w:val="left"/>
              <w:textAlignment w:val="center"/>
              <w:rPr>
                <w:rFonts w:ascii="等线" w:hAnsi="等线" w:eastAsia="等线" w:cs="等线"/>
                <w:sz w:val="22"/>
              </w:rPr>
            </w:pPr>
            <w:r>
              <w:rPr>
                <w:rFonts w:hint="eastAsia" w:ascii="等线" w:hAnsi="等线" w:eastAsia="等线" w:cs="等线"/>
                <w:kern w:val="0"/>
                <w:sz w:val="22"/>
                <w:lang w:bidi="ar"/>
              </w:rPr>
              <w:t>500~3000</w:t>
            </w:r>
          </w:p>
        </w:tc>
      </w:tr>
      <w:tr w14:paraId="58F5624B">
        <w:tblPrEx>
          <w:tblCellMar>
            <w:top w:w="0" w:type="dxa"/>
            <w:left w:w="108" w:type="dxa"/>
            <w:bottom w:w="0" w:type="dxa"/>
            <w:right w:w="108" w:type="dxa"/>
          </w:tblCellMar>
        </w:tblPrEx>
        <w:trPr>
          <w:trHeight w:val="285" w:hRule="atLeast"/>
        </w:trPr>
        <w:tc>
          <w:tcPr>
            <w:tcW w:w="735"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000ABCE5">
            <w:pPr>
              <w:widowControl/>
              <w:jc w:val="center"/>
              <w:textAlignment w:val="center"/>
              <w:rPr>
                <w:rFonts w:ascii="等线" w:hAnsi="等线" w:eastAsia="等线" w:cs="等线"/>
                <w:sz w:val="22"/>
              </w:rPr>
            </w:pPr>
            <w:r>
              <w:rPr>
                <w:rFonts w:hint="eastAsia" w:ascii="等线" w:hAnsi="等线" w:eastAsia="等线" w:cs="等线"/>
                <w:sz w:val="22"/>
              </w:rPr>
              <w:t>32</w:t>
            </w:r>
          </w:p>
        </w:tc>
        <w:tc>
          <w:tcPr>
            <w:tcW w:w="8030"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626BA1B2">
            <w:pPr>
              <w:widowControl/>
              <w:jc w:val="left"/>
              <w:textAlignment w:val="center"/>
              <w:rPr>
                <w:rFonts w:ascii="等线" w:hAnsi="等线" w:eastAsia="等线" w:cs="等线"/>
                <w:sz w:val="22"/>
              </w:rPr>
            </w:pPr>
            <w:r>
              <w:rPr>
                <w:rFonts w:hint="eastAsia" w:ascii="等线" w:hAnsi="等线" w:eastAsia="等线" w:cs="等线"/>
                <w:kern w:val="0"/>
                <w:sz w:val="22"/>
                <w:lang w:bidi="ar"/>
              </w:rPr>
              <w:t>违反业主方制定的门岗、治安、保卫管理规章制度的行为。</w:t>
            </w:r>
          </w:p>
        </w:tc>
        <w:tc>
          <w:tcPr>
            <w:tcW w:w="1423"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56FE1C74">
            <w:pPr>
              <w:widowControl/>
              <w:jc w:val="left"/>
              <w:textAlignment w:val="center"/>
              <w:rPr>
                <w:rFonts w:ascii="等线" w:hAnsi="等线" w:eastAsia="等线" w:cs="等线"/>
                <w:sz w:val="22"/>
              </w:rPr>
            </w:pPr>
            <w:r>
              <w:rPr>
                <w:rFonts w:hint="eastAsia" w:ascii="等线" w:hAnsi="等线" w:eastAsia="等线" w:cs="等线"/>
                <w:kern w:val="0"/>
                <w:sz w:val="22"/>
                <w:lang w:bidi="ar"/>
              </w:rPr>
              <w:t>500~3000</w:t>
            </w:r>
          </w:p>
        </w:tc>
      </w:tr>
      <w:tr w14:paraId="1954A7AA">
        <w:tblPrEx>
          <w:tblCellMar>
            <w:top w:w="0" w:type="dxa"/>
            <w:left w:w="108" w:type="dxa"/>
            <w:bottom w:w="0" w:type="dxa"/>
            <w:right w:w="108" w:type="dxa"/>
          </w:tblCellMar>
        </w:tblPrEx>
        <w:trPr>
          <w:trHeight w:val="285" w:hRule="atLeast"/>
        </w:trPr>
        <w:tc>
          <w:tcPr>
            <w:tcW w:w="735"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782FFB74">
            <w:pPr>
              <w:widowControl/>
              <w:jc w:val="center"/>
              <w:textAlignment w:val="center"/>
              <w:rPr>
                <w:rFonts w:ascii="等线" w:hAnsi="等线" w:eastAsia="等线" w:cs="等线"/>
                <w:sz w:val="22"/>
              </w:rPr>
            </w:pPr>
            <w:r>
              <w:rPr>
                <w:rFonts w:hint="eastAsia" w:ascii="等线" w:hAnsi="等线" w:eastAsia="等线" w:cs="等线"/>
                <w:sz w:val="22"/>
              </w:rPr>
              <w:t>33</w:t>
            </w:r>
          </w:p>
        </w:tc>
        <w:tc>
          <w:tcPr>
            <w:tcW w:w="8030"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702E720A">
            <w:pPr>
              <w:widowControl/>
              <w:jc w:val="left"/>
              <w:textAlignment w:val="center"/>
              <w:rPr>
                <w:rFonts w:ascii="等线" w:hAnsi="等线" w:eastAsia="等线" w:cs="等线"/>
                <w:sz w:val="22"/>
              </w:rPr>
            </w:pPr>
            <w:r>
              <w:rPr>
                <w:rFonts w:hint="eastAsia" w:ascii="等线" w:hAnsi="等线" w:eastAsia="等线" w:cs="等线"/>
                <w:kern w:val="0"/>
                <w:sz w:val="22"/>
                <w:lang w:bidi="ar"/>
              </w:rPr>
              <w:t>私自操作甲方生产设施、设备，故意损坏设施设备，造成事故的，照价赔偿。</w:t>
            </w:r>
          </w:p>
        </w:tc>
        <w:tc>
          <w:tcPr>
            <w:tcW w:w="1423"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6DA63BF1">
            <w:pPr>
              <w:widowControl/>
              <w:jc w:val="left"/>
              <w:textAlignment w:val="center"/>
              <w:rPr>
                <w:rFonts w:ascii="等线" w:hAnsi="等线" w:eastAsia="等线" w:cs="等线"/>
                <w:sz w:val="22"/>
              </w:rPr>
            </w:pPr>
            <w:r>
              <w:rPr>
                <w:rFonts w:hint="eastAsia" w:ascii="等线" w:hAnsi="等线" w:eastAsia="等线" w:cs="等线"/>
                <w:kern w:val="0"/>
                <w:sz w:val="22"/>
                <w:lang w:bidi="ar"/>
              </w:rPr>
              <w:t>1000~3000</w:t>
            </w:r>
          </w:p>
        </w:tc>
      </w:tr>
      <w:tr w14:paraId="1F3EAB4C">
        <w:tblPrEx>
          <w:tblCellMar>
            <w:top w:w="0" w:type="dxa"/>
            <w:left w:w="108" w:type="dxa"/>
            <w:bottom w:w="0" w:type="dxa"/>
            <w:right w:w="108" w:type="dxa"/>
          </w:tblCellMar>
        </w:tblPrEx>
        <w:trPr>
          <w:trHeight w:val="285" w:hRule="atLeast"/>
        </w:trPr>
        <w:tc>
          <w:tcPr>
            <w:tcW w:w="735"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05A1BDF5">
            <w:pPr>
              <w:widowControl/>
              <w:jc w:val="center"/>
              <w:textAlignment w:val="center"/>
              <w:rPr>
                <w:rFonts w:ascii="等线" w:hAnsi="等线" w:eastAsia="等线" w:cs="等线"/>
                <w:kern w:val="0"/>
                <w:sz w:val="22"/>
                <w:lang w:bidi="ar"/>
              </w:rPr>
            </w:pPr>
            <w:r>
              <w:rPr>
                <w:rFonts w:hint="eastAsia" w:ascii="等线" w:hAnsi="等线" w:eastAsia="等线" w:cs="等线"/>
                <w:kern w:val="0"/>
                <w:sz w:val="22"/>
                <w:lang w:bidi="ar"/>
              </w:rPr>
              <w:t>34</w:t>
            </w:r>
          </w:p>
        </w:tc>
        <w:tc>
          <w:tcPr>
            <w:tcW w:w="8030"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660992DE">
            <w:pPr>
              <w:widowControl/>
              <w:jc w:val="left"/>
              <w:textAlignment w:val="center"/>
              <w:rPr>
                <w:rFonts w:ascii="等线" w:hAnsi="等线" w:eastAsia="等线" w:cs="等线"/>
                <w:kern w:val="0"/>
                <w:sz w:val="22"/>
                <w:lang w:bidi="ar"/>
              </w:rPr>
            </w:pPr>
            <w:r>
              <w:rPr>
                <w:rFonts w:hint="eastAsia" w:ascii="等线" w:hAnsi="等线" w:eastAsia="等线" w:cs="等线"/>
                <w:kern w:val="0"/>
                <w:sz w:val="22"/>
                <w:lang w:bidi="ar"/>
              </w:rPr>
              <w:t>进入易燃易爆区域抽烟、未经许可私自携带火种、违规动火。</w:t>
            </w:r>
          </w:p>
        </w:tc>
        <w:tc>
          <w:tcPr>
            <w:tcW w:w="1423"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6E33E1A6">
            <w:pPr>
              <w:widowControl/>
              <w:jc w:val="left"/>
              <w:textAlignment w:val="center"/>
              <w:rPr>
                <w:rFonts w:ascii="等线" w:hAnsi="等线" w:eastAsia="等线" w:cs="等线"/>
                <w:kern w:val="0"/>
                <w:sz w:val="22"/>
                <w:lang w:bidi="ar"/>
              </w:rPr>
            </w:pPr>
            <w:r>
              <w:rPr>
                <w:rFonts w:hint="eastAsia" w:ascii="等线" w:hAnsi="等线" w:eastAsia="等线" w:cs="等线"/>
                <w:kern w:val="0"/>
                <w:sz w:val="22"/>
                <w:lang w:bidi="ar"/>
              </w:rPr>
              <w:t>3000~10000</w:t>
            </w:r>
          </w:p>
        </w:tc>
      </w:tr>
      <w:tr w14:paraId="55024F42">
        <w:tblPrEx>
          <w:tblCellMar>
            <w:top w:w="0" w:type="dxa"/>
            <w:left w:w="108" w:type="dxa"/>
            <w:bottom w:w="0" w:type="dxa"/>
            <w:right w:w="108" w:type="dxa"/>
          </w:tblCellMar>
        </w:tblPrEx>
        <w:trPr>
          <w:trHeight w:val="285" w:hRule="atLeast"/>
        </w:trPr>
        <w:tc>
          <w:tcPr>
            <w:tcW w:w="735"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01454518">
            <w:pPr>
              <w:widowControl/>
              <w:jc w:val="center"/>
              <w:textAlignment w:val="center"/>
              <w:rPr>
                <w:rFonts w:ascii="等线" w:hAnsi="等线" w:eastAsia="等线" w:cs="等线"/>
                <w:kern w:val="0"/>
                <w:sz w:val="22"/>
                <w:lang w:bidi="ar"/>
              </w:rPr>
            </w:pPr>
            <w:r>
              <w:rPr>
                <w:rFonts w:hint="eastAsia" w:ascii="等线" w:hAnsi="等线" w:eastAsia="等线" w:cs="等线"/>
                <w:kern w:val="0"/>
                <w:sz w:val="22"/>
                <w:lang w:bidi="ar"/>
              </w:rPr>
              <w:t>35</w:t>
            </w:r>
          </w:p>
        </w:tc>
        <w:tc>
          <w:tcPr>
            <w:tcW w:w="8030"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64D82463">
            <w:pPr>
              <w:widowControl/>
              <w:jc w:val="left"/>
              <w:textAlignment w:val="center"/>
              <w:rPr>
                <w:rFonts w:ascii="等线" w:hAnsi="等线" w:eastAsia="等线" w:cs="等线"/>
                <w:kern w:val="0"/>
                <w:sz w:val="22"/>
                <w:lang w:bidi="ar"/>
              </w:rPr>
            </w:pPr>
            <w:r>
              <w:rPr>
                <w:rFonts w:hint="eastAsia" w:ascii="等线" w:hAnsi="等线" w:eastAsia="等线" w:cs="等线"/>
                <w:kern w:val="0"/>
                <w:sz w:val="22"/>
                <w:lang w:bidi="ar"/>
              </w:rPr>
              <w:t>未经批准解除安全联锁。</w:t>
            </w:r>
          </w:p>
        </w:tc>
        <w:tc>
          <w:tcPr>
            <w:tcW w:w="1423"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171E88C5">
            <w:pPr>
              <w:widowControl/>
              <w:jc w:val="left"/>
              <w:textAlignment w:val="center"/>
              <w:rPr>
                <w:rFonts w:ascii="等线" w:hAnsi="等线" w:eastAsia="等线" w:cs="等线"/>
                <w:kern w:val="0"/>
                <w:sz w:val="22"/>
                <w:lang w:bidi="ar"/>
              </w:rPr>
            </w:pPr>
            <w:r>
              <w:rPr>
                <w:rFonts w:hint="eastAsia" w:ascii="等线" w:hAnsi="等线" w:eastAsia="等线" w:cs="等线"/>
                <w:kern w:val="0"/>
                <w:sz w:val="22"/>
                <w:lang w:bidi="ar"/>
              </w:rPr>
              <w:t>3000~10000</w:t>
            </w:r>
          </w:p>
        </w:tc>
      </w:tr>
      <w:tr w14:paraId="74ADABCC">
        <w:tblPrEx>
          <w:tblCellMar>
            <w:top w:w="0" w:type="dxa"/>
            <w:left w:w="108" w:type="dxa"/>
            <w:bottom w:w="0" w:type="dxa"/>
            <w:right w:w="108" w:type="dxa"/>
          </w:tblCellMar>
        </w:tblPrEx>
        <w:trPr>
          <w:trHeight w:val="285" w:hRule="atLeast"/>
        </w:trPr>
        <w:tc>
          <w:tcPr>
            <w:tcW w:w="10188" w:type="dxa"/>
            <w:gridSpan w:val="5"/>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44E82CE9">
            <w:pPr>
              <w:widowControl/>
              <w:jc w:val="center"/>
              <w:textAlignment w:val="center"/>
              <w:rPr>
                <w:rFonts w:ascii="等线" w:hAnsi="等线" w:eastAsia="等线" w:cs="等线"/>
                <w:b/>
                <w:sz w:val="22"/>
              </w:rPr>
            </w:pPr>
            <w:r>
              <w:rPr>
                <w:rFonts w:hint="eastAsia" w:ascii="等线" w:hAnsi="等线" w:eastAsia="等线" w:cs="等线"/>
                <w:b/>
                <w:kern w:val="0"/>
                <w:sz w:val="22"/>
                <w:lang w:bidi="ar"/>
              </w:rPr>
              <w:t>五、环保管理</w:t>
            </w:r>
          </w:p>
        </w:tc>
      </w:tr>
      <w:tr w14:paraId="59974CAE">
        <w:tblPrEx>
          <w:tblCellMar>
            <w:top w:w="0" w:type="dxa"/>
            <w:left w:w="108" w:type="dxa"/>
            <w:bottom w:w="0" w:type="dxa"/>
            <w:right w:w="108" w:type="dxa"/>
          </w:tblCellMar>
        </w:tblPrEx>
        <w:trPr>
          <w:trHeight w:val="375" w:hRule="atLeast"/>
        </w:trPr>
        <w:tc>
          <w:tcPr>
            <w:tcW w:w="735"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7A65E34B">
            <w:pPr>
              <w:widowControl/>
              <w:jc w:val="center"/>
              <w:textAlignment w:val="center"/>
              <w:rPr>
                <w:rFonts w:ascii="等线" w:hAnsi="等线" w:eastAsia="等线" w:cs="等线"/>
                <w:sz w:val="22"/>
              </w:rPr>
            </w:pPr>
            <w:r>
              <w:rPr>
                <w:rFonts w:hint="eastAsia" w:ascii="等线" w:hAnsi="等线" w:eastAsia="等线" w:cs="等线"/>
                <w:sz w:val="22"/>
              </w:rPr>
              <w:t>36</w:t>
            </w:r>
          </w:p>
        </w:tc>
        <w:tc>
          <w:tcPr>
            <w:tcW w:w="8030"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7CF697DF">
            <w:pPr>
              <w:widowControl/>
              <w:jc w:val="left"/>
              <w:textAlignment w:val="center"/>
              <w:rPr>
                <w:rFonts w:ascii="等线" w:hAnsi="等线" w:eastAsia="等线" w:cs="等线"/>
                <w:sz w:val="22"/>
              </w:rPr>
            </w:pPr>
            <w:r>
              <w:rPr>
                <w:rFonts w:hint="eastAsia" w:ascii="等线" w:hAnsi="等线" w:eastAsia="等线" w:cs="等线"/>
                <w:kern w:val="0"/>
                <w:sz w:val="22"/>
                <w:lang w:bidi="ar"/>
              </w:rPr>
              <w:t>污水、废气、噪音、粉尘等未按要求排放或排放超过标准的，控制措施不力的。</w:t>
            </w:r>
          </w:p>
        </w:tc>
        <w:tc>
          <w:tcPr>
            <w:tcW w:w="1423"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5171EFEB">
            <w:pPr>
              <w:widowControl/>
              <w:jc w:val="left"/>
              <w:textAlignment w:val="center"/>
              <w:rPr>
                <w:rFonts w:ascii="等线" w:hAnsi="等线" w:eastAsia="等线" w:cs="等线"/>
                <w:sz w:val="22"/>
              </w:rPr>
            </w:pPr>
            <w:r>
              <w:rPr>
                <w:rFonts w:hint="eastAsia" w:ascii="等线" w:hAnsi="等线" w:eastAsia="等线" w:cs="等线"/>
                <w:kern w:val="0"/>
                <w:sz w:val="22"/>
                <w:lang w:bidi="ar"/>
              </w:rPr>
              <w:t>1000~3000</w:t>
            </w:r>
          </w:p>
        </w:tc>
      </w:tr>
      <w:tr w14:paraId="3C28B702">
        <w:tblPrEx>
          <w:tblCellMar>
            <w:top w:w="0" w:type="dxa"/>
            <w:left w:w="108" w:type="dxa"/>
            <w:bottom w:w="0" w:type="dxa"/>
            <w:right w:w="108" w:type="dxa"/>
          </w:tblCellMar>
        </w:tblPrEx>
        <w:trPr>
          <w:trHeight w:val="285" w:hRule="atLeast"/>
        </w:trPr>
        <w:tc>
          <w:tcPr>
            <w:tcW w:w="735"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27A4904C">
            <w:pPr>
              <w:widowControl/>
              <w:jc w:val="center"/>
              <w:textAlignment w:val="center"/>
              <w:rPr>
                <w:rFonts w:ascii="等线" w:hAnsi="等线" w:eastAsia="等线" w:cs="等线"/>
                <w:sz w:val="22"/>
              </w:rPr>
            </w:pPr>
            <w:r>
              <w:rPr>
                <w:rFonts w:hint="eastAsia" w:ascii="等线" w:hAnsi="等线" w:eastAsia="等线" w:cs="等线"/>
                <w:sz w:val="22"/>
              </w:rPr>
              <w:t>37</w:t>
            </w:r>
          </w:p>
        </w:tc>
        <w:tc>
          <w:tcPr>
            <w:tcW w:w="8030"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3829CA4C">
            <w:pPr>
              <w:widowControl/>
              <w:jc w:val="left"/>
              <w:textAlignment w:val="center"/>
              <w:rPr>
                <w:rFonts w:ascii="等线" w:hAnsi="等线" w:eastAsia="等线" w:cs="等线"/>
                <w:sz w:val="22"/>
              </w:rPr>
            </w:pPr>
            <w:r>
              <w:rPr>
                <w:rFonts w:hint="eastAsia" w:ascii="等线" w:hAnsi="等线" w:eastAsia="等线" w:cs="等线"/>
                <w:kern w:val="0"/>
                <w:sz w:val="22"/>
                <w:lang w:bidi="ar"/>
              </w:rPr>
              <w:t>油漆、清洗剂等危险化学品未按规定进行存储、废弃处理，工地违规燃烧垃圾废物</w:t>
            </w:r>
          </w:p>
        </w:tc>
        <w:tc>
          <w:tcPr>
            <w:tcW w:w="1423"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4FC428FE">
            <w:pPr>
              <w:widowControl/>
              <w:jc w:val="left"/>
              <w:textAlignment w:val="center"/>
              <w:rPr>
                <w:rFonts w:ascii="等线" w:hAnsi="等线" w:eastAsia="等线" w:cs="等线"/>
                <w:sz w:val="22"/>
              </w:rPr>
            </w:pPr>
            <w:r>
              <w:rPr>
                <w:rFonts w:hint="eastAsia" w:ascii="等线" w:hAnsi="等线" w:eastAsia="等线" w:cs="等线"/>
                <w:kern w:val="0"/>
                <w:sz w:val="22"/>
                <w:lang w:bidi="ar"/>
              </w:rPr>
              <w:t>1000~3000</w:t>
            </w:r>
          </w:p>
        </w:tc>
      </w:tr>
      <w:tr w14:paraId="0CC5FF3C">
        <w:tblPrEx>
          <w:tblCellMar>
            <w:top w:w="0" w:type="dxa"/>
            <w:left w:w="108" w:type="dxa"/>
            <w:bottom w:w="0" w:type="dxa"/>
            <w:right w:w="108" w:type="dxa"/>
          </w:tblCellMar>
        </w:tblPrEx>
        <w:trPr>
          <w:trHeight w:val="285" w:hRule="atLeast"/>
        </w:trPr>
        <w:tc>
          <w:tcPr>
            <w:tcW w:w="10188" w:type="dxa"/>
            <w:gridSpan w:val="5"/>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7BAC7173">
            <w:pPr>
              <w:widowControl/>
              <w:jc w:val="center"/>
              <w:textAlignment w:val="center"/>
              <w:rPr>
                <w:rFonts w:ascii="等线" w:hAnsi="等线" w:eastAsia="等线" w:cs="等线"/>
                <w:b/>
                <w:sz w:val="22"/>
              </w:rPr>
            </w:pPr>
            <w:r>
              <w:rPr>
                <w:rFonts w:hint="eastAsia" w:ascii="等线" w:hAnsi="等线" w:eastAsia="等线" w:cs="等线"/>
                <w:b/>
                <w:kern w:val="0"/>
                <w:sz w:val="22"/>
                <w:lang w:bidi="ar"/>
              </w:rPr>
              <w:t>六、事故管理</w:t>
            </w:r>
          </w:p>
        </w:tc>
      </w:tr>
      <w:tr w14:paraId="62A52FF6">
        <w:tblPrEx>
          <w:tblCellMar>
            <w:top w:w="0" w:type="dxa"/>
            <w:left w:w="108" w:type="dxa"/>
            <w:bottom w:w="0" w:type="dxa"/>
            <w:right w:w="108" w:type="dxa"/>
          </w:tblCellMar>
        </w:tblPrEx>
        <w:trPr>
          <w:trHeight w:val="285" w:hRule="atLeast"/>
        </w:trPr>
        <w:tc>
          <w:tcPr>
            <w:tcW w:w="735"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0D532D3F">
            <w:pPr>
              <w:widowControl/>
              <w:jc w:val="center"/>
              <w:textAlignment w:val="center"/>
              <w:rPr>
                <w:rFonts w:ascii="等线" w:hAnsi="等线" w:eastAsia="等线" w:cs="等线"/>
                <w:sz w:val="22"/>
              </w:rPr>
            </w:pPr>
            <w:r>
              <w:rPr>
                <w:rFonts w:hint="eastAsia" w:ascii="等线" w:hAnsi="等线" w:eastAsia="等线" w:cs="等线"/>
                <w:sz w:val="22"/>
              </w:rPr>
              <w:t>38</w:t>
            </w:r>
          </w:p>
        </w:tc>
        <w:tc>
          <w:tcPr>
            <w:tcW w:w="8066"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07F27834">
            <w:pPr>
              <w:widowControl/>
              <w:jc w:val="left"/>
              <w:textAlignment w:val="center"/>
              <w:rPr>
                <w:rFonts w:ascii="等线" w:hAnsi="等线" w:eastAsia="等线" w:cs="等线"/>
                <w:sz w:val="22"/>
              </w:rPr>
            </w:pPr>
            <w:r>
              <w:rPr>
                <w:rFonts w:hint="eastAsia" w:ascii="等线" w:hAnsi="等线" w:eastAsia="等线" w:cs="等线"/>
                <w:kern w:val="0"/>
                <w:sz w:val="22"/>
                <w:lang w:bidi="ar"/>
              </w:rPr>
              <w:t xml:space="preserve">发生事故后故意瞒报，影响救援的； </w:t>
            </w:r>
          </w:p>
        </w:tc>
        <w:tc>
          <w:tcPr>
            <w:tcW w:w="1387"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68FC41C1">
            <w:pPr>
              <w:widowControl/>
              <w:jc w:val="left"/>
              <w:textAlignment w:val="center"/>
              <w:rPr>
                <w:rFonts w:ascii="等线" w:hAnsi="等线" w:eastAsia="等线" w:cs="等线"/>
                <w:sz w:val="22"/>
              </w:rPr>
            </w:pPr>
            <w:r>
              <w:rPr>
                <w:rFonts w:hint="eastAsia" w:ascii="等线" w:hAnsi="等线" w:eastAsia="等线" w:cs="等线"/>
                <w:sz w:val="22"/>
              </w:rPr>
              <w:t>依据CPIC制度执行</w:t>
            </w:r>
          </w:p>
        </w:tc>
      </w:tr>
      <w:tr w14:paraId="06374C31">
        <w:tblPrEx>
          <w:tblCellMar>
            <w:top w:w="0" w:type="dxa"/>
            <w:left w:w="108" w:type="dxa"/>
            <w:bottom w:w="0" w:type="dxa"/>
            <w:right w:w="108" w:type="dxa"/>
          </w:tblCellMar>
        </w:tblPrEx>
        <w:trPr>
          <w:trHeight w:val="285" w:hRule="atLeast"/>
        </w:trPr>
        <w:tc>
          <w:tcPr>
            <w:tcW w:w="735"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57E5994A">
            <w:pPr>
              <w:widowControl/>
              <w:jc w:val="center"/>
              <w:textAlignment w:val="center"/>
              <w:rPr>
                <w:rFonts w:ascii="等线" w:hAnsi="等线" w:eastAsia="等线" w:cs="等线"/>
                <w:sz w:val="22"/>
              </w:rPr>
            </w:pPr>
            <w:r>
              <w:rPr>
                <w:rFonts w:hint="eastAsia" w:ascii="等线" w:hAnsi="等线" w:eastAsia="等线" w:cs="等线"/>
                <w:sz w:val="22"/>
              </w:rPr>
              <w:t>39</w:t>
            </w:r>
          </w:p>
        </w:tc>
        <w:tc>
          <w:tcPr>
            <w:tcW w:w="8066"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3CBB7023">
            <w:pPr>
              <w:widowControl/>
              <w:jc w:val="left"/>
              <w:textAlignment w:val="center"/>
              <w:rPr>
                <w:rFonts w:ascii="等线" w:hAnsi="等线" w:eastAsia="等线" w:cs="等线"/>
                <w:sz w:val="22"/>
              </w:rPr>
            </w:pPr>
            <w:r>
              <w:rPr>
                <w:rFonts w:hint="eastAsia" w:ascii="等线" w:hAnsi="等线" w:eastAsia="等线" w:cs="等线"/>
                <w:kern w:val="0"/>
                <w:sz w:val="22"/>
                <w:lang w:bidi="ar"/>
              </w:rPr>
              <w:t xml:space="preserve">发生事故后，不在规定时间向发包方报告的，故意不按真实情况报告的，应由施工方组织调查而不组织调查的，不按照"四不放过"进行调查处理的，承包方故意不配合调查的；    </w:t>
            </w:r>
          </w:p>
        </w:tc>
        <w:tc>
          <w:tcPr>
            <w:tcW w:w="1387"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2048BB38">
            <w:pPr>
              <w:widowControl/>
              <w:jc w:val="left"/>
              <w:textAlignment w:val="center"/>
              <w:rPr>
                <w:rFonts w:ascii="等线" w:hAnsi="等线" w:eastAsia="等线" w:cs="等线"/>
                <w:sz w:val="22"/>
              </w:rPr>
            </w:pPr>
            <w:r>
              <w:rPr>
                <w:rFonts w:hint="eastAsia" w:ascii="等线" w:hAnsi="等线" w:eastAsia="等线" w:cs="等线"/>
                <w:kern w:val="0"/>
                <w:sz w:val="22"/>
                <w:lang w:bidi="ar"/>
              </w:rPr>
              <w:t>3000~5000</w:t>
            </w:r>
          </w:p>
        </w:tc>
      </w:tr>
      <w:tr w14:paraId="4C3E476C">
        <w:tblPrEx>
          <w:tblCellMar>
            <w:top w:w="0" w:type="dxa"/>
            <w:left w:w="108" w:type="dxa"/>
            <w:bottom w:w="0" w:type="dxa"/>
            <w:right w:w="108" w:type="dxa"/>
          </w:tblCellMar>
        </w:tblPrEx>
        <w:trPr>
          <w:trHeight w:val="285" w:hRule="atLeast"/>
        </w:trPr>
        <w:tc>
          <w:tcPr>
            <w:tcW w:w="735"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3DD83055">
            <w:pPr>
              <w:widowControl/>
              <w:jc w:val="center"/>
              <w:textAlignment w:val="center"/>
              <w:rPr>
                <w:rFonts w:ascii="等线" w:hAnsi="等线" w:eastAsia="等线" w:cs="等线"/>
                <w:sz w:val="22"/>
              </w:rPr>
            </w:pPr>
            <w:r>
              <w:rPr>
                <w:rFonts w:hint="eastAsia" w:ascii="等线" w:hAnsi="等线" w:eastAsia="等线" w:cs="等线"/>
                <w:sz w:val="22"/>
              </w:rPr>
              <w:t>40</w:t>
            </w:r>
          </w:p>
        </w:tc>
        <w:tc>
          <w:tcPr>
            <w:tcW w:w="8066"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49859A1F">
            <w:pPr>
              <w:widowControl/>
              <w:jc w:val="left"/>
              <w:textAlignment w:val="center"/>
              <w:rPr>
                <w:rFonts w:ascii="等线" w:hAnsi="等线" w:eastAsia="等线" w:cs="等线"/>
                <w:sz w:val="22"/>
              </w:rPr>
            </w:pPr>
            <w:r>
              <w:rPr>
                <w:rFonts w:hint="eastAsia" w:ascii="等线" w:hAnsi="等线" w:eastAsia="等线" w:cs="等线"/>
                <w:sz w:val="22"/>
              </w:rPr>
              <w:t>未遂事故、微伤事故、直接经济损失1万元以下的事故、发生火情等</w:t>
            </w:r>
          </w:p>
        </w:tc>
        <w:tc>
          <w:tcPr>
            <w:tcW w:w="1387"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2EDCD49D">
            <w:pPr>
              <w:widowControl/>
              <w:jc w:val="left"/>
              <w:textAlignment w:val="center"/>
              <w:rPr>
                <w:rFonts w:ascii="等线" w:hAnsi="等线" w:eastAsia="等线" w:cs="等线"/>
                <w:sz w:val="22"/>
              </w:rPr>
            </w:pPr>
            <w:r>
              <w:rPr>
                <w:rFonts w:hint="eastAsia" w:ascii="等线" w:hAnsi="等线" w:eastAsia="等线" w:cs="等线"/>
                <w:kern w:val="0"/>
                <w:sz w:val="22"/>
                <w:lang w:bidi="ar"/>
              </w:rPr>
              <w:t>3000~5000</w:t>
            </w:r>
          </w:p>
        </w:tc>
      </w:tr>
      <w:tr w14:paraId="2B295DE3">
        <w:tblPrEx>
          <w:tblCellMar>
            <w:top w:w="0" w:type="dxa"/>
            <w:left w:w="108" w:type="dxa"/>
            <w:bottom w:w="0" w:type="dxa"/>
            <w:right w:w="108" w:type="dxa"/>
          </w:tblCellMar>
        </w:tblPrEx>
        <w:trPr>
          <w:trHeight w:val="690" w:hRule="atLeast"/>
        </w:trPr>
        <w:tc>
          <w:tcPr>
            <w:tcW w:w="735"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7361BB97">
            <w:pPr>
              <w:widowControl/>
              <w:jc w:val="center"/>
              <w:textAlignment w:val="center"/>
              <w:rPr>
                <w:rFonts w:ascii="等线" w:hAnsi="等线" w:eastAsia="等线" w:cs="等线"/>
                <w:sz w:val="22"/>
              </w:rPr>
            </w:pPr>
            <w:r>
              <w:rPr>
                <w:rFonts w:hint="eastAsia" w:ascii="等线" w:hAnsi="等线" w:eastAsia="等线" w:cs="等线"/>
                <w:sz w:val="22"/>
              </w:rPr>
              <w:t>41</w:t>
            </w:r>
          </w:p>
        </w:tc>
        <w:tc>
          <w:tcPr>
            <w:tcW w:w="8066"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28721345">
            <w:pPr>
              <w:widowControl/>
              <w:jc w:val="left"/>
              <w:textAlignment w:val="center"/>
              <w:rPr>
                <w:rFonts w:ascii="等线" w:hAnsi="等线" w:eastAsia="等线" w:cs="等线"/>
                <w:sz w:val="22"/>
              </w:rPr>
            </w:pPr>
            <w:r>
              <w:rPr>
                <w:rFonts w:hint="eastAsia" w:ascii="等线" w:hAnsi="等线" w:eastAsia="等线" w:cs="等线"/>
                <w:kern w:val="0"/>
                <w:sz w:val="22"/>
                <w:lang w:bidi="ar"/>
              </w:rPr>
              <w:t xml:space="preserve">轻微伤以上事故；或造成 1 万元以下直接经济损失的火灾事故；或造成 1 万元以上 5 万元以下直接经济损失的其它事故。 </w:t>
            </w:r>
          </w:p>
        </w:tc>
        <w:tc>
          <w:tcPr>
            <w:tcW w:w="1387"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231399B8">
            <w:pPr>
              <w:widowControl/>
              <w:jc w:val="left"/>
              <w:textAlignment w:val="center"/>
              <w:rPr>
                <w:rFonts w:ascii="等线" w:hAnsi="等线" w:eastAsia="等线" w:cs="等线"/>
                <w:sz w:val="22"/>
              </w:rPr>
            </w:pPr>
            <w:r>
              <w:rPr>
                <w:rFonts w:hint="eastAsia" w:ascii="等线" w:hAnsi="等线" w:eastAsia="等线" w:cs="等线"/>
                <w:kern w:val="0"/>
                <w:sz w:val="22"/>
                <w:lang w:bidi="ar"/>
              </w:rPr>
              <w:t>3000~1万</w:t>
            </w:r>
          </w:p>
        </w:tc>
      </w:tr>
      <w:tr w14:paraId="219FCB95">
        <w:tblPrEx>
          <w:tblCellMar>
            <w:top w:w="0" w:type="dxa"/>
            <w:left w:w="108" w:type="dxa"/>
            <w:bottom w:w="0" w:type="dxa"/>
            <w:right w:w="108" w:type="dxa"/>
          </w:tblCellMar>
        </w:tblPrEx>
        <w:trPr>
          <w:trHeight w:val="690" w:hRule="atLeast"/>
        </w:trPr>
        <w:tc>
          <w:tcPr>
            <w:tcW w:w="735"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774411E1">
            <w:pPr>
              <w:widowControl/>
              <w:jc w:val="center"/>
              <w:textAlignment w:val="center"/>
              <w:rPr>
                <w:rFonts w:ascii="等线" w:hAnsi="等线" w:eastAsia="等线" w:cs="等线"/>
                <w:sz w:val="22"/>
              </w:rPr>
            </w:pPr>
            <w:r>
              <w:rPr>
                <w:rFonts w:hint="eastAsia" w:ascii="等线" w:hAnsi="等线" w:eastAsia="等线" w:cs="等线"/>
                <w:kern w:val="0"/>
                <w:sz w:val="22"/>
                <w:lang w:bidi="ar"/>
              </w:rPr>
              <w:t>42</w:t>
            </w:r>
          </w:p>
        </w:tc>
        <w:tc>
          <w:tcPr>
            <w:tcW w:w="8066"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06A70C28">
            <w:pPr>
              <w:widowControl/>
              <w:jc w:val="left"/>
              <w:textAlignment w:val="center"/>
              <w:rPr>
                <w:rFonts w:ascii="等线" w:hAnsi="等线" w:eastAsia="等线" w:cs="等线"/>
                <w:sz w:val="22"/>
              </w:rPr>
            </w:pPr>
            <w:r>
              <w:rPr>
                <w:rFonts w:hint="eastAsia" w:ascii="等线" w:hAnsi="等线" w:eastAsia="等线" w:cs="等线"/>
                <w:kern w:val="0"/>
                <w:sz w:val="22"/>
                <w:lang w:bidi="ar"/>
              </w:rPr>
              <w:t xml:space="preserve">轻伤二级事故；或造成 1万元以上10 万元以下直接经济损失的火灾事故；或造成 1 万元以上 5 万元以下直接经济损失的其它事故。 </w:t>
            </w:r>
          </w:p>
        </w:tc>
        <w:tc>
          <w:tcPr>
            <w:tcW w:w="1387"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20BEC741">
            <w:pPr>
              <w:widowControl/>
              <w:jc w:val="left"/>
              <w:textAlignment w:val="center"/>
              <w:rPr>
                <w:rFonts w:ascii="等线" w:hAnsi="等线" w:eastAsia="等线" w:cs="等线"/>
                <w:sz w:val="22"/>
              </w:rPr>
            </w:pPr>
            <w:r>
              <w:rPr>
                <w:rFonts w:hint="eastAsia" w:ascii="等线" w:hAnsi="等线" w:eastAsia="等线" w:cs="等线"/>
                <w:kern w:val="0"/>
                <w:sz w:val="22"/>
                <w:lang w:bidi="ar"/>
              </w:rPr>
              <w:t>5000~2万</w:t>
            </w:r>
          </w:p>
        </w:tc>
      </w:tr>
      <w:tr w14:paraId="32E0A3A4">
        <w:tblPrEx>
          <w:tblCellMar>
            <w:top w:w="0" w:type="dxa"/>
            <w:left w:w="108" w:type="dxa"/>
            <w:bottom w:w="0" w:type="dxa"/>
            <w:right w:w="108" w:type="dxa"/>
          </w:tblCellMar>
        </w:tblPrEx>
        <w:trPr>
          <w:trHeight w:val="690" w:hRule="atLeast"/>
        </w:trPr>
        <w:tc>
          <w:tcPr>
            <w:tcW w:w="735"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1B1E7FFA">
            <w:pPr>
              <w:widowControl/>
              <w:jc w:val="center"/>
              <w:textAlignment w:val="center"/>
              <w:rPr>
                <w:rFonts w:ascii="等线" w:hAnsi="等线" w:eastAsia="等线" w:cs="等线"/>
                <w:sz w:val="22"/>
              </w:rPr>
            </w:pPr>
            <w:r>
              <w:rPr>
                <w:rFonts w:hint="eastAsia" w:ascii="等线" w:hAnsi="等线" w:eastAsia="等线" w:cs="等线"/>
                <w:kern w:val="0"/>
                <w:sz w:val="22"/>
                <w:lang w:bidi="ar"/>
              </w:rPr>
              <w:t>43</w:t>
            </w:r>
          </w:p>
        </w:tc>
        <w:tc>
          <w:tcPr>
            <w:tcW w:w="8066"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0973454C">
            <w:pPr>
              <w:widowControl/>
              <w:jc w:val="left"/>
              <w:textAlignment w:val="center"/>
              <w:rPr>
                <w:rFonts w:ascii="等线" w:hAnsi="等线" w:eastAsia="等线" w:cs="等线"/>
                <w:sz w:val="22"/>
              </w:rPr>
            </w:pPr>
            <w:r>
              <w:rPr>
                <w:rFonts w:hint="eastAsia" w:ascii="等线" w:hAnsi="等线" w:eastAsia="等线" w:cs="等线"/>
                <w:kern w:val="0"/>
                <w:sz w:val="22"/>
                <w:lang w:bidi="ar"/>
              </w:rPr>
              <w:t xml:space="preserve">轻伤一级事故；或造成 10 万元以上 </w:t>
            </w:r>
            <w:r>
              <w:rPr>
                <w:rFonts w:ascii="等线" w:hAnsi="等线" w:eastAsia="等线" w:cs="等线"/>
                <w:kern w:val="0"/>
                <w:sz w:val="22"/>
                <w:lang w:bidi="ar"/>
              </w:rPr>
              <w:t>10</w:t>
            </w:r>
            <w:r>
              <w:rPr>
                <w:rFonts w:hint="eastAsia" w:ascii="等线" w:hAnsi="等线" w:eastAsia="等线" w:cs="等线"/>
                <w:kern w:val="0"/>
                <w:sz w:val="22"/>
                <w:lang w:bidi="ar"/>
              </w:rPr>
              <w:t>0 万元以下直接经济损失的火灾事故；或造成 5 万元以上 10</w:t>
            </w:r>
            <w:r>
              <w:rPr>
                <w:rFonts w:ascii="等线" w:hAnsi="等线" w:eastAsia="等线" w:cs="等线"/>
                <w:kern w:val="0"/>
                <w:sz w:val="22"/>
                <w:lang w:bidi="ar"/>
              </w:rPr>
              <w:t>0</w:t>
            </w:r>
            <w:r>
              <w:rPr>
                <w:rFonts w:hint="eastAsia" w:ascii="等线" w:hAnsi="等线" w:eastAsia="等线" w:cs="等线"/>
                <w:kern w:val="0"/>
                <w:sz w:val="22"/>
                <w:lang w:bidi="ar"/>
              </w:rPr>
              <w:t xml:space="preserve"> 万元以下直接经济损失的其它事故。 </w:t>
            </w:r>
          </w:p>
        </w:tc>
        <w:tc>
          <w:tcPr>
            <w:tcW w:w="1387"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1EE1A2CD">
            <w:pPr>
              <w:widowControl/>
              <w:jc w:val="left"/>
              <w:textAlignment w:val="center"/>
              <w:rPr>
                <w:rFonts w:ascii="等线" w:hAnsi="等线" w:eastAsia="等线" w:cs="等线"/>
                <w:sz w:val="22"/>
              </w:rPr>
            </w:pPr>
            <w:r>
              <w:rPr>
                <w:rFonts w:hint="eastAsia" w:ascii="等线" w:hAnsi="等线" w:eastAsia="等线" w:cs="等线"/>
                <w:kern w:val="0"/>
                <w:sz w:val="22"/>
                <w:lang w:bidi="ar"/>
              </w:rPr>
              <w:t>2万~5万，赔偿额另计</w:t>
            </w:r>
          </w:p>
        </w:tc>
      </w:tr>
      <w:tr w14:paraId="351C3BDC">
        <w:tblPrEx>
          <w:tblCellMar>
            <w:top w:w="0" w:type="dxa"/>
            <w:left w:w="108" w:type="dxa"/>
            <w:bottom w:w="0" w:type="dxa"/>
            <w:right w:w="108" w:type="dxa"/>
          </w:tblCellMar>
        </w:tblPrEx>
        <w:trPr>
          <w:trHeight w:val="43" w:hRule="atLeast"/>
        </w:trPr>
        <w:tc>
          <w:tcPr>
            <w:tcW w:w="735"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017A9F33">
            <w:pPr>
              <w:widowControl/>
              <w:jc w:val="center"/>
              <w:textAlignment w:val="center"/>
              <w:rPr>
                <w:rFonts w:ascii="等线" w:hAnsi="等线" w:eastAsia="等线" w:cs="等线"/>
                <w:sz w:val="22"/>
              </w:rPr>
            </w:pPr>
            <w:r>
              <w:rPr>
                <w:rFonts w:hint="eastAsia" w:ascii="等线" w:hAnsi="等线" w:eastAsia="等线" w:cs="等线"/>
                <w:kern w:val="0"/>
                <w:sz w:val="22"/>
                <w:lang w:bidi="ar"/>
              </w:rPr>
              <w:t>44</w:t>
            </w:r>
          </w:p>
        </w:tc>
        <w:tc>
          <w:tcPr>
            <w:tcW w:w="8066"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5CD3B574">
            <w:pPr>
              <w:widowControl/>
              <w:jc w:val="left"/>
              <w:textAlignment w:val="center"/>
              <w:rPr>
                <w:rFonts w:ascii="等线" w:hAnsi="等线" w:eastAsia="等线" w:cs="等线"/>
                <w:sz w:val="22"/>
              </w:rPr>
            </w:pPr>
            <w:r>
              <w:rPr>
                <w:rFonts w:hint="eastAsia" w:ascii="等线" w:hAnsi="等线" w:eastAsia="等线" w:cs="等线"/>
                <w:kern w:val="0"/>
                <w:sz w:val="22"/>
                <w:lang w:bidi="ar"/>
              </w:rPr>
              <w:t>重伤及以上事故，直接经济损失超过100万元以上根据公司相关制度进行考核。</w:t>
            </w:r>
          </w:p>
        </w:tc>
        <w:tc>
          <w:tcPr>
            <w:tcW w:w="1387"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4DDCD10A">
            <w:pPr>
              <w:widowControl/>
              <w:jc w:val="left"/>
              <w:textAlignment w:val="center"/>
              <w:rPr>
                <w:rFonts w:ascii="等线" w:hAnsi="等线" w:eastAsia="等线" w:cs="等线"/>
                <w:sz w:val="22"/>
              </w:rPr>
            </w:pPr>
            <w:r>
              <w:rPr>
                <w:rFonts w:hint="eastAsia" w:ascii="等线" w:hAnsi="等线" w:eastAsia="等线" w:cs="等线"/>
                <w:sz w:val="22"/>
              </w:rPr>
              <w:t>依据CPIC制度执行</w:t>
            </w:r>
          </w:p>
        </w:tc>
      </w:tr>
      <w:tr w14:paraId="0107D7CF">
        <w:tblPrEx>
          <w:tblCellMar>
            <w:top w:w="0" w:type="dxa"/>
            <w:left w:w="108" w:type="dxa"/>
            <w:bottom w:w="0" w:type="dxa"/>
            <w:right w:w="108" w:type="dxa"/>
          </w:tblCellMar>
        </w:tblPrEx>
        <w:trPr>
          <w:trHeight w:val="285" w:hRule="atLeast"/>
        </w:trPr>
        <w:tc>
          <w:tcPr>
            <w:tcW w:w="735"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633C8968">
            <w:pPr>
              <w:widowControl/>
              <w:jc w:val="center"/>
              <w:textAlignment w:val="center"/>
              <w:rPr>
                <w:rFonts w:ascii="等线" w:hAnsi="等线" w:eastAsia="等线" w:cs="等线"/>
                <w:sz w:val="22"/>
              </w:rPr>
            </w:pPr>
            <w:r>
              <w:rPr>
                <w:rFonts w:hint="eastAsia" w:ascii="等线" w:hAnsi="等线" w:eastAsia="等线" w:cs="等线"/>
                <w:kern w:val="0"/>
                <w:sz w:val="22"/>
                <w:lang w:bidi="ar"/>
              </w:rPr>
              <w:t>45</w:t>
            </w:r>
          </w:p>
        </w:tc>
        <w:tc>
          <w:tcPr>
            <w:tcW w:w="8066"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7F1D8A98">
            <w:pPr>
              <w:widowControl/>
              <w:jc w:val="left"/>
              <w:textAlignment w:val="center"/>
              <w:rPr>
                <w:rFonts w:ascii="等线" w:hAnsi="等线" w:eastAsia="等线" w:cs="等线"/>
                <w:sz w:val="22"/>
              </w:rPr>
            </w:pPr>
            <w:r>
              <w:rPr>
                <w:rFonts w:hint="eastAsia" w:ascii="等线" w:hAnsi="等线" w:eastAsia="等线" w:cs="等线"/>
                <w:kern w:val="0"/>
                <w:sz w:val="22"/>
                <w:lang w:bidi="ar"/>
              </w:rPr>
              <w:t>一般环境污染事故</w:t>
            </w:r>
          </w:p>
        </w:tc>
        <w:tc>
          <w:tcPr>
            <w:tcW w:w="1387"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54914E09">
            <w:pPr>
              <w:widowControl/>
              <w:jc w:val="left"/>
              <w:textAlignment w:val="center"/>
              <w:rPr>
                <w:rFonts w:ascii="等线" w:hAnsi="等线" w:eastAsia="等线" w:cs="等线"/>
                <w:sz w:val="22"/>
              </w:rPr>
            </w:pPr>
            <w:r>
              <w:rPr>
                <w:rFonts w:hint="eastAsia" w:ascii="等线" w:hAnsi="等线" w:eastAsia="等线" w:cs="等线"/>
                <w:kern w:val="0"/>
                <w:sz w:val="22"/>
                <w:lang w:bidi="ar"/>
              </w:rPr>
              <w:t>1000~3000</w:t>
            </w:r>
          </w:p>
        </w:tc>
      </w:tr>
      <w:tr w14:paraId="529F77E8">
        <w:tblPrEx>
          <w:tblCellMar>
            <w:top w:w="0" w:type="dxa"/>
            <w:left w:w="108" w:type="dxa"/>
            <w:bottom w:w="0" w:type="dxa"/>
            <w:right w:w="108" w:type="dxa"/>
          </w:tblCellMar>
        </w:tblPrEx>
        <w:trPr>
          <w:trHeight w:val="285" w:hRule="atLeast"/>
        </w:trPr>
        <w:tc>
          <w:tcPr>
            <w:tcW w:w="735"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139D1549">
            <w:pPr>
              <w:widowControl/>
              <w:jc w:val="center"/>
              <w:textAlignment w:val="center"/>
              <w:rPr>
                <w:rFonts w:ascii="等线" w:hAnsi="等线" w:eastAsia="等线" w:cs="等线"/>
                <w:sz w:val="22"/>
              </w:rPr>
            </w:pPr>
            <w:r>
              <w:rPr>
                <w:rFonts w:hint="eastAsia" w:ascii="等线" w:hAnsi="等线" w:eastAsia="等线" w:cs="等线"/>
                <w:kern w:val="0"/>
                <w:sz w:val="22"/>
                <w:lang w:bidi="ar"/>
              </w:rPr>
              <w:t>46</w:t>
            </w:r>
          </w:p>
        </w:tc>
        <w:tc>
          <w:tcPr>
            <w:tcW w:w="8066"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5D2C76BD">
            <w:pPr>
              <w:widowControl/>
              <w:jc w:val="left"/>
              <w:textAlignment w:val="center"/>
              <w:rPr>
                <w:rFonts w:ascii="等线" w:hAnsi="等线" w:eastAsia="等线" w:cs="等线"/>
                <w:sz w:val="22"/>
              </w:rPr>
            </w:pPr>
            <w:r>
              <w:rPr>
                <w:rFonts w:hint="eastAsia" w:ascii="等线" w:hAnsi="等线" w:eastAsia="等线" w:cs="等线"/>
                <w:kern w:val="0"/>
                <w:sz w:val="22"/>
                <w:lang w:bidi="ar"/>
              </w:rPr>
              <w:t xml:space="preserve">较大环境污染事故 </w:t>
            </w:r>
          </w:p>
        </w:tc>
        <w:tc>
          <w:tcPr>
            <w:tcW w:w="1387"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5644A8A6">
            <w:pPr>
              <w:widowControl/>
              <w:jc w:val="left"/>
              <w:textAlignment w:val="center"/>
              <w:rPr>
                <w:rFonts w:ascii="等线" w:hAnsi="等线" w:eastAsia="等线" w:cs="等线"/>
                <w:sz w:val="22"/>
              </w:rPr>
            </w:pPr>
            <w:r>
              <w:rPr>
                <w:rFonts w:hint="eastAsia" w:ascii="等线" w:hAnsi="等线" w:eastAsia="等线" w:cs="等线"/>
                <w:kern w:val="0"/>
                <w:sz w:val="22"/>
                <w:lang w:bidi="ar"/>
              </w:rPr>
              <w:t>3000~6000</w:t>
            </w:r>
          </w:p>
        </w:tc>
      </w:tr>
      <w:tr w14:paraId="71D6D098">
        <w:tblPrEx>
          <w:tblCellMar>
            <w:top w:w="0" w:type="dxa"/>
            <w:left w:w="108" w:type="dxa"/>
            <w:bottom w:w="0" w:type="dxa"/>
            <w:right w:w="108" w:type="dxa"/>
          </w:tblCellMar>
        </w:tblPrEx>
        <w:trPr>
          <w:trHeight w:val="285" w:hRule="atLeast"/>
        </w:trPr>
        <w:tc>
          <w:tcPr>
            <w:tcW w:w="735"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31CBE29F">
            <w:pPr>
              <w:widowControl/>
              <w:jc w:val="center"/>
              <w:textAlignment w:val="center"/>
              <w:rPr>
                <w:rFonts w:ascii="等线" w:hAnsi="等线" w:eastAsia="等线" w:cs="等线"/>
                <w:sz w:val="22"/>
              </w:rPr>
            </w:pPr>
            <w:r>
              <w:rPr>
                <w:rFonts w:hint="eastAsia" w:ascii="等线" w:hAnsi="等线" w:eastAsia="等线" w:cs="等线"/>
                <w:kern w:val="0"/>
                <w:sz w:val="22"/>
                <w:lang w:bidi="ar"/>
              </w:rPr>
              <w:t>47</w:t>
            </w:r>
          </w:p>
        </w:tc>
        <w:tc>
          <w:tcPr>
            <w:tcW w:w="8066"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3602CA1F">
            <w:pPr>
              <w:widowControl/>
              <w:jc w:val="left"/>
              <w:textAlignment w:val="center"/>
              <w:rPr>
                <w:rFonts w:ascii="等线" w:hAnsi="等线" w:eastAsia="等线" w:cs="等线"/>
                <w:sz w:val="22"/>
              </w:rPr>
            </w:pPr>
            <w:r>
              <w:rPr>
                <w:rFonts w:hint="eastAsia" w:ascii="等线" w:hAnsi="等线" w:eastAsia="等线" w:cs="等线"/>
                <w:kern w:val="0"/>
                <w:sz w:val="22"/>
                <w:lang w:bidi="ar"/>
              </w:rPr>
              <w:t xml:space="preserve">重大及以上环境污染事故 </w:t>
            </w:r>
          </w:p>
        </w:tc>
        <w:tc>
          <w:tcPr>
            <w:tcW w:w="1387"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56F835D9">
            <w:pPr>
              <w:widowControl/>
              <w:jc w:val="left"/>
              <w:textAlignment w:val="center"/>
              <w:rPr>
                <w:rFonts w:ascii="等线" w:hAnsi="等线" w:eastAsia="等线" w:cs="等线"/>
                <w:sz w:val="22"/>
              </w:rPr>
            </w:pPr>
            <w:r>
              <w:rPr>
                <w:rFonts w:hint="eastAsia" w:ascii="等线" w:hAnsi="等线" w:eastAsia="等线" w:cs="等线"/>
                <w:sz w:val="22"/>
              </w:rPr>
              <w:t>依据CPIC制度执行</w:t>
            </w:r>
          </w:p>
        </w:tc>
      </w:tr>
      <w:tr w14:paraId="23EB38F4">
        <w:tblPrEx>
          <w:tblCellMar>
            <w:top w:w="0" w:type="dxa"/>
            <w:left w:w="108" w:type="dxa"/>
            <w:bottom w:w="0" w:type="dxa"/>
            <w:right w:w="108" w:type="dxa"/>
          </w:tblCellMar>
        </w:tblPrEx>
        <w:trPr>
          <w:trHeight w:val="700" w:hRule="atLeast"/>
        </w:trPr>
        <w:tc>
          <w:tcPr>
            <w:tcW w:w="10188" w:type="dxa"/>
            <w:gridSpan w:val="5"/>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542C75A4">
            <w:pPr>
              <w:widowControl/>
              <w:jc w:val="left"/>
              <w:textAlignment w:val="center"/>
              <w:rPr>
                <w:rFonts w:ascii="等线" w:hAnsi="等线" w:eastAsia="等线" w:cs="等线"/>
                <w:sz w:val="22"/>
              </w:rPr>
            </w:pPr>
            <w:r>
              <w:rPr>
                <w:rFonts w:hint="eastAsia" w:ascii="等线" w:hAnsi="等线" w:eastAsia="等线" w:cs="等线"/>
                <w:kern w:val="0"/>
                <w:sz w:val="22"/>
                <w:lang w:bidi="ar"/>
              </w:rPr>
              <w:t xml:space="preserve">    说明：事故级别依据《人体损伤程度鉴定标准》、CPIC《事故管理办法》的规定进行判定。事故给建设单位或第三方人员、财产造成损失的，直接经济损失应另计赔偿额。以上CPIC制度如有更新以最新制度标准为准。</w:t>
            </w:r>
          </w:p>
        </w:tc>
      </w:tr>
      <w:tr w14:paraId="15CD11D8">
        <w:tblPrEx>
          <w:tblCellMar>
            <w:top w:w="0" w:type="dxa"/>
            <w:left w:w="108" w:type="dxa"/>
            <w:bottom w:w="0" w:type="dxa"/>
            <w:right w:w="108" w:type="dxa"/>
          </w:tblCellMar>
        </w:tblPrEx>
        <w:trPr>
          <w:trHeight w:val="401" w:hRule="atLeast"/>
        </w:trPr>
        <w:tc>
          <w:tcPr>
            <w:tcW w:w="724" w:type="dxa"/>
            <w:tcBorders>
              <w:top w:val="single" w:color="000000" w:sz="4" w:space="0"/>
              <w:left w:val="single" w:color="000000" w:sz="4" w:space="0"/>
              <w:bottom w:val="single" w:color="000000" w:sz="4" w:space="0"/>
              <w:right w:val="single" w:color="auto" w:sz="4" w:space="0"/>
            </w:tcBorders>
            <w:tcMar>
              <w:top w:w="15" w:type="dxa"/>
              <w:left w:w="15" w:type="dxa"/>
              <w:bottom w:w="15" w:type="dxa"/>
              <w:right w:w="15" w:type="dxa"/>
            </w:tcMar>
            <w:vAlign w:val="center"/>
          </w:tcPr>
          <w:p w14:paraId="736EBAA3">
            <w:pPr>
              <w:widowControl/>
              <w:jc w:val="center"/>
              <w:textAlignment w:val="center"/>
              <w:rPr>
                <w:rFonts w:ascii="等线" w:hAnsi="等线" w:eastAsia="等线" w:cs="等线"/>
                <w:kern w:val="0"/>
                <w:sz w:val="22"/>
                <w:lang w:bidi="ar"/>
              </w:rPr>
            </w:pPr>
            <w:r>
              <w:rPr>
                <w:rFonts w:hint="eastAsia" w:ascii="等线" w:hAnsi="等线" w:eastAsia="等线" w:cs="等线"/>
                <w:kern w:val="0"/>
                <w:sz w:val="22"/>
                <w:lang w:bidi="ar"/>
              </w:rPr>
              <w:t>序号</w:t>
            </w:r>
          </w:p>
        </w:tc>
        <w:tc>
          <w:tcPr>
            <w:tcW w:w="8077" w:type="dxa"/>
            <w:gridSpan w:val="3"/>
            <w:tcBorders>
              <w:top w:val="single" w:color="000000" w:sz="4" w:space="0"/>
              <w:left w:val="single" w:color="000000" w:sz="4" w:space="0"/>
              <w:bottom w:val="single" w:color="000000" w:sz="4" w:space="0"/>
              <w:right w:val="single" w:color="auto" w:sz="4" w:space="0"/>
            </w:tcBorders>
            <w:tcMar>
              <w:top w:w="15" w:type="dxa"/>
              <w:left w:w="15" w:type="dxa"/>
              <w:bottom w:w="15" w:type="dxa"/>
              <w:right w:w="15" w:type="dxa"/>
            </w:tcMar>
            <w:vAlign w:val="center"/>
          </w:tcPr>
          <w:p w14:paraId="6ABD71FC">
            <w:pPr>
              <w:jc w:val="center"/>
              <w:textAlignment w:val="center"/>
              <w:rPr>
                <w:rFonts w:ascii="等线" w:hAnsi="等线" w:eastAsia="等线" w:cs="等线"/>
                <w:kern w:val="0"/>
                <w:sz w:val="22"/>
                <w:lang w:bidi="ar"/>
              </w:rPr>
            </w:pPr>
            <w:r>
              <w:rPr>
                <w:rFonts w:hint="eastAsia" w:ascii="等线" w:hAnsi="等线" w:eastAsia="等线" w:cs="等线"/>
                <w:kern w:val="0"/>
                <w:sz w:val="22"/>
                <w:lang w:bidi="ar"/>
              </w:rPr>
              <w:t>奖励条款</w:t>
            </w:r>
          </w:p>
        </w:tc>
        <w:tc>
          <w:tcPr>
            <w:tcW w:w="1387" w:type="dxa"/>
            <w:tcBorders>
              <w:top w:val="single" w:color="000000" w:sz="4" w:space="0"/>
              <w:left w:val="single" w:color="000000" w:sz="4" w:space="0"/>
              <w:bottom w:val="single" w:color="000000" w:sz="4" w:space="0"/>
              <w:right w:val="single" w:color="auto" w:sz="4" w:space="0"/>
            </w:tcBorders>
            <w:tcMar>
              <w:top w:w="15" w:type="dxa"/>
              <w:left w:w="15" w:type="dxa"/>
              <w:bottom w:w="15" w:type="dxa"/>
              <w:right w:w="15" w:type="dxa"/>
            </w:tcMar>
            <w:vAlign w:val="center"/>
          </w:tcPr>
          <w:p w14:paraId="0C97DCFD">
            <w:pPr>
              <w:jc w:val="center"/>
              <w:textAlignment w:val="center"/>
              <w:rPr>
                <w:rFonts w:ascii="等线" w:hAnsi="等线" w:eastAsia="等线" w:cs="等线"/>
                <w:kern w:val="0"/>
                <w:sz w:val="22"/>
                <w:lang w:bidi="ar"/>
              </w:rPr>
            </w:pPr>
            <w:r>
              <w:rPr>
                <w:rFonts w:hint="eastAsia" w:ascii="等线" w:hAnsi="等线" w:eastAsia="等线" w:cs="等线"/>
                <w:kern w:val="0"/>
                <w:sz w:val="22"/>
                <w:lang w:bidi="ar"/>
              </w:rPr>
              <w:t>奖励金额</w:t>
            </w:r>
          </w:p>
        </w:tc>
      </w:tr>
      <w:tr w14:paraId="36FEDBC4">
        <w:tblPrEx>
          <w:tblCellMar>
            <w:top w:w="0" w:type="dxa"/>
            <w:left w:w="108" w:type="dxa"/>
            <w:bottom w:w="0" w:type="dxa"/>
            <w:right w:w="108" w:type="dxa"/>
          </w:tblCellMar>
        </w:tblPrEx>
        <w:trPr>
          <w:trHeight w:val="170" w:hRule="atLeast"/>
        </w:trPr>
        <w:tc>
          <w:tcPr>
            <w:tcW w:w="724" w:type="dxa"/>
            <w:tcBorders>
              <w:top w:val="single" w:color="000000" w:sz="4" w:space="0"/>
              <w:left w:val="single" w:color="000000" w:sz="4" w:space="0"/>
              <w:bottom w:val="single" w:color="000000" w:sz="4" w:space="0"/>
              <w:right w:val="single" w:color="auto" w:sz="4" w:space="0"/>
            </w:tcBorders>
            <w:tcMar>
              <w:top w:w="15" w:type="dxa"/>
              <w:left w:w="15" w:type="dxa"/>
              <w:bottom w:w="15" w:type="dxa"/>
              <w:right w:w="15" w:type="dxa"/>
            </w:tcMar>
            <w:vAlign w:val="center"/>
          </w:tcPr>
          <w:p w14:paraId="5783B308">
            <w:pPr>
              <w:widowControl/>
              <w:jc w:val="center"/>
              <w:textAlignment w:val="center"/>
              <w:rPr>
                <w:rFonts w:ascii="等线" w:hAnsi="等线" w:eastAsia="等线" w:cs="等线"/>
                <w:kern w:val="0"/>
                <w:sz w:val="22"/>
                <w:lang w:bidi="ar"/>
              </w:rPr>
            </w:pPr>
            <w:r>
              <w:rPr>
                <w:rFonts w:hint="eastAsia" w:ascii="等线" w:hAnsi="等线" w:eastAsia="等线" w:cs="等线"/>
                <w:kern w:val="0"/>
                <w:sz w:val="22"/>
                <w:lang w:bidi="ar"/>
              </w:rPr>
              <w:t>48</w:t>
            </w:r>
          </w:p>
        </w:tc>
        <w:tc>
          <w:tcPr>
            <w:tcW w:w="8077" w:type="dxa"/>
            <w:gridSpan w:val="3"/>
            <w:tcBorders>
              <w:top w:val="single" w:color="000000" w:sz="4" w:space="0"/>
              <w:left w:val="single" w:color="auto" w:sz="4" w:space="0"/>
              <w:bottom w:val="single" w:color="000000" w:sz="4" w:space="0"/>
              <w:right w:val="single" w:color="auto" w:sz="4" w:space="0"/>
            </w:tcBorders>
            <w:tcMar>
              <w:top w:w="15" w:type="dxa"/>
              <w:left w:w="15" w:type="dxa"/>
              <w:bottom w:w="15" w:type="dxa"/>
              <w:right w:w="15" w:type="dxa"/>
            </w:tcMar>
            <w:vAlign w:val="center"/>
          </w:tcPr>
          <w:p w14:paraId="625D6F5B">
            <w:pPr>
              <w:widowControl/>
              <w:jc w:val="left"/>
              <w:textAlignment w:val="center"/>
              <w:rPr>
                <w:rFonts w:ascii="等线" w:hAnsi="等线" w:eastAsia="等线" w:cs="等线"/>
                <w:kern w:val="0"/>
                <w:sz w:val="22"/>
                <w:lang w:bidi="ar"/>
              </w:rPr>
            </w:pPr>
            <w:r>
              <w:rPr>
                <w:rFonts w:hint="eastAsia" w:ascii="等线" w:hAnsi="等线" w:eastAsia="等线" w:cs="等线"/>
                <w:kern w:val="0"/>
                <w:sz w:val="22"/>
                <w:lang w:bidi="ar"/>
              </w:rPr>
              <w:t>项目配备注册安全工程师（中级及以上）并保证入场执业时间</w:t>
            </w:r>
          </w:p>
        </w:tc>
        <w:tc>
          <w:tcPr>
            <w:tcW w:w="1387" w:type="dxa"/>
            <w:tcBorders>
              <w:top w:val="single" w:color="000000" w:sz="4" w:space="0"/>
              <w:left w:val="single" w:color="auto" w:sz="4" w:space="0"/>
              <w:bottom w:val="single" w:color="000000" w:sz="4" w:space="0"/>
              <w:right w:val="single" w:color="000000" w:sz="4" w:space="0"/>
            </w:tcBorders>
            <w:tcMar>
              <w:top w:w="15" w:type="dxa"/>
              <w:left w:w="15" w:type="dxa"/>
              <w:bottom w:w="15" w:type="dxa"/>
              <w:right w:w="15" w:type="dxa"/>
            </w:tcMar>
            <w:vAlign w:val="center"/>
          </w:tcPr>
          <w:p w14:paraId="73397A96">
            <w:pPr>
              <w:widowControl/>
              <w:jc w:val="left"/>
              <w:textAlignment w:val="center"/>
              <w:rPr>
                <w:rFonts w:ascii="等线" w:hAnsi="等线" w:eastAsia="等线" w:cs="等线"/>
                <w:kern w:val="0"/>
                <w:sz w:val="22"/>
                <w:lang w:bidi="ar"/>
              </w:rPr>
            </w:pPr>
            <w:r>
              <w:rPr>
                <w:rFonts w:hint="eastAsia" w:ascii="等线" w:hAnsi="等线" w:eastAsia="等线" w:cs="等线"/>
                <w:kern w:val="0"/>
                <w:sz w:val="22"/>
                <w:lang w:bidi="ar"/>
              </w:rPr>
              <w:t>≦2000</w:t>
            </w:r>
          </w:p>
        </w:tc>
      </w:tr>
      <w:tr w14:paraId="3BC86C66">
        <w:tblPrEx>
          <w:tblCellMar>
            <w:top w:w="0" w:type="dxa"/>
            <w:left w:w="108" w:type="dxa"/>
            <w:bottom w:w="0" w:type="dxa"/>
            <w:right w:w="108" w:type="dxa"/>
          </w:tblCellMar>
        </w:tblPrEx>
        <w:trPr>
          <w:trHeight w:val="170" w:hRule="atLeast"/>
        </w:trPr>
        <w:tc>
          <w:tcPr>
            <w:tcW w:w="724" w:type="dxa"/>
            <w:tcBorders>
              <w:top w:val="single" w:color="000000" w:sz="4" w:space="0"/>
              <w:left w:val="single" w:color="000000" w:sz="4" w:space="0"/>
              <w:bottom w:val="single" w:color="000000" w:sz="4" w:space="0"/>
              <w:right w:val="single" w:color="auto" w:sz="4" w:space="0"/>
            </w:tcBorders>
            <w:tcMar>
              <w:top w:w="15" w:type="dxa"/>
              <w:left w:w="15" w:type="dxa"/>
              <w:bottom w:w="15" w:type="dxa"/>
              <w:right w:w="15" w:type="dxa"/>
            </w:tcMar>
            <w:vAlign w:val="center"/>
          </w:tcPr>
          <w:p w14:paraId="1B17B7C2">
            <w:pPr>
              <w:widowControl/>
              <w:jc w:val="center"/>
              <w:textAlignment w:val="center"/>
              <w:rPr>
                <w:rFonts w:ascii="等线" w:hAnsi="等线" w:eastAsia="等线" w:cs="等线"/>
                <w:kern w:val="0"/>
                <w:sz w:val="22"/>
                <w:lang w:bidi="ar"/>
              </w:rPr>
            </w:pPr>
            <w:r>
              <w:rPr>
                <w:rFonts w:ascii="等线" w:hAnsi="等线" w:eastAsia="等线" w:cs="等线"/>
                <w:kern w:val="0"/>
                <w:sz w:val="22"/>
                <w:lang w:bidi="ar"/>
              </w:rPr>
              <w:t>4</w:t>
            </w:r>
            <w:r>
              <w:rPr>
                <w:rFonts w:hint="eastAsia" w:ascii="等线" w:hAnsi="等线" w:eastAsia="等线" w:cs="等线"/>
                <w:kern w:val="0"/>
                <w:sz w:val="22"/>
                <w:lang w:bidi="ar"/>
              </w:rPr>
              <w:t>9</w:t>
            </w:r>
          </w:p>
        </w:tc>
        <w:tc>
          <w:tcPr>
            <w:tcW w:w="8077" w:type="dxa"/>
            <w:gridSpan w:val="3"/>
            <w:tcBorders>
              <w:top w:val="single" w:color="000000" w:sz="4" w:space="0"/>
              <w:left w:val="single" w:color="auto" w:sz="4" w:space="0"/>
              <w:bottom w:val="single" w:color="000000" w:sz="4" w:space="0"/>
              <w:right w:val="single" w:color="auto" w:sz="4" w:space="0"/>
            </w:tcBorders>
            <w:tcMar>
              <w:top w:w="15" w:type="dxa"/>
              <w:left w:w="15" w:type="dxa"/>
              <w:bottom w:w="15" w:type="dxa"/>
              <w:right w:w="15" w:type="dxa"/>
            </w:tcMar>
            <w:vAlign w:val="center"/>
          </w:tcPr>
          <w:p w14:paraId="70356C64">
            <w:pPr>
              <w:widowControl/>
              <w:jc w:val="left"/>
              <w:textAlignment w:val="center"/>
              <w:rPr>
                <w:rFonts w:ascii="等线" w:hAnsi="等线" w:eastAsia="等线" w:cs="等线"/>
                <w:kern w:val="0"/>
                <w:sz w:val="22"/>
                <w:lang w:bidi="ar"/>
              </w:rPr>
            </w:pPr>
            <w:r>
              <w:rPr>
                <w:rFonts w:hint="eastAsia" w:ascii="等线" w:hAnsi="等线" w:eastAsia="等线" w:cs="等线"/>
                <w:kern w:val="0"/>
                <w:sz w:val="22"/>
                <w:lang w:bidi="ar"/>
              </w:rPr>
              <w:t>政府、建设单位组织的承包商考评中获得优秀</w:t>
            </w:r>
          </w:p>
        </w:tc>
        <w:tc>
          <w:tcPr>
            <w:tcW w:w="1387" w:type="dxa"/>
            <w:tcBorders>
              <w:top w:val="single" w:color="000000" w:sz="4" w:space="0"/>
              <w:left w:val="single" w:color="auto" w:sz="4" w:space="0"/>
              <w:bottom w:val="single" w:color="000000" w:sz="4" w:space="0"/>
              <w:right w:val="single" w:color="000000" w:sz="4" w:space="0"/>
            </w:tcBorders>
            <w:tcMar>
              <w:top w:w="15" w:type="dxa"/>
              <w:left w:w="15" w:type="dxa"/>
              <w:bottom w:w="15" w:type="dxa"/>
              <w:right w:w="15" w:type="dxa"/>
            </w:tcMar>
            <w:vAlign w:val="center"/>
          </w:tcPr>
          <w:p w14:paraId="328F8DC2">
            <w:pPr>
              <w:widowControl/>
              <w:jc w:val="left"/>
              <w:textAlignment w:val="center"/>
              <w:rPr>
                <w:rFonts w:ascii="等线" w:hAnsi="等线" w:eastAsia="等线" w:cs="等线"/>
                <w:kern w:val="0"/>
                <w:sz w:val="22"/>
                <w:lang w:bidi="ar"/>
              </w:rPr>
            </w:pPr>
            <w:r>
              <w:rPr>
                <w:rFonts w:hint="eastAsia" w:ascii="等线" w:hAnsi="等线" w:eastAsia="等线" w:cs="等线"/>
                <w:kern w:val="0"/>
                <w:sz w:val="22"/>
                <w:lang w:bidi="ar"/>
              </w:rPr>
              <w:t>≦5000</w:t>
            </w:r>
          </w:p>
        </w:tc>
      </w:tr>
      <w:tr w14:paraId="437B9F89">
        <w:tblPrEx>
          <w:tblCellMar>
            <w:top w:w="0" w:type="dxa"/>
            <w:left w:w="108" w:type="dxa"/>
            <w:bottom w:w="0" w:type="dxa"/>
            <w:right w:w="108" w:type="dxa"/>
          </w:tblCellMar>
        </w:tblPrEx>
        <w:trPr>
          <w:trHeight w:val="170" w:hRule="atLeast"/>
        </w:trPr>
        <w:tc>
          <w:tcPr>
            <w:tcW w:w="724" w:type="dxa"/>
            <w:tcBorders>
              <w:top w:val="single" w:color="000000" w:sz="4" w:space="0"/>
              <w:left w:val="single" w:color="000000" w:sz="4" w:space="0"/>
              <w:bottom w:val="single" w:color="000000" w:sz="4" w:space="0"/>
              <w:right w:val="single" w:color="auto" w:sz="4" w:space="0"/>
            </w:tcBorders>
            <w:tcMar>
              <w:top w:w="15" w:type="dxa"/>
              <w:left w:w="15" w:type="dxa"/>
              <w:bottom w:w="15" w:type="dxa"/>
              <w:right w:w="15" w:type="dxa"/>
            </w:tcMar>
            <w:vAlign w:val="center"/>
          </w:tcPr>
          <w:p w14:paraId="2331D0BE">
            <w:pPr>
              <w:widowControl/>
              <w:jc w:val="center"/>
              <w:textAlignment w:val="center"/>
              <w:rPr>
                <w:rFonts w:ascii="等线" w:hAnsi="等线" w:eastAsia="等线" w:cs="等线"/>
                <w:kern w:val="0"/>
                <w:sz w:val="22"/>
                <w:lang w:bidi="ar"/>
              </w:rPr>
            </w:pPr>
            <w:r>
              <w:rPr>
                <w:rFonts w:hint="eastAsia" w:ascii="等线" w:hAnsi="等线" w:eastAsia="等线" w:cs="等线"/>
                <w:kern w:val="0"/>
                <w:sz w:val="22"/>
                <w:lang w:bidi="ar"/>
              </w:rPr>
              <w:t>50</w:t>
            </w:r>
          </w:p>
        </w:tc>
        <w:tc>
          <w:tcPr>
            <w:tcW w:w="8077" w:type="dxa"/>
            <w:gridSpan w:val="3"/>
            <w:tcBorders>
              <w:top w:val="single" w:color="000000" w:sz="4" w:space="0"/>
              <w:left w:val="single" w:color="auto" w:sz="4" w:space="0"/>
              <w:bottom w:val="single" w:color="000000" w:sz="4" w:space="0"/>
              <w:right w:val="single" w:color="auto" w:sz="4" w:space="0"/>
            </w:tcBorders>
            <w:tcMar>
              <w:top w:w="15" w:type="dxa"/>
              <w:left w:w="15" w:type="dxa"/>
              <w:bottom w:w="15" w:type="dxa"/>
              <w:right w:w="15" w:type="dxa"/>
            </w:tcMar>
            <w:vAlign w:val="center"/>
          </w:tcPr>
          <w:p w14:paraId="014618B7">
            <w:pPr>
              <w:widowControl/>
              <w:jc w:val="left"/>
              <w:textAlignment w:val="center"/>
              <w:rPr>
                <w:rFonts w:ascii="等线" w:hAnsi="等线" w:eastAsia="等线" w:cs="等线"/>
                <w:kern w:val="0"/>
                <w:sz w:val="22"/>
                <w:lang w:bidi="ar"/>
              </w:rPr>
            </w:pPr>
            <w:r>
              <w:rPr>
                <w:rFonts w:hint="eastAsia" w:ascii="等线" w:hAnsi="等线" w:eastAsia="等线" w:cs="等线"/>
                <w:kern w:val="0"/>
                <w:sz w:val="22"/>
                <w:lang w:bidi="ar"/>
              </w:rPr>
              <w:t>加大投入力度，采用较行业更安全防护措施。</w:t>
            </w:r>
          </w:p>
        </w:tc>
        <w:tc>
          <w:tcPr>
            <w:tcW w:w="1387" w:type="dxa"/>
            <w:tcBorders>
              <w:top w:val="single" w:color="000000" w:sz="4" w:space="0"/>
              <w:left w:val="single" w:color="auto" w:sz="4" w:space="0"/>
              <w:bottom w:val="single" w:color="000000" w:sz="4" w:space="0"/>
              <w:right w:val="single" w:color="000000" w:sz="4" w:space="0"/>
            </w:tcBorders>
            <w:tcMar>
              <w:top w:w="15" w:type="dxa"/>
              <w:left w:w="15" w:type="dxa"/>
              <w:bottom w:w="15" w:type="dxa"/>
              <w:right w:w="15" w:type="dxa"/>
            </w:tcMar>
            <w:vAlign w:val="center"/>
          </w:tcPr>
          <w:p w14:paraId="08363375">
            <w:pPr>
              <w:widowControl/>
              <w:jc w:val="left"/>
              <w:textAlignment w:val="center"/>
              <w:rPr>
                <w:rFonts w:ascii="等线" w:hAnsi="等线" w:eastAsia="等线" w:cs="等线"/>
                <w:kern w:val="0"/>
                <w:sz w:val="22"/>
                <w:lang w:bidi="ar"/>
              </w:rPr>
            </w:pPr>
            <w:r>
              <w:rPr>
                <w:rFonts w:hint="eastAsia" w:ascii="等线" w:hAnsi="等线" w:eastAsia="等线" w:cs="等线"/>
                <w:kern w:val="0"/>
                <w:sz w:val="22"/>
                <w:lang w:bidi="ar"/>
              </w:rPr>
              <w:t>≦3000</w:t>
            </w:r>
          </w:p>
        </w:tc>
      </w:tr>
      <w:tr w14:paraId="5543CBE0">
        <w:tblPrEx>
          <w:tblCellMar>
            <w:top w:w="0" w:type="dxa"/>
            <w:left w:w="108" w:type="dxa"/>
            <w:bottom w:w="0" w:type="dxa"/>
            <w:right w:w="108" w:type="dxa"/>
          </w:tblCellMar>
        </w:tblPrEx>
        <w:trPr>
          <w:trHeight w:val="170" w:hRule="atLeast"/>
        </w:trPr>
        <w:tc>
          <w:tcPr>
            <w:tcW w:w="724" w:type="dxa"/>
            <w:tcBorders>
              <w:top w:val="single" w:color="000000" w:sz="4" w:space="0"/>
              <w:left w:val="single" w:color="000000" w:sz="4" w:space="0"/>
              <w:bottom w:val="single" w:color="000000" w:sz="4" w:space="0"/>
              <w:right w:val="single" w:color="auto" w:sz="4" w:space="0"/>
            </w:tcBorders>
            <w:tcMar>
              <w:top w:w="15" w:type="dxa"/>
              <w:left w:w="15" w:type="dxa"/>
              <w:bottom w:w="15" w:type="dxa"/>
              <w:right w:w="15" w:type="dxa"/>
            </w:tcMar>
            <w:vAlign w:val="center"/>
          </w:tcPr>
          <w:p w14:paraId="6C8D7955">
            <w:pPr>
              <w:widowControl/>
              <w:jc w:val="center"/>
              <w:textAlignment w:val="center"/>
              <w:rPr>
                <w:rFonts w:ascii="等线" w:hAnsi="等线" w:eastAsia="等线" w:cs="等线"/>
                <w:kern w:val="0"/>
                <w:sz w:val="22"/>
                <w:lang w:bidi="ar"/>
              </w:rPr>
            </w:pPr>
            <w:r>
              <w:rPr>
                <w:rFonts w:ascii="等线" w:hAnsi="等线" w:eastAsia="等线" w:cs="等线"/>
                <w:kern w:val="0"/>
                <w:sz w:val="22"/>
                <w:lang w:bidi="ar"/>
              </w:rPr>
              <w:t>5</w:t>
            </w:r>
            <w:r>
              <w:rPr>
                <w:rFonts w:hint="eastAsia" w:ascii="等线" w:hAnsi="等线" w:eastAsia="等线" w:cs="等线"/>
                <w:kern w:val="0"/>
                <w:sz w:val="22"/>
                <w:lang w:bidi="ar"/>
              </w:rPr>
              <w:t>1</w:t>
            </w:r>
          </w:p>
        </w:tc>
        <w:tc>
          <w:tcPr>
            <w:tcW w:w="8077" w:type="dxa"/>
            <w:gridSpan w:val="3"/>
            <w:tcBorders>
              <w:top w:val="single" w:color="000000" w:sz="4" w:space="0"/>
              <w:left w:val="single" w:color="auto" w:sz="4" w:space="0"/>
              <w:bottom w:val="single" w:color="000000" w:sz="4" w:space="0"/>
              <w:right w:val="single" w:color="auto" w:sz="4" w:space="0"/>
            </w:tcBorders>
            <w:tcMar>
              <w:top w:w="15" w:type="dxa"/>
              <w:left w:w="15" w:type="dxa"/>
              <w:bottom w:w="15" w:type="dxa"/>
              <w:right w:w="15" w:type="dxa"/>
            </w:tcMar>
            <w:vAlign w:val="center"/>
          </w:tcPr>
          <w:p w14:paraId="43AF57F9">
            <w:pPr>
              <w:widowControl/>
              <w:jc w:val="left"/>
              <w:textAlignment w:val="center"/>
              <w:rPr>
                <w:rFonts w:ascii="等线" w:hAnsi="等线" w:eastAsia="等线" w:cs="等线"/>
                <w:kern w:val="0"/>
                <w:sz w:val="22"/>
                <w:lang w:bidi="ar"/>
              </w:rPr>
            </w:pPr>
            <w:r>
              <w:rPr>
                <w:rFonts w:hint="eastAsia" w:ascii="等线" w:hAnsi="等线" w:eastAsia="等线" w:cs="等线"/>
                <w:kern w:val="0"/>
                <w:sz w:val="22"/>
                <w:lang w:bidi="ar"/>
              </w:rPr>
              <w:t>率先创新实施有代表性并可广泛推广的安全措施</w:t>
            </w:r>
          </w:p>
        </w:tc>
        <w:tc>
          <w:tcPr>
            <w:tcW w:w="1387" w:type="dxa"/>
            <w:tcBorders>
              <w:top w:val="single" w:color="000000" w:sz="4" w:space="0"/>
              <w:left w:val="single" w:color="auto" w:sz="4" w:space="0"/>
              <w:bottom w:val="single" w:color="000000" w:sz="4" w:space="0"/>
              <w:right w:val="single" w:color="000000" w:sz="4" w:space="0"/>
            </w:tcBorders>
            <w:tcMar>
              <w:top w:w="15" w:type="dxa"/>
              <w:left w:w="15" w:type="dxa"/>
              <w:bottom w:w="15" w:type="dxa"/>
              <w:right w:w="15" w:type="dxa"/>
            </w:tcMar>
            <w:vAlign w:val="center"/>
          </w:tcPr>
          <w:p w14:paraId="2D9926D0">
            <w:pPr>
              <w:widowControl/>
              <w:jc w:val="left"/>
              <w:textAlignment w:val="center"/>
              <w:rPr>
                <w:rFonts w:ascii="等线" w:hAnsi="等线" w:eastAsia="等线" w:cs="等线"/>
                <w:kern w:val="0"/>
                <w:sz w:val="22"/>
                <w:lang w:bidi="ar"/>
              </w:rPr>
            </w:pPr>
            <w:r>
              <w:rPr>
                <w:rFonts w:hint="eastAsia" w:ascii="等线" w:hAnsi="等线" w:eastAsia="等线" w:cs="等线"/>
                <w:kern w:val="0"/>
                <w:sz w:val="22"/>
                <w:lang w:bidi="ar"/>
              </w:rPr>
              <w:t>≦3000</w:t>
            </w:r>
          </w:p>
        </w:tc>
      </w:tr>
      <w:tr w14:paraId="1BA6A63A">
        <w:tblPrEx>
          <w:tblCellMar>
            <w:top w:w="0" w:type="dxa"/>
            <w:left w:w="108" w:type="dxa"/>
            <w:bottom w:w="0" w:type="dxa"/>
            <w:right w:w="108" w:type="dxa"/>
          </w:tblCellMar>
        </w:tblPrEx>
        <w:trPr>
          <w:trHeight w:val="170" w:hRule="atLeast"/>
        </w:trPr>
        <w:tc>
          <w:tcPr>
            <w:tcW w:w="724" w:type="dxa"/>
            <w:tcBorders>
              <w:top w:val="single" w:color="000000" w:sz="4" w:space="0"/>
              <w:left w:val="single" w:color="000000" w:sz="4" w:space="0"/>
              <w:bottom w:val="single" w:color="000000" w:sz="4" w:space="0"/>
              <w:right w:val="single" w:color="auto" w:sz="4" w:space="0"/>
            </w:tcBorders>
            <w:tcMar>
              <w:top w:w="15" w:type="dxa"/>
              <w:left w:w="15" w:type="dxa"/>
              <w:bottom w:w="15" w:type="dxa"/>
              <w:right w:w="15" w:type="dxa"/>
            </w:tcMar>
            <w:vAlign w:val="center"/>
          </w:tcPr>
          <w:p w14:paraId="5421618C">
            <w:pPr>
              <w:widowControl/>
              <w:jc w:val="center"/>
              <w:textAlignment w:val="center"/>
              <w:rPr>
                <w:rFonts w:ascii="等线" w:hAnsi="等线" w:eastAsia="等线" w:cs="等线"/>
                <w:kern w:val="0"/>
                <w:sz w:val="22"/>
                <w:lang w:bidi="ar"/>
              </w:rPr>
            </w:pPr>
            <w:r>
              <w:rPr>
                <w:rFonts w:hint="eastAsia" w:ascii="等线" w:hAnsi="等线" w:eastAsia="等线" w:cs="等线"/>
                <w:kern w:val="0"/>
                <w:sz w:val="22"/>
                <w:lang w:bidi="ar"/>
              </w:rPr>
              <w:t>52</w:t>
            </w:r>
          </w:p>
        </w:tc>
        <w:tc>
          <w:tcPr>
            <w:tcW w:w="8077" w:type="dxa"/>
            <w:gridSpan w:val="3"/>
            <w:tcBorders>
              <w:top w:val="single" w:color="000000" w:sz="4" w:space="0"/>
              <w:left w:val="single" w:color="auto" w:sz="4" w:space="0"/>
              <w:bottom w:val="single" w:color="000000" w:sz="4" w:space="0"/>
              <w:right w:val="single" w:color="auto" w:sz="4" w:space="0"/>
            </w:tcBorders>
            <w:tcMar>
              <w:top w:w="15" w:type="dxa"/>
              <w:left w:w="15" w:type="dxa"/>
              <w:bottom w:w="15" w:type="dxa"/>
              <w:right w:w="15" w:type="dxa"/>
            </w:tcMar>
            <w:vAlign w:val="center"/>
          </w:tcPr>
          <w:p w14:paraId="4478AC30">
            <w:pPr>
              <w:widowControl/>
              <w:jc w:val="left"/>
              <w:textAlignment w:val="center"/>
              <w:rPr>
                <w:rFonts w:ascii="等线" w:hAnsi="等线" w:eastAsia="等线" w:cs="等线"/>
                <w:kern w:val="0"/>
                <w:sz w:val="22"/>
                <w:lang w:bidi="ar"/>
              </w:rPr>
            </w:pPr>
            <w:r>
              <w:rPr>
                <w:rFonts w:hint="eastAsia" w:ascii="等线" w:hAnsi="等线" w:eastAsia="等线" w:cs="等线"/>
                <w:kern w:val="0"/>
                <w:sz w:val="22"/>
                <w:lang w:bidi="ar"/>
              </w:rPr>
              <w:t>积极发现他方安全隐患、安全违章。</w:t>
            </w:r>
          </w:p>
        </w:tc>
        <w:tc>
          <w:tcPr>
            <w:tcW w:w="1387" w:type="dxa"/>
            <w:tcBorders>
              <w:top w:val="single" w:color="000000" w:sz="4" w:space="0"/>
              <w:left w:val="single" w:color="auto" w:sz="4" w:space="0"/>
              <w:bottom w:val="single" w:color="000000" w:sz="4" w:space="0"/>
              <w:right w:val="single" w:color="000000" w:sz="4" w:space="0"/>
            </w:tcBorders>
            <w:tcMar>
              <w:top w:w="15" w:type="dxa"/>
              <w:left w:w="15" w:type="dxa"/>
              <w:bottom w:w="15" w:type="dxa"/>
              <w:right w:w="15" w:type="dxa"/>
            </w:tcMar>
            <w:vAlign w:val="center"/>
          </w:tcPr>
          <w:p w14:paraId="4BE6F9C3">
            <w:pPr>
              <w:widowControl/>
              <w:jc w:val="left"/>
              <w:textAlignment w:val="center"/>
              <w:rPr>
                <w:rFonts w:ascii="等线" w:hAnsi="等线" w:eastAsia="等线" w:cs="等线"/>
                <w:kern w:val="0"/>
                <w:sz w:val="22"/>
                <w:lang w:bidi="ar"/>
              </w:rPr>
            </w:pPr>
            <w:r>
              <w:rPr>
                <w:rFonts w:hint="eastAsia" w:ascii="等线" w:hAnsi="等线" w:eastAsia="等线" w:cs="等线"/>
                <w:kern w:val="0"/>
                <w:sz w:val="22"/>
                <w:lang w:bidi="ar"/>
              </w:rPr>
              <w:t>≦1000</w:t>
            </w:r>
          </w:p>
        </w:tc>
      </w:tr>
      <w:tr w14:paraId="153272F7">
        <w:tblPrEx>
          <w:tblCellMar>
            <w:top w:w="0" w:type="dxa"/>
            <w:left w:w="108" w:type="dxa"/>
            <w:bottom w:w="0" w:type="dxa"/>
            <w:right w:w="108" w:type="dxa"/>
          </w:tblCellMar>
        </w:tblPrEx>
        <w:trPr>
          <w:trHeight w:val="170" w:hRule="atLeast"/>
        </w:trPr>
        <w:tc>
          <w:tcPr>
            <w:tcW w:w="724" w:type="dxa"/>
            <w:tcBorders>
              <w:top w:val="single" w:color="000000" w:sz="4" w:space="0"/>
              <w:left w:val="single" w:color="000000" w:sz="4" w:space="0"/>
              <w:bottom w:val="single" w:color="000000" w:sz="4" w:space="0"/>
              <w:right w:val="single" w:color="auto" w:sz="4" w:space="0"/>
            </w:tcBorders>
            <w:tcMar>
              <w:top w:w="15" w:type="dxa"/>
              <w:left w:w="15" w:type="dxa"/>
              <w:bottom w:w="15" w:type="dxa"/>
              <w:right w:w="15" w:type="dxa"/>
            </w:tcMar>
            <w:vAlign w:val="center"/>
          </w:tcPr>
          <w:p w14:paraId="4DC211AB">
            <w:pPr>
              <w:widowControl/>
              <w:jc w:val="center"/>
              <w:textAlignment w:val="center"/>
              <w:rPr>
                <w:rFonts w:ascii="等线" w:hAnsi="等线" w:eastAsia="等线" w:cs="等线"/>
                <w:kern w:val="0"/>
                <w:sz w:val="22"/>
                <w:lang w:bidi="ar"/>
              </w:rPr>
            </w:pPr>
            <w:r>
              <w:rPr>
                <w:rFonts w:hint="eastAsia" w:ascii="等线" w:hAnsi="等线" w:eastAsia="等线" w:cs="等线"/>
                <w:kern w:val="0"/>
                <w:sz w:val="22"/>
                <w:lang w:bidi="ar"/>
              </w:rPr>
              <w:t>53</w:t>
            </w:r>
          </w:p>
        </w:tc>
        <w:tc>
          <w:tcPr>
            <w:tcW w:w="8077" w:type="dxa"/>
            <w:gridSpan w:val="3"/>
            <w:tcBorders>
              <w:top w:val="single" w:color="000000" w:sz="4" w:space="0"/>
              <w:left w:val="single" w:color="auto" w:sz="4" w:space="0"/>
              <w:bottom w:val="single" w:color="000000" w:sz="4" w:space="0"/>
              <w:right w:val="single" w:color="auto" w:sz="4" w:space="0"/>
            </w:tcBorders>
            <w:tcMar>
              <w:top w:w="15" w:type="dxa"/>
              <w:left w:w="15" w:type="dxa"/>
              <w:bottom w:w="15" w:type="dxa"/>
              <w:right w:w="15" w:type="dxa"/>
            </w:tcMar>
            <w:vAlign w:val="center"/>
          </w:tcPr>
          <w:p w14:paraId="61E36F19">
            <w:pPr>
              <w:widowControl/>
              <w:jc w:val="left"/>
              <w:textAlignment w:val="center"/>
              <w:rPr>
                <w:rFonts w:ascii="等线" w:hAnsi="等线" w:eastAsia="等线" w:cs="等线"/>
                <w:kern w:val="0"/>
                <w:sz w:val="22"/>
                <w:lang w:bidi="ar"/>
              </w:rPr>
            </w:pPr>
            <w:r>
              <w:rPr>
                <w:rFonts w:hint="eastAsia" w:ascii="等线" w:hAnsi="等线" w:eastAsia="等线" w:cs="等线"/>
                <w:kern w:val="0"/>
                <w:sz w:val="22"/>
                <w:lang w:bidi="ar"/>
              </w:rPr>
              <w:t>为业主方提供安全合理化管理建议并被采纳，组织开展安全规范化创建活动并取得良好效果。</w:t>
            </w:r>
          </w:p>
        </w:tc>
        <w:tc>
          <w:tcPr>
            <w:tcW w:w="1387" w:type="dxa"/>
            <w:tcBorders>
              <w:top w:val="single" w:color="000000" w:sz="4" w:space="0"/>
              <w:left w:val="single" w:color="auto" w:sz="4" w:space="0"/>
              <w:bottom w:val="single" w:color="000000" w:sz="4" w:space="0"/>
              <w:right w:val="single" w:color="000000" w:sz="4" w:space="0"/>
            </w:tcBorders>
            <w:tcMar>
              <w:top w:w="15" w:type="dxa"/>
              <w:left w:w="15" w:type="dxa"/>
              <w:bottom w:w="15" w:type="dxa"/>
              <w:right w:w="15" w:type="dxa"/>
            </w:tcMar>
            <w:vAlign w:val="center"/>
          </w:tcPr>
          <w:p w14:paraId="790B1B44">
            <w:pPr>
              <w:widowControl/>
              <w:jc w:val="left"/>
              <w:textAlignment w:val="center"/>
              <w:rPr>
                <w:rFonts w:ascii="等线" w:hAnsi="等线" w:eastAsia="等线" w:cs="等线"/>
                <w:kern w:val="0"/>
                <w:sz w:val="22"/>
                <w:lang w:bidi="ar"/>
              </w:rPr>
            </w:pPr>
            <w:r>
              <w:rPr>
                <w:rFonts w:hint="eastAsia" w:ascii="等线" w:hAnsi="等线" w:eastAsia="等线" w:cs="等线"/>
                <w:kern w:val="0"/>
                <w:sz w:val="22"/>
                <w:lang w:bidi="ar"/>
              </w:rPr>
              <w:t>≦3000</w:t>
            </w:r>
          </w:p>
        </w:tc>
      </w:tr>
      <w:tr w14:paraId="4D5AF4C1">
        <w:tblPrEx>
          <w:tblCellMar>
            <w:top w:w="0" w:type="dxa"/>
            <w:left w:w="108" w:type="dxa"/>
            <w:bottom w:w="0" w:type="dxa"/>
            <w:right w:w="108" w:type="dxa"/>
          </w:tblCellMar>
        </w:tblPrEx>
        <w:trPr>
          <w:trHeight w:val="170" w:hRule="atLeast"/>
        </w:trPr>
        <w:tc>
          <w:tcPr>
            <w:tcW w:w="724" w:type="dxa"/>
            <w:tcBorders>
              <w:top w:val="single" w:color="000000" w:sz="4" w:space="0"/>
              <w:left w:val="single" w:color="000000" w:sz="4" w:space="0"/>
              <w:bottom w:val="single" w:color="000000" w:sz="4" w:space="0"/>
              <w:right w:val="single" w:color="auto" w:sz="4" w:space="0"/>
            </w:tcBorders>
            <w:tcMar>
              <w:top w:w="15" w:type="dxa"/>
              <w:left w:w="15" w:type="dxa"/>
              <w:bottom w:w="15" w:type="dxa"/>
              <w:right w:w="15" w:type="dxa"/>
            </w:tcMar>
            <w:vAlign w:val="center"/>
          </w:tcPr>
          <w:p w14:paraId="742E539D">
            <w:pPr>
              <w:widowControl/>
              <w:jc w:val="center"/>
              <w:textAlignment w:val="center"/>
              <w:rPr>
                <w:rFonts w:ascii="等线" w:hAnsi="等线" w:eastAsia="等线" w:cs="等线"/>
                <w:kern w:val="0"/>
                <w:sz w:val="22"/>
                <w:lang w:bidi="ar"/>
              </w:rPr>
            </w:pPr>
            <w:r>
              <w:rPr>
                <w:rFonts w:hint="eastAsia" w:ascii="等线" w:hAnsi="等线" w:eastAsia="等线" w:cs="等线"/>
                <w:kern w:val="0"/>
                <w:sz w:val="22"/>
                <w:lang w:bidi="ar"/>
              </w:rPr>
              <w:t>54</w:t>
            </w:r>
          </w:p>
        </w:tc>
        <w:tc>
          <w:tcPr>
            <w:tcW w:w="8077" w:type="dxa"/>
            <w:gridSpan w:val="3"/>
            <w:tcBorders>
              <w:top w:val="single" w:color="000000" w:sz="4" w:space="0"/>
              <w:left w:val="single" w:color="auto" w:sz="4" w:space="0"/>
              <w:bottom w:val="single" w:color="000000" w:sz="4" w:space="0"/>
              <w:right w:val="single" w:color="auto" w:sz="4" w:space="0"/>
            </w:tcBorders>
            <w:tcMar>
              <w:top w:w="15" w:type="dxa"/>
              <w:left w:w="15" w:type="dxa"/>
              <w:bottom w:w="15" w:type="dxa"/>
              <w:right w:w="15" w:type="dxa"/>
            </w:tcMar>
            <w:vAlign w:val="center"/>
          </w:tcPr>
          <w:p w14:paraId="10C9BDC9">
            <w:pPr>
              <w:widowControl/>
              <w:jc w:val="left"/>
              <w:textAlignment w:val="center"/>
              <w:rPr>
                <w:rFonts w:ascii="等线" w:hAnsi="等线" w:eastAsia="等线" w:cs="等线"/>
                <w:kern w:val="0"/>
                <w:sz w:val="22"/>
                <w:lang w:bidi="ar"/>
              </w:rPr>
            </w:pPr>
            <w:r>
              <w:rPr>
                <w:rFonts w:hint="eastAsia" w:ascii="等线" w:hAnsi="等线" w:eastAsia="等线" w:cs="等线"/>
                <w:kern w:val="0"/>
                <w:sz w:val="22"/>
                <w:lang w:bidi="ar"/>
              </w:rPr>
              <w:t>施工现场安全文明受到政府主管部门、建设单位高层领导表彰</w:t>
            </w:r>
          </w:p>
        </w:tc>
        <w:tc>
          <w:tcPr>
            <w:tcW w:w="1387" w:type="dxa"/>
            <w:tcBorders>
              <w:top w:val="single" w:color="000000" w:sz="4" w:space="0"/>
              <w:left w:val="single" w:color="auto" w:sz="4" w:space="0"/>
              <w:bottom w:val="single" w:color="000000" w:sz="4" w:space="0"/>
              <w:right w:val="single" w:color="000000" w:sz="4" w:space="0"/>
            </w:tcBorders>
            <w:tcMar>
              <w:top w:w="15" w:type="dxa"/>
              <w:left w:w="15" w:type="dxa"/>
              <w:bottom w:w="15" w:type="dxa"/>
              <w:right w:w="15" w:type="dxa"/>
            </w:tcMar>
            <w:vAlign w:val="center"/>
          </w:tcPr>
          <w:p w14:paraId="69ED6F3B">
            <w:pPr>
              <w:widowControl/>
              <w:jc w:val="left"/>
              <w:textAlignment w:val="center"/>
              <w:rPr>
                <w:rFonts w:ascii="等线" w:hAnsi="等线" w:eastAsia="等线" w:cs="等线"/>
                <w:b/>
                <w:kern w:val="0"/>
                <w:sz w:val="22"/>
                <w:lang w:bidi="ar"/>
              </w:rPr>
            </w:pPr>
            <w:r>
              <w:rPr>
                <w:rFonts w:hint="eastAsia" w:ascii="等线" w:hAnsi="等线" w:eastAsia="等线" w:cs="等线"/>
                <w:kern w:val="0"/>
                <w:sz w:val="22"/>
                <w:lang w:bidi="ar"/>
              </w:rPr>
              <w:t>≦3000</w:t>
            </w:r>
          </w:p>
        </w:tc>
      </w:tr>
      <w:tr w14:paraId="70F63EFB">
        <w:tblPrEx>
          <w:tblCellMar>
            <w:top w:w="0" w:type="dxa"/>
            <w:left w:w="108" w:type="dxa"/>
            <w:bottom w:w="0" w:type="dxa"/>
            <w:right w:w="108" w:type="dxa"/>
          </w:tblCellMar>
        </w:tblPrEx>
        <w:trPr>
          <w:trHeight w:val="170" w:hRule="atLeast"/>
        </w:trPr>
        <w:tc>
          <w:tcPr>
            <w:tcW w:w="724" w:type="dxa"/>
            <w:tcBorders>
              <w:top w:val="single" w:color="000000" w:sz="4" w:space="0"/>
              <w:left w:val="single" w:color="000000" w:sz="4" w:space="0"/>
              <w:bottom w:val="single" w:color="000000" w:sz="4" w:space="0"/>
              <w:right w:val="single" w:color="auto" w:sz="4" w:space="0"/>
            </w:tcBorders>
            <w:tcMar>
              <w:top w:w="15" w:type="dxa"/>
              <w:left w:w="15" w:type="dxa"/>
              <w:bottom w:w="15" w:type="dxa"/>
              <w:right w:w="15" w:type="dxa"/>
            </w:tcMar>
            <w:vAlign w:val="center"/>
          </w:tcPr>
          <w:p w14:paraId="0A681A65">
            <w:pPr>
              <w:widowControl/>
              <w:jc w:val="center"/>
              <w:textAlignment w:val="center"/>
              <w:rPr>
                <w:rFonts w:ascii="等线" w:hAnsi="等线" w:eastAsia="等线" w:cs="等线"/>
                <w:kern w:val="0"/>
                <w:sz w:val="22"/>
                <w:lang w:bidi="ar"/>
              </w:rPr>
            </w:pPr>
            <w:r>
              <w:rPr>
                <w:rFonts w:hint="eastAsia" w:ascii="等线" w:hAnsi="等线" w:eastAsia="等线" w:cs="等线"/>
                <w:kern w:val="0"/>
                <w:sz w:val="22"/>
                <w:lang w:bidi="ar"/>
              </w:rPr>
              <w:t>55</w:t>
            </w:r>
          </w:p>
        </w:tc>
        <w:tc>
          <w:tcPr>
            <w:tcW w:w="8077" w:type="dxa"/>
            <w:gridSpan w:val="3"/>
            <w:tcBorders>
              <w:top w:val="single" w:color="000000" w:sz="4" w:space="0"/>
              <w:left w:val="single" w:color="auto" w:sz="4" w:space="0"/>
              <w:bottom w:val="single" w:color="000000" w:sz="4" w:space="0"/>
              <w:right w:val="single" w:color="auto" w:sz="4" w:space="0"/>
            </w:tcBorders>
            <w:tcMar>
              <w:top w:w="15" w:type="dxa"/>
              <w:left w:w="15" w:type="dxa"/>
              <w:bottom w:w="15" w:type="dxa"/>
              <w:right w:w="15" w:type="dxa"/>
            </w:tcMar>
            <w:vAlign w:val="center"/>
          </w:tcPr>
          <w:p w14:paraId="4033ED1D">
            <w:pPr>
              <w:widowControl/>
              <w:jc w:val="left"/>
              <w:textAlignment w:val="center"/>
              <w:rPr>
                <w:rFonts w:ascii="等线" w:hAnsi="等线" w:eastAsia="等线" w:cs="等线"/>
                <w:kern w:val="0"/>
                <w:sz w:val="22"/>
                <w:lang w:bidi="ar"/>
              </w:rPr>
            </w:pPr>
            <w:r>
              <w:rPr>
                <w:rFonts w:hint="eastAsia" w:ascii="等线" w:hAnsi="等线" w:eastAsia="等线" w:cs="等线"/>
                <w:kern w:val="0"/>
                <w:sz w:val="22"/>
                <w:lang w:bidi="ar"/>
              </w:rPr>
              <w:t>积极保护建设单位资产，减少损失，采取措施，为建设单位节约投资。</w:t>
            </w:r>
          </w:p>
        </w:tc>
        <w:tc>
          <w:tcPr>
            <w:tcW w:w="1387" w:type="dxa"/>
            <w:tcBorders>
              <w:top w:val="single" w:color="000000" w:sz="4" w:space="0"/>
              <w:left w:val="single" w:color="auto" w:sz="4" w:space="0"/>
              <w:bottom w:val="single" w:color="000000" w:sz="4" w:space="0"/>
              <w:right w:val="single" w:color="000000" w:sz="4" w:space="0"/>
            </w:tcBorders>
            <w:tcMar>
              <w:top w:w="15" w:type="dxa"/>
              <w:left w:w="15" w:type="dxa"/>
              <w:bottom w:w="15" w:type="dxa"/>
              <w:right w:w="15" w:type="dxa"/>
            </w:tcMar>
            <w:vAlign w:val="center"/>
          </w:tcPr>
          <w:p w14:paraId="08B99373">
            <w:pPr>
              <w:widowControl/>
              <w:jc w:val="left"/>
              <w:textAlignment w:val="center"/>
              <w:rPr>
                <w:rFonts w:ascii="等线" w:hAnsi="等线" w:eastAsia="等线" w:cs="等线"/>
                <w:b/>
                <w:kern w:val="0"/>
                <w:sz w:val="22"/>
                <w:lang w:bidi="ar"/>
              </w:rPr>
            </w:pPr>
            <w:r>
              <w:rPr>
                <w:rFonts w:hint="eastAsia" w:ascii="等线" w:hAnsi="等线" w:eastAsia="等线" w:cs="等线"/>
                <w:kern w:val="0"/>
                <w:sz w:val="22"/>
                <w:lang w:bidi="ar"/>
              </w:rPr>
              <w:t>≦3000</w:t>
            </w:r>
          </w:p>
        </w:tc>
      </w:tr>
      <w:tr w14:paraId="4E5BF754">
        <w:tblPrEx>
          <w:tblCellMar>
            <w:top w:w="0" w:type="dxa"/>
            <w:left w:w="108" w:type="dxa"/>
            <w:bottom w:w="0" w:type="dxa"/>
            <w:right w:w="108" w:type="dxa"/>
          </w:tblCellMar>
        </w:tblPrEx>
        <w:trPr>
          <w:trHeight w:val="170" w:hRule="atLeast"/>
        </w:trPr>
        <w:tc>
          <w:tcPr>
            <w:tcW w:w="724" w:type="dxa"/>
            <w:tcBorders>
              <w:top w:val="single" w:color="000000" w:sz="4" w:space="0"/>
              <w:left w:val="single" w:color="000000" w:sz="4" w:space="0"/>
              <w:bottom w:val="single" w:color="000000" w:sz="4" w:space="0"/>
              <w:right w:val="single" w:color="auto" w:sz="4" w:space="0"/>
            </w:tcBorders>
            <w:tcMar>
              <w:top w:w="15" w:type="dxa"/>
              <w:left w:w="15" w:type="dxa"/>
              <w:bottom w:w="15" w:type="dxa"/>
              <w:right w:w="15" w:type="dxa"/>
            </w:tcMar>
            <w:vAlign w:val="center"/>
          </w:tcPr>
          <w:p w14:paraId="7346C5D0">
            <w:pPr>
              <w:widowControl/>
              <w:jc w:val="center"/>
              <w:textAlignment w:val="center"/>
              <w:rPr>
                <w:rFonts w:ascii="等线" w:hAnsi="等线" w:eastAsia="等线" w:cs="等线"/>
                <w:kern w:val="0"/>
                <w:sz w:val="22"/>
                <w:lang w:bidi="ar"/>
              </w:rPr>
            </w:pPr>
            <w:r>
              <w:rPr>
                <w:rFonts w:hint="eastAsia" w:ascii="等线" w:hAnsi="等线" w:eastAsia="等线" w:cs="等线"/>
                <w:kern w:val="0"/>
                <w:sz w:val="22"/>
                <w:lang w:bidi="ar"/>
              </w:rPr>
              <w:t>56</w:t>
            </w:r>
          </w:p>
        </w:tc>
        <w:tc>
          <w:tcPr>
            <w:tcW w:w="8077" w:type="dxa"/>
            <w:gridSpan w:val="3"/>
            <w:tcBorders>
              <w:top w:val="single" w:color="000000" w:sz="4" w:space="0"/>
              <w:left w:val="single" w:color="auto" w:sz="4" w:space="0"/>
              <w:bottom w:val="single" w:color="000000" w:sz="4" w:space="0"/>
              <w:right w:val="single" w:color="auto" w:sz="4" w:space="0"/>
            </w:tcBorders>
            <w:tcMar>
              <w:top w:w="15" w:type="dxa"/>
              <w:left w:w="15" w:type="dxa"/>
              <w:bottom w:w="15" w:type="dxa"/>
              <w:right w:w="15" w:type="dxa"/>
            </w:tcMar>
            <w:vAlign w:val="center"/>
          </w:tcPr>
          <w:p w14:paraId="4BE333D6">
            <w:pPr>
              <w:widowControl/>
              <w:jc w:val="left"/>
              <w:textAlignment w:val="center"/>
              <w:rPr>
                <w:rFonts w:ascii="等线" w:hAnsi="等线" w:eastAsia="等线" w:cs="等线"/>
                <w:kern w:val="0"/>
                <w:sz w:val="22"/>
                <w:lang w:bidi="ar"/>
              </w:rPr>
            </w:pPr>
            <w:r>
              <w:rPr>
                <w:rFonts w:hint="eastAsia" w:ascii="等线" w:hAnsi="等线" w:eastAsia="等线" w:cs="等线"/>
                <w:kern w:val="0"/>
                <w:sz w:val="22"/>
                <w:lang w:bidi="ar"/>
              </w:rPr>
              <w:t>积极配合处理建设单位生产、建设过程中的突发事件。</w:t>
            </w:r>
          </w:p>
        </w:tc>
        <w:tc>
          <w:tcPr>
            <w:tcW w:w="1387" w:type="dxa"/>
            <w:tcBorders>
              <w:top w:val="single" w:color="000000" w:sz="4" w:space="0"/>
              <w:left w:val="single" w:color="auto" w:sz="4" w:space="0"/>
              <w:bottom w:val="single" w:color="000000" w:sz="4" w:space="0"/>
              <w:right w:val="single" w:color="000000" w:sz="4" w:space="0"/>
            </w:tcBorders>
            <w:tcMar>
              <w:top w:w="15" w:type="dxa"/>
              <w:left w:w="15" w:type="dxa"/>
              <w:bottom w:w="15" w:type="dxa"/>
              <w:right w:w="15" w:type="dxa"/>
            </w:tcMar>
            <w:vAlign w:val="center"/>
          </w:tcPr>
          <w:p w14:paraId="14480FB2">
            <w:pPr>
              <w:widowControl/>
              <w:jc w:val="left"/>
              <w:textAlignment w:val="center"/>
              <w:rPr>
                <w:rFonts w:ascii="等线" w:hAnsi="等线" w:eastAsia="等线" w:cs="等线"/>
                <w:kern w:val="0"/>
                <w:sz w:val="22"/>
                <w:lang w:bidi="ar"/>
              </w:rPr>
            </w:pPr>
            <w:r>
              <w:rPr>
                <w:rFonts w:hint="eastAsia" w:ascii="等线" w:hAnsi="等线" w:eastAsia="等线" w:cs="等线"/>
                <w:kern w:val="0"/>
                <w:sz w:val="22"/>
                <w:lang w:bidi="ar"/>
              </w:rPr>
              <w:t>≦10000</w:t>
            </w:r>
          </w:p>
        </w:tc>
      </w:tr>
      <w:tr w14:paraId="1D6D903C">
        <w:tblPrEx>
          <w:tblCellMar>
            <w:top w:w="0" w:type="dxa"/>
            <w:left w:w="108" w:type="dxa"/>
            <w:bottom w:w="0" w:type="dxa"/>
            <w:right w:w="108" w:type="dxa"/>
          </w:tblCellMar>
        </w:tblPrEx>
        <w:trPr>
          <w:trHeight w:val="170" w:hRule="atLeast"/>
        </w:trPr>
        <w:tc>
          <w:tcPr>
            <w:tcW w:w="724" w:type="dxa"/>
            <w:tcBorders>
              <w:top w:val="single" w:color="000000" w:sz="4" w:space="0"/>
              <w:left w:val="single" w:color="000000" w:sz="4" w:space="0"/>
              <w:bottom w:val="single" w:color="000000" w:sz="4" w:space="0"/>
              <w:right w:val="single" w:color="auto" w:sz="4" w:space="0"/>
            </w:tcBorders>
            <w:tcMar>
              <w:top w:w="15" w:type="dxa"/>
              <w:left w:w="15" w:type="dxa"/>
              <w:bottom w:w="15" w:type="dxa"/>
              <w:right w:w="15" w:type="dxa"/>
            </w:tcMar>
            <w:vAlign w:val="center"/>
          </w:tcPr>
          <w:p w14:paraId="006FF422">
            <w:pPr>
              <w:widowControl/>
              <w:jc w:val="center"/>
              <w:textAlignment w:val="center"/>
              <w:rPr>
                <w:rFonts w:ascii="等线" w:hAnsi="等线" w:eastAsia="等线" w:cs="等线"/>
                <w:kern w:val="0"/>
                <w:sz w:val="22"/>
                <w:lang w:bidi="ar"/>
              </w:rPr>
            </w:pPr>
            <w:r>
              <w:rPr>
                <w:rFonts w:hint="eastAsia" w:ascii="等线" w:hAnsi="等线" w:eastAsia="等线" w:cs="等线"/>
                <w:kern w:val="0"/>
                <w:sz w:val="22"/>
                <w:lang w:bidi="ar"/>
              </w:rPr>
              <w:t>57</w:t>
            </w:r>
          </w:p>
        </w:tc>
        <w:tc>
          <w:tcPr>
            <w:tcW w:w="8077" w:type="dxa"/>
            <w:gridSpan w:val="3"/>
            <w:tcBorders>
              <w:top w:val="single" w:color="000000" w:sz="4" w:space="0"/>
              <w:left w:val="single" w:color="auto" w:sz="4" w:space="0"/>
              <w:bottom w:val="single" w:color="000000" w:sz="4" w:space="0"/>
              <w:right w:val="single" w:color="auto" w:sz="4" w:space="0"/>
            </w:tcBorders>
            <w:tcMar>
              <w:top w:w="15" w:type="dxa"/>
              <w:left w:w="15" w:type="dxa"/>
              <w:bottom w:w="15" w:type="dxa"/>
              <w:right w:w="15" w:type="dxa"/>
            </w:tcMar>
            <w:vAlign w:val="center"/>
          </w:tcPr>
          <w:p w14:paraId="2DFC53F7">
            <w:pPr>
              <w:widowControl/>
              <w:jc w:val="left"/>
              <w:textAlignment w:val="center"/>
              <w:rPr>
                <w:rFonts w:ascii="等线" w:hAnsi="等线" w:eastAsia="等线" w:cs="等线"/>
                <w:kern w:val="0"/>
                <w:sz w:val="22"/>
                <w:lang w:bidi="ar"/>
              </w:rPr>
            </w:pPr>
            <w:r>
              <w:rPr>
                <w:rFonts w:hint="eastAsia" w:ascii="等线" w:hAnsi="等线" w:eastAsia="等线" w:cs="等线"/>
                <w:kern w:val="0"/>
                <w:sz w:val="22"/>
                <w:lang w:bidi="ar"/>
              </w:rPr>
              <w:t>积极清理非自身产生的垃圾，为项目非本单位人员提供场所安全防护、照明、指示、厕所、会议室、饮用水等生活、工作基础设施。</w:t>
            </w:r>
          </w:p>
        </w:tc>
        <w:tc>
          <w:tcPr>
            <w:tcW w:w="1387" w:type="dxa"/>
            <w:tcBorders>
              <w:top w:val="single" w:color="000000" w:sz="4" w:space="0"/>
              <w:left w:val="single" w:color="auto" w:sz="4" w:space="0"/>
              <w:bottom w:val="single" w:color="000000" w:sz="4" w:space="0"/>
              <w:right w:val="single" w:color="000000" w:sz="4" w:space="0"/>
            </w:tcBorders>
            <w:tcMar>
              <w:top w:w="15" w:type="dxa"/>
              <w:left w:w="15" w:type="dxa"/>
              <w:bottom w:w="15" w:type="dxa"/>
              <w:right w:w="15" w:type="dxa"/>
            </w:tcMar>
            <w:vAlign w:val="center"/>
          </w:tcPr>
          <w:p w14:paraId="74534CC1">
            <w:pPr>
              <w:widowControl/>
              <w:jc w:val="left"/>
              <w:textAlignment w:val="center"/>
              <w:rPr>
                <w:rFonts w:ascii="等线" w:hAnsi="等线" w:eastAsia="等线" w:cs="等线"/>
                <w:kern w:val="0"/>
                <w:sz w:val="22"/>
                <w:lang w:bidi="ar"/>
              </w:rPr>
            </w:pPr>
            <w:r>
              <w:rPr>
                <w:rFonts w:hint="eastAsia" w:ascii="等线" w:hAnsi="等线" w:eastAsia="等线" w:cs="等线"/>
                <w:kern w:val="0"/>
                <w:sz w:val="22"/>
                <w:lang w:bidi="ar"/>
              </w:rPr>
              <w:t>≦3000</w:t>
            </w:r>
          </w:p>
        </w:tc>
      </w:tr>
      <w:tr w14:paraId="1546F044">
        <w:tblPrEx>
          <w:tblCellMar>
            <w:top w:w="0" w:type="dxa"/>
            <w:left w:w="108" w:type="dxa"/>
            <w:bottom w:w="0" w:type="dxa"/>
            <w:right w:w="108" w:type="dxa"/>
          </w:tblCellMar>
        </w:tblPrEx>
        <w:trPr>
          <w:trHeight w:val="170" w:hRule="atLeast"/>
        </w:trPr>
        <w:tc>
          <w:tcPr>
            <w:tcW w:w="724" w:type="dxa"/>
            <w:tcBorders>
              <w:top w:val="single" w:color="000000" w:sz="4" w:space="0"/>
              <w:left w:val="single" w:color="000000" w:sz="4" w:space="0"/>
              <w:bottom w:val="single" w:color="000000" w:sz="4" w:space="0"/>
              <w:right w:val="single" w:color="auto" w:sz="4" w:space="0"/>
            </w:tcBorders>
            <w:tcMar>
              <w:top w:w="15" w:type="dxa"/>
              <w:left w:w="15" w:type="dxa"/>
              <w:bottom w:w="15" w:type="dxa"/>
              <w:right w:w="15" w:type="dxa"/>
            </w:tcMar>
            <w:vAlign w:val="center"/>
          </w:tcPr>
          <w:p w14:paraId="01311434">
            <w:pPr>
              <w:widowControl/>
              <w:jc w:val="center"/>
              <w:textAlignment w:val="center"/>
              <w:rPr>
                <w:rFonts w:ascii="等线" w:hAnsi="等线" w:eastAsia="等线" w:cs="等线"/>
                <w:kern w:val="0"/>
                <w:sz w:val="22"/>
                <w:lang w:bidi="ar"/>
              </w:rPr>
            </w:pPr>
            <w:r>
              <w:rPr>
                <w:rFonts w:hint="eastAsia" w:ascii="等线" w:hAnsi="等线" w:eastAsia="等线" w:cs="等线"/>
                <w:kern w:val="0"/>
                <w:sz w:val="22"/>
                <w:lang w:bidi="ar"/>
              </w:rPr>
              <w:t>58</w:t>
            </w:r>
          </w:p>
        </w:tc>
        <w:tc>
          <w:tcPr>
            <w:tcW w:w="8077" w:type="dxa"/>
            <w:gridSpan w:val="3"/>
            <w:tcBorders>
              <w:top w:val="single" w:color="000000" w:sz="4" w:space="0"/>
              <w:left w:val="single" w:color="auto" w:sz="4" w:space="0"/>
              <w:bottom w:val="single" w:color="000000" w:sz="4" w:space="0"/>
              <w:right w:val="single" w:color="auto" w:sz="4" w:space="0"/>
            </w:tcBorders>
            <w:tcMar>
              <w:top w:w="15" w:type="dxa"/>
              <w:left w:w="15" w:type="dxa"/>
              <w:bottom w:w="15" w:type="dxa"/>
              <w:right w:w="15" w:type="dxa"/>
            </w:tcMar>
            <w:vAlign w:val="center"/>
          </w:tcPr>
          <w:p w14:paraId="7E8BB98C">
            <w:pPr>
              <w:widowControl/>
              <w:jc w:val="left"/>
              <w:textAlignment w:val="center"/>
              <w:rPr>
                <w:rFonts w:ascii="等线" w:hAnsi="等线" w:eastAsia="等线" w:cs="等线"/>
                <w:color w:val="00B0F0"/>
                <w:kern w:val="0"/>
                <w:sz w:val="22"/>
              </w:rPr>
            </w:pPr>
            <w:r>
              <w:rPr>
                <w:rFonts w:hint="eastAsia" w:ascii="等线" w:hAnsi="等线" w:eastAsia="等线" w:cs="等线"/>
                <w:color w:val="00B0F0"/>
                <w:kern w:val="0"/>
                <w:sz w:val="22"/>
                <w:lang w:bidi="ar"/>
              </w:rPr>
              <w:t>安全生产 “吹哨人” 及时、准确报告内部安全隐患</w:t>
            </w:r>
          </w:p>
        </w:tc>
        <w:tc>
          <w:tcPr>
            <w:tcW w:w="1387" w:type="dxa"/>
            <w:tcBorders>
              <w:top w:val="single" w:color="000000" w:sz="4" w:space="0"/>
              <w:left w:val="single" w:color="auto" w:sz="4" w:space="0"/>
              <w:bottom w:val="single" w:color="000000" w:sz="4" w:space="0"/>
              <w:right w:val="single" w:color="000000" w:sz="4" w:space="0"/>
            </w:tcBorders>
            <w:tcMar>
              <w:top w:w="15" w:type="dxa"/>
              <w:left w:w="15" w:type="dxa"/>
              <w:bottom w:w="15" w:type="dxa"/>
              <w:right w:w="15" w:type="dxa"/>
            </w:tcMar>
            <w:vAlign w:val="center"/>
          </w:tcPr>
          <w:p w14:paraId="27459E52">
            <w:pPr>
              <w:widowControl/>
              <w:jc w:val="left"/>
              <w:textAlignment w:val="center"/>
              <w:rPr>
                <w:rFonts w:ascii="等线" w:hAnsi="等线" w:eastAsia="等线" w:cs="等线"/>
                <w:color w:val="00B0F0"/>
                <w:kern w:val="0"/>
                <w:sz w:val="22"/>
              </w:rPr>
            </w:pPr>
            <w:r>
              <w:rPr>
                <w:rFonts w:hint="eastAsia" w:ascii="等线" w:hAnsi="等线" w:eastAsia="等线" w:cs="等线"/>
                <w:color w:val="00B0F0"/>
                <w:kern w:val="0"/>
                <w:sz w:val="22"/>
                <w:lang w:bidi="ar"/>
              </w:rPr>
              <w:t>按安全环保部审核金额的10%计算且不超过5000元</w:t>
            </w:r>
          </w:p>
        </w:tc>
      </w:tr>
    </w:tbl>
    <w:p w14:paraId="35BFCD17">
      <w:pPr>
        <w:pStyle w:val="18"/>
        <w:autoSpaceDE w:val="0"/>
        <w:spacing w:line="360" w:lineRule="auto"/>
        <w:rPr>
          <w:rFonts w:ascii="宋体" w:hAnsi="宋体" w:cs="宋体"/>
          <w:b/>
          <w:bCs/>
          <w:lang w:bidi="ar"/>
        </w:rPr>
      </w:pPr>
    </w:p>
    <w:p w14:paraId="25FF612A">
      <w:pPr>
        <w:widowControl/>
        <w:jc w:val="left"/>
        <w:rPr>
          <w:rFonts w:ascii="宋体" w:hAnsi="宋体" w:cs="宋体"/>
          <w:b/>
          <w:bCs/>
          <w:kern w:val="0"/>
          <w:lang w:bidi="ar"/>
        </w:rPr>
      </w:pPr>
      <w:r>
        <w:rPr>
          <w:rFonts w:ascii="宋体" w:hAnsi="宋体" w:cs="宋体"/>
          <w:b/>
          <w:bCs/>
          <w:kern w:val="0"/>
          <w:lang w:bidi="ar"/>
        </w:rPr>
        <w:br w:type="page"/>
      </w:r>
    </w:p>
    <w:p w14:paraId="6997CB64">
      <w:pPr>
        <w:widowControl/>
        <w:jc w:val="left"/>
        <w:rPr>
          <w:rFonts w:ascii="宋体" w:hAnsi="宋体" w:cs="宋体"/>
          <w:b/>
          <w:bCs/>
          <w:kern w:val="0"/>
          <w:sz w:val="24"/>
          <w:lang w:bidi="ar"/>
        </w:rPr>
      </w:pPr>
    </w:p>
    <w:p w14:paraId="53B6A3A7">
      <w:pPr>
        <w:pStyle w:val="18"/>
        <w:autoSpaceDE w:val="0"/>
        <w:spacing w:line="360" w:lineRule="auto"/>
        <w:jc w:val="center"/>
        <w:rPr>
          <w:rFonts w:ascii="宋体" w:hAnsi="宋体" w:cs="宋体"/>
        </w:rPr>
      </w:pPr>
      <w:r>
        <w:rPr>
          <w:rFonts w:hint="eastAsia" w:ascii="宋体" w:hAnsi="宋体" w:cs="宋体"/>
          <w:b/>
          <w:bCs/>
          <w:lang w:bidi="ar"/>
        </w:rPr>
        <w:t>附件 2、零事故奖励</w:t>
      </w:r>
    </w:p>
    <w:tbl>
      <w:tblPr>
        <w:tblStyle w:val="20"/>
        <w:tblW w:w="1038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058"/>
        <w:gridCol w:w="2694"/>
        <w:gridCol w:w="3969"/>
        <w:gridCol w:w="1648"/>
        <w:gridCol w:w="17"/>
      </w:tblGrid>
      <w:tr w14:paraId="3C24A5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7" w:type="dxa"/>
          <w:jc w:val="center"/>
        </w:trPr>
        <w:tc>
          <w:tcPr>
            <w:tcW w:w="2058" w:type="dxa"/>
          </w:tcPr>
          <w:p w14:paraId="35934936">
            <w:pPr>
              <w:pStyle w:val="64"/>
              <w:ind w:firstLine="0" w:firstLineChars="0"/>
              <w:jc w:val="center"/>
              <w:rPr>
                <w:szCs w:val="18"/>
              </w:rPr>
            </w:pPr>
            <w:r>
              <w:rPr>
                <w:rFonts w:hint="eastAsia"/>
                <w:szCs w:val="18"/>
              </w:rPr>
              <w:t>类别</w:t>
            </w:r>
          </w:p>
        </w:tc>
        <w:tc>
          <w:tcPr>
            <w:tcW w:w="2694" w:type="dxa"/>
          </w:tcPr>
          <w:p w14:paraId="33793802">
            <w:pPr>
              <w:pStyle w:val="64"/>
              <w:ind w:firstLine="0" w:firstLineChars="0"/>
              <w:jc w:val="center"/>
              <w:rPr>
                <w:szCs w:val="18"/>
              </w:rPr>
            </w:pPr>
            <w:r>
              <w:rPr>
                <w:rFonts w:hint="eastAsia"/>
                <w:szCs w:val="18"/>
              </w:rPr>
              <w:t>条件</w:t>
            </w:r>
          </w:p>
        </w:tc>
        <w:tc>
          <w:tcPr>
            <w:tcW w:w="3969" w:type="dxa"/>
          </w:tcPr>
          <w:p w14:paraId="6F1DBFAE">
            <w:pPr>
              <w:pStyle w:val="64"/>
              <w:ind w:firstLine="0" w:firstLineChars="0"/>
              <w:jc w:val="center"/>
              <w:rPr>
                <w:szCs w:val="18"/>
              </w:rPr>
            </w:pPr>
            <w:r>
              <w:rPr>
                <w:rFonts w:hint="eastAsia"/>
                <w:szCs w:val="18"/>
              </w:rPr>
              <w:t>内容</w:t>
            </w:r>
          </w:p>
        </w:tc>
        <w:tc>
          <w:tcPr>
            <w:tcW w:w="1648" w:type="dxa"/>
          </w:tcPr>
          <w:p w14:paraId="06EF0A1C">
            <w:pPr>
              <w:pStyle w:val="64"/>
              <w:ind w:firstLine="0" w:firstLineChars="0"/>
              <w:jc w:val="center"/>
              <w:rPr>
                <w:szCs w:val="18"/>
              </w:rPr>
            </w:pPr>
            <w:r>
              <w:rPr>
                <w:rFonts w:hint="eastAsia"/>
                <w:szCs w:val="18"/>
              </w:rPr>
              <w:t>奖励</w:t>
            </w:r>
          </w:p>
        </w:tc>
      </w:tr>
      <w:tr w14:paraId="2B61C3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7" w:type="dxa"/>
          <w:jc w:val="center"/>
        </w:trPr>
        <w:tc>
          <w:tcPr>
            <w:tcW w:w="2058" w:type="dxa"/>
            <w:vAlign w:val="center"/>
          </w:tcPr>
          <w:p w14:paraId="363FC13E">
            <w:pPr>
              <w:pStyle w:val="64"/>
              <w:ind w:firstLine="0" w:firstLineChars="0"/>
              <w:jc w:val="center"/>
              <w:rPr>
                <w:szCs w:val="18"/>
              </w:rPr>
            </w:pPr>
            <w:r>
              <w:rPr>
                <w:rFonts w:hint="eastAsia"/>
                <w:szCs w:val="18"/>
              </w:rPr>
              <w:t>运行维护单位</w:t>
            </w:r>
          </w:p>
        </w:tc>
        <w:tc>
          <w:tcPr>
            <w:tcW w:w="2694" w:type="dxa"/>
          </w:tcPr>
          <w:p w14:paraId="2B44225D">
            <w:pPr>
              <w:pStyle w:val="64"/>
              <w:ind w:firstLine="0" w:firstLineChars="0"/>
              <w:rPr>
                <w:szCs w:val="18"/>
              </w:rPr>
            </w:pPr>
            <w:r>
              <w:rPr>
                <w:rFonts w:hint="eastAsia"/>
                <w:szCs w:val="18"/>
              </w:rPr>
              <w:t>累计无事故工时≧10万小时</w:t>
            </w:r>
          </w:p>
        </w:tc>
        <w:tc>
          <w:tcPr>
            <w:tcW w:w="3969" w:type="dxa"/>
          </w:tcPr>
          <w:p w14:paraId="5038D73D">
            <w:pPr>
              <w:pStyle w:val="64"/>
              <w:ind w:firstLine="0" w:firstLineChars="0"/>
              <w:rPr>
                <w:szCs w:val="18"/>
              </w:rPr>
            </w:pPr>
            <w:r>
              <w:rPr>
                <w:rFonts w:hint="eastAsia"/>
                <w:szCs w:val="18"/>
              </w:rPr>
              <w:t>火灾、环保、微伤事故为零</w:t>
            </w:r>
          </w:p>
        </w:tc>
        <w:tc>
          <w:tcPr>
            <w:tcW w:w="1648" w:type="dxa"/>
            <w:vAlign w:val="center"/>
          </w:tcPr>
          <w:p w14:paraId="4C754F1B">
            <w:pPr>
              <w:pStyle w:val="64"/>
              <w:ind w:firstLine="0" w:firstLineChars="0"/>
              <w:rPr>
                <w:szCs w:val="18"/>
              </w:rPr>
            </w:pPr>
            <w:r>
              <w:rPr>
                <w:rFonts w:hint="eastAsia"/>
                <w:szCs w:val="18"/>
              </w:rPr>
              <w:t>5000元</w:t>
            </w:r>
          </w:p>
        </w:tc>
      </w:tr>
      <w:tr w14:paraId="565A02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7" w:type="dxa"/>
          <w:jc w:val="center"/>
        </w:trPr>
        <w:tc>
          <w:tcPr>
            <w:tcW w:w="2058" w:type="dxa"/>
            <w:vAlign w:val="center"/>
          </w:tcPr>
          <w:p w14:paraId="11EE3B01">
            <w:pPr>
              <w:pStyle w:val="64"/>
              <w:ind w:firstLine="0" w:firstLineChars="0"/>
              <w:jc w:val="center"/>
              <w:rPr>
                <w:szCs w:val="18"/>
              </w:rPr>
            </w:pPr>
            <w:r>
              <w:rPr>
                <w:rFonts w:hint="eastAsia"/>
                <w:szCs w:val="18"/>
              </w:rPr>
              <w:t>检维修单位</w:t>
            </w:r>
          </w:p>
        </w:tc>
        <w:tc>
          <w:tcPr>
            <w:tcW w:w="2694" w:type="dxa"/>
          </w:tcPr>
          <w:p w14:paraId="41E2F0CA">
            <w:pPr>
              <w:pStyle w:val="64"/>
              <w:ind w:firstLine="0" w:firstLineChars="0"/>
              <w:rPr>
                <w:szCs w:val="18"/>
              </w:rPr>
            </w:pPr>
            <w:r>
              <w:rPr>
                <w:rFonts w:hint="eastAsia"/>
                <w:szCs w:val="18"/>
              </w:rPr>
              <w:t>累计建安费≧1000万元</w:t>
            </w:r>
          </w:p>
        </w:tc>
        <w:tc>
          <w:tcPr>
            <w:tcW w:w="3969" w:type="dxa"/>
          </w:tcPr>
          <w:p w14:paraId="5D72ED7F">
            <w:pPr>
              <w:pStyle w:val="64"/>
              <w:ind w:firstLine="0" w:firstLineChars="0"/>
              <w:rPr>
                <w:szCs w:val="18"/>
              </w:rPr>
            </w:pPr>
            <w:r>
              <w:rPr>
                <w:rFonts w:hint="eastAsia"/>
                <w:szCs w:val="18"/>
              </w:rPr>
              <w:t>火灾、环保、微伤事故为零</w:t>
            </w:r>
          </w:p>
        </w:tc>
        <w:tc>
          <w:tcPr>
            <w:tcW w:w="1648" w:type="dxa"/>
            <w:vAlign w:val="center"/>
          </w:tcPr>
          <w:p w14:paraId="76F13F43">
            <w:pPr>
              <w:pStyle w:val="64"/>
              <w:ind w:firstLine="0" w:firstLineChars="0"/>
              <w:rPr>
                <w:szCs w:val="18"/>
              </w:rPr>
            </w:pPr>
            <w:r>
              <w:rPr>
                <w:szCs w:val="18"/>
              </w:rPr>
              <w:t>2</w:t>
            </w:r>
            <w:r>
              <w:rPr>
                <w:rFonts w:hint="eastAsia"/>
                <w:szCs w:val="18"/>
              </w:rPr>
              <w:t>万元</w:t>
            </w:r>
          </w:p>
        </w:tc>
      </w:tr>
      <w:tr w14:paraId="135F10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7" w:type="dxa"/>
          <w:jc w:val="center"/>
        </w:trPr>
        <w:tc>
          <w:tcPr>
            <w:tcW w:w="2058" w:type="dxa"/>
            <w:vMerge w:val="restart"/>
            <w:vAlign w:val="center"/>
          </w:tcPr>
          <w:p w14:paraId="2317B2D5">
            <w:pPr>
              <w:pStyle w:val="64"/>
              <w:ind w:firstLine="0" w:firstLineChars="0"/>
              <w:jc w:val="center"/>
              <w:rPr>
                <w:szCs w:val="18"/>
              </w:rPr>
            </w:pPr>
            <w:r>
              <w:rPr>
                <w:rFonts w:hint="eastAsia"/>
                <w:szCs w:val="18"/>
              </w:rPr>
              <w:t>工程项目土建、安装单位</w:t>
            </w:r>
          </w:p>
        </w:tc>
        <w:tc>
          <w:tcPr>
            <w:tcW w:w="2694" w:type="dxa"/>
            <w:vAlign w:val="center"/>
          </w:tcPr>
          <w:p w14:paraId="2983649C">
            <w:pPr>
              <w:pStyle w:val="64"/>
              <w:ind w:firstLine="0" w:firstLineChars="0"/>
              <w:rPr>
                <w:szCs w:val="18"/>
              </w:rPr>
            </w:pPr>
            <w:r>
              <w:rPr>
                <w:rFonts w:hint="eastAsia"/>
                <w:szCs w:val="18"/>
              </w:rPr>
              <w:t>200万元≦建安费用Y≦</w:t>
            </w:r>
            <w:r>
              <w:rPr>
                <w:szCs w:val="18"/>
              </w:rPr>
              <w:t>1</w:t>
            </w:r>
            <w:r>
              <w:rPr>
                <w:rFonts w:hint="eastAsia"/>
                <w:szCs w:val="18"/>
              </w:rPr>
              <w:t xml:space="preserve">000万元， </w:t>
            </w:r>
          </w:p>
        </w:tc>
        <w:tc>
          <w:tcPr>
            <w:tcW w:w="3969" w:type="dxa"/>
          </w:tcPr>
          <w:p w14:paraId="0880FD0F">
            <w:pPr>
              <w:pStyle w:val="64"/>
              <w:ind w:firstLine="0" w:firstLineChars="0"/>
              <w:rPr>
                <w:szCs w:val="18"/>
              </w:rPr>
            </w:pPr>
            <w:r>
              <w:rPr>
                <w:rFonts w:hint="eastAsia"/>
                <w:szCs w:val="18"/>
              </w:rPr>
              <w:t>火灾、环保、微伤事故为零</w:t>
            </w:r>
          </w:p>
          <w:p w14:paraId="057A6649">
            <w:pPr>
              <w:pStyle w:val="64"/>
              <w:ind w:firstLine="0" w:firstLineChars="0"/>
              <w:rPr>
                <w:szCs w:val="18"/>
              </w:rPr>
            </w:pPr>
            <w:r>
              <w:rPr>
                <w:rFonts w:hint="eastAsia"/>
                <w:color w:val="00B0F0"/>
                <w:szCs w:val="18"/>
              </w:rPr>
              <w:t>承包商安全评价得分在8</w:t>
            </w:r>
            <w:r>
              <w:rPr>
                <w:color w:val="00B0F0"/>
                <w:szCs w:val="18"/>
              </w:rPr>
              <w:t>0</w:t>
            </w:r>
            <w:r>
              <w:rPr>
                <w:rFonts w:hint="eastAsia"/>
                <w:color w:val="00B0F0"/>
                <w:szCs w:val="18"/>
              </w:rPr>
              <w:t>分及以上</w:t>
            </w:r>
          </w:p>
        </w:tc>
        <w:tc>
          <w:tcPr>
            <w:tcW w:w="1648" w:type="dxa"/>
            <w:vAlign w:val="center"/>
          </w:tcPr>
          <w:p w14:paraId="436739BA">
            <w:pPr>
              <w:pStyle w:val="64"/>
              <w:ind w:firstLine="0" w:firstLineChars="0"/>
              <w:rPr>
                <w:szCs w:val="18"/>
              </w:rPr>
            </w:pPr>
            <w:r>
              <w:rPr>
                <w:szCs w:val="18"/>
              </w:rPr>
              <w:t>2</w:t>
            </w:r>
            <w:r>
              <w:rPr>
                <w:rFonts w:hint="eastAsia"/>
                <w:szCs w:val="18"/>
              </w:rPr>
              <w:t>万元</w:t>
            </w:r>
          </w:p>
        </w:tc>
      </w:tr>
      <w:tr w14:paraId="7453E6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7" w:type="dxa"/>
          <w:jc w:val="center"/>
        </w:trPr>
        <w:tc>
          <w:tcPr>
            <w:tcW w:w="2058" w:type="dxa"/>
            <w:vMerge w:val="continue"/>
            <w:vAlign w:val="center"/>
          </w:tcPr>
          <w:p w14:paraId="5D83DA9B">
            <w:pPr>
              <w:pStyle w:val="64"/>
              <w:ind w:firstLine="0" w:firstLineChars="0"/>
              <w:rPr>
                <w:szCs w:val="18"/>
              </w:rPr>
            </w:pPr>
          </w:p>
        </w:tc>
        <w:tc>
          <w:tcPr>
            <w:tcW w:w="2694" w:type="dxa"/>
            <w:vAlign w:val="center"/>
          </w:tcPr>
          <w:p w14:paraId="1D8323BF">
            <w:pPr>
              <w:pStyle w:val="64"/>
              <w:ind w:firstLine="0" w:firstLineChars="0"/>
              <w:rPr>
                <w:szCs w:val="18"/>
              </w:rPr>
            </w:pPr>
            <w:r>
              <w:rPr>
                <w:szCs w:val="18"/>
              </w:rPr>
              <w:t>1</w:t>
            </w:r>
            <w:r>
              <w:rPr>
                <w:rFonts w:hint="eastAsia"/>
                <w:szCs w:val="18"/>
              </w:rPr>
              <w:t>0</w:t>
            </w:r>
            <w:r>
              <w:rPr>
                <w:szCs w:val="18"/>
              </w:rPr>
              <w:t>0</w:t>
            </w:r>
            <w:r>
              <w:rPr>
                <w:rFonts w:hint="eastAsia"/>
                <w:szCs w:val="18"/>
              </w:rPr>
              <w:t xml:space="preserve">0万元≦建安费用Y≦3000万元； </w:t>
            </w:r>
          </w:p>
        </w:tc>
        <w:tc>
          <w:tcPr>
            <w:tcW w:w="3969" w:type="dxa"/>
          </w:tcPr>
          <w:p w14:paraId="729BC03A">
            <w:pPr>
              <w:pStyle w:val="64"/>
              <w:ind w:firstLine="0" w:firstLineChars="0"/>
              <w:rPr>
                <w:szCs w:val="18"/>
              </w:rPr>
            </w:pPr>
            <w:r>
              <w:rPr>
                <w:rFonts w:hint="eastAsia"/>
                <w:szCs w:val="18"/>
              </w:rPr>
              <w:t>火灾、环保、微伤事故为零</w:t>
            </w:r>
          </w:p>
          <w:p w14:paraId="463EB4AF">
            <w:pPr>
              <w:pStyle w:val="64"/>
              <w:ind w:firstLine="0" w:firstLineChars="0"/>
              <w:rPr>
                <w:szCs w:val="18"/>
              </w:rPr>
            </w:pPr>
            <w:r>
              <w:rPr>
                <w:rFonts w:hint="eastAsia"/>
                <w:color w:val="00B0F0"/>
                <w:szCs w:val="18"/>
              </w:rPr>
              <w:t>承包商安全评价得分在8</w:t>
            </w:r>
            <w:r>
              <w:rPr>
                <w:color w:val="00B0F0"/>
                <w:szCs w:val="18"/>
              </w:rPr>
              <w:t>0</w:t>
            </w:r>
            <w:r>
              <w:rPr>
                <w:rFonts w:hint="eastAsia"/>
                <w:color w:val="00B0F0"/>
                <w:szCs w:val="18"/>
              </w:rPr>
              <w:t>分及以上</w:t>
            </w:r>
          </w:p>
        </w:tc>
        <w:tc>
          <w:tcPr>
            <w:tcW w:w="1648" w:type="dxa"/>
            <w:vAlign w:val="center"/>
          </w:tcPr>
          <w:p w14:paraId="0E3B23DF">
            <w:pPr>
              <w:pStyle w:val="64"/>
              <w:ind w:firstLine="0" w:firstLineChars="0"/>
              <w:rPr>
                <w:szCs w:val="18"/>
              </w:rPr>
            </w:pPr>
            <w:r>
              <w:rPr>
                <w:rFonts w:hint="eastAsia"/>
                <w:szCs w:val="18"/>
              </w:rPr>
              <w:t>5万元</w:t>
            </w:r>
          </w:p>
        </w:tc>
      </w:tr>
      <w:tr w14:paraId="12732F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gridAfter w:val="1"/>
          <w:wAfter w:w="17" w:type="dxa"/>
          <w:jc w:val="center"/>
        </w:trPr>
        <w:tc>
          <w:tcPr>
            <w:tcW w:w="2058" w:type="dxa"/>
            <w:vMerge w:val="continue"/>
          </w:tcPr>
          <w:p w14:paraId="1EFE197E">
            <w:pPr>
              <w:pStyle w:val="64"/>
              <w:ind w:firstLine="0" w:firstLineChars="0"/>
              <w:rPr>
                <w:szCs w:val="18"/>
              </w:rPr>
            </w:pPr>
          </w:p>
        </w:tc>
        <w:tc>
          <w:tcPr>
            <w:tcW w:w="2694" w:type="dxa"/>
            <w:vAlign w:val="center"/>
          </w:tcPr>
          <w:p w14:paraId="4622C123">
            <w:pPr>
              <w:pStyle w:val="64"/>
              <w:ind w:firstLine="0" w:firstLineChars="0"/>
              <w:rPr>
                <w:szCs w:val="18"/>
              </w:rPr>
            </w:pPr>
            <w:r>
              <w:rPr>
                <w:rFonts w:hint="eastAsia"/>
                <w:szCs w:val="18"/>
              </w:rPr>
              <w:t>3000万元≦建安费用Y≦1亿元</w:t>
            </w:r>
          </w:p>
        </w:tc>
        <w:tc>
          <w:tcPr>
            <w:tcW w:w="3969" w:type="dxa"/>
          </w:tcPr>
          <w:p w14:paraId="427BC3FE">
            <w:pPr>
              <w:pStyle w:val="64"/>
              <w:ind w:firstLine="0" w:firstLineChars="0"/>
              <w:rPr>
                <w:szCs w:val="18"/>
              </w:rPr>
            </w:pPr>
            <w:r>
              <w:rPr>
                <w:rFonts w:hint="eastAsia"/>
                <w:szCs w:val="18"/>
              </w:rPr>
              <w:t>微伤送医事故≦1起，火灾、环保、轻微伤及以上事故为零</w:t>
            </w:r>
          </w:p>
          <w:p w14:paraId="395121BD">
            <w:pPr>
              <w:pStyle w:val="64"/>
              <w:ind w:firstLine="0" w:firstLineChars="0"/>
              <w:rPr>
                <w:szCs w:val="18"/>
              </w:rPr>
            </w:pPr>
            <w:r>
              <w:rPr>
                <w:rFonts w:hint="eastAsia"/>
                <w:color w:val="00B0F0"/>
                <w:szCs w:val="18"/>
              </w:rPr>
              <w:t>承包商安全评价得分在8</w:t>
            </w:r>
            <w:r>
              <w:rPr>
                <w:color w:val="00B0F0"/>
                <w:szCs w:val="18"/>
              </w:rPr>
              <w:t>0</w:t>
            </w:r>
            <w:r>
              <w:rPr>
                <w:rFonts w:hint="eastAsia"/>
                <w:color w:val="00B0F0"/>
                <w:szCs w:val="18"/>
              </w:rPr>
              <w:t>分及以上</w:t>
            </w:r>
          </w:p>
        </w:tc>
        <w:tc>
          <w:tcPr>
            <w:tcW w:w="1648" w:type="dxa"/>
            <w:vAlign w:val="center"/>
          </w:tcPr>
          <w:p w14:paraId="20693C40">
            <w:pPr>
              <w:pStyle w:val="64"/>
              <w:ind w:firstLine="0" w:firstLineChars="0"/>
              <w:rPr>
                <w:szCs w:val="18"/>
              </w:rPr>
            </w:pPr>
            <w:r>
              <w:rPr>
                <w:rFonts w:hint="eastAsia"/>
                <w:szCs w:val="18"/>
              </w:rPr>
              <w:t>10万元</w:t>
            </w:r>
          </w:p>
        </w:tc>
      </w:tr>
      <w:tr w14:paraId="4DAA2B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58" w:type="dxa"/>
            <w:vMerge w:val="continue"/>
          </w:tcPr>
          <w:p w14:paraId="3014B567">
            <w:pPr>
              <w:pStyle w:val="64"/>
              <w:ind w:firstLine="0" w:firstLineChars="0"/>
              <w:rPr>
                <w:szCs w:val="18"/>
              </w:rPr>
            </w:pPr>
          </w:p>
        </w:tc>
        <w:tc>
          <w:tcPr>
            <w:tcW w:w="2694" w:type="dxa"/>
            <w:vAlign w:val="center"/>
          </w:tcPr>
          <w:p w14:paraId="70474A22">
            <w:pPr>
              <w:pStyle w:val="64"/>
              <w:ind w:firstLine="0" w:firstLineChars="0"/>
              <w:rPr>
                <w:szCs w:val="18"/>
              </w:rPr>
            </w:pPr>
            <w:r>
              <w:rPr>
                <w:szCs w:val="18"/>
              </w:rPr>
              <w:t>1</w:t>
            </w:r>
            <w:r>
              <w:rPr>
                <w:rFonts w:hint="eastAsia"/>
                <w:szCs w:val="18"/>
              </w:rPr>
              <w:t>亿元≦建安费用Y</w:t>
            </w:r>
          </w:p>
        </w:tc>
        <w:tc>
          <w:tcPr>
            <w:tcW w:w="3969" w:type="dxa"/>
          </w:tcPr>
          <w:p w14:paraId="495B64C9">
            <w:pPr>
              <w:pStyle w:val="64"/>
              <w:ind w:firstLine="0" w:firstLineChars="0"/>
              <w:rPr>
                <w:szCs w:val="18"/>
              </w:rPr>
            </w:pPr>
            <w:r>
              <w:rPr>
                <w:rFonts w:hint="eastAsia"/>
                <w:szCs w:val="18"/>
              </w:rPr>
              <w:t>微伤送医事故≦</w:t>
            </w:r>
            <w:r>
              <w:rPr>
                <w:szCs w:val="18"/>
              </w:rPr>
              <w:t>3</w:t>
            </w:r>
            <w:r>
              <w:rPr>
                <w:rFonts w:hint="eastAsia"/>
                <w:szCs w:val="18"/>
              </w:rPr>
              <w:t>起，火灾、环保、轻微伤及以上事故为零</w:t>
            </w:r>
          </w:p>
          <w:p w14:paraId="0AB07F7B">
            <w:pPr>
              <w:pStyle w:val="64"/>
              <w:ind w:firstLine="0" w:firstLineChars="0"/>
              <w:rPr>
                <w:szCs w:val="18"/>
              </w:rPr>
            </w:pPr>
            <w:r>
              <w:rPr>
                <w:rFonts w:hint="eastAsia"/>
                <w:color w:val="00B0F0"/>
                <w:szCs w:val="18"/>
              </w:rPr>
              <w:t>承包商安全评价得分在8</w:t>
            </w:r>
            <w:r>
              <w:rPr>
                <w:color w:val="00B0F0"/>
                <w:szCs w:val="18"/>
              </w:rPr>
              <w:t>0</w:t>
            </w:r>
            <w:r>
              <w:rPr>
                <w:rFonts w:hint="eastAsia"/>
                <w:color w:val="00B0F0"/>
                <w:szCs w:val="18"/>
              </w:rPr>
              <w:t>分及以上</w:t>
            </w:r>
          </w:p>
        </w:tc>
        <w:tc>
          <w:tcPr>
            <w:tcW w:w="1665" w:type="dxa"/>
            <w:gridSpan w:val="2"/>
            <w:vAlign w:val="center"/>
          </w:tcPr>
          <w:p w14:paraId="3C2100E7">
            <w:pPr>
              <w:pStyle w:val="64"/>
              <w:ind w:firstLine="0" w:firstLineChars="0"/>
              <w:rPr>
                <w:szCs w:val="18"/>
              </w:rPr>
            </w:pPr>
            <w:r>
              <w:rPr>
                <w:szCs w:val="18"/>
              </w:rPr>
              <w:t>3</w:t>
            </w:r>
            <w:r>
              <w:rPr>
                <w:rFonts w:hint="eastAsia"/>
                <w:szCs w:val="18"/>
              </w:rPr>
              <w:t>0万元</w:t>
            </w:r>
          </w:p>
        </w:tc>
      </w:tr>
    </w:tbl>
    <w:p w14:paraId="42A50352">
      <w:pPr>
        <w:pStyle w:val="18"/>
        <w:autoSpaceDE w:val="0"/>
        <w:spacing w:line="360" w:lineRule="auto"/>
        <w:rPr>
          <w:rFonts w:ascii="宋体" w:hAnsi="宋体" w:cs="宋体"/>
        </w:rPr>
      </w:pPr>
      <w:r>
        <w:rPr>
          <w:rFonts w:hint="eastAsia" w:ascii="宋体" w:hAnsi="宋体" w:cs="宋体"/>
          <w:lang w:bidi="ar"/>
        </w:rPr>
        <w:t xml:space="preserve"> </w:t>
      </w:r>
    </w:p>
    <w:p w14:paraId="16F04626">
      <w:pPr>
        <w:pStyle w:val="18"/>
        <w:autoSpaceDE w:val="0"/>
        <w:spacing w:line="360" w:lineRule="auto"/>
        <w:jc w:val="center"/>
        <w:rPr>
          <w:rFonts w:ascii="微软雅黑" w:hAnsi="微软雅黑" w:eastAsia="微软雅黑" w:cs="微软雅黑"/>
          <w:b/>
          <w:bCs/>
          <w:spacing w:val="25"/>
          <w:position w:val="-1"/>
          <w:sz w:val="35"/>
          <w:szCs w:val="35"/>
        </w:rPr>
      </w:pPr>
      <w:r>
        <w:rPr>
          <w:rFonts w:hint="eastAsia" w:ascii="宋体" w:hAnsi="宋体" w:cs="宋体"/>
          <w:b/>
          <w:bCs/>
          <w:lang w:bidi="ar"/>
        </w:rPr>
        <w:t>附件3：承包商评价表</w:t>
      </w:r>
    </w:p>
    <w:p w14:paraId="074149BA">
      <w:pPr>
        <w:spacing w:before="178" w:line="351" w:lineRule="exact"/>
        <w:jc w:val="center"/>
        <w:outlineLvl w:val="1"/>
        <w:rPr>
          <w:rFonts w:ascii="Arial" w:hAnsi="Calibri"/>
          <w:szCs w:val="21"/>
        </w:rPr>
      </w:pPr>
      <w:r>
        <w:rPr>
          <w:rFonts w:hint="eastAsia" w:ascii="微软雅黑" w:hAnsi="微软雅黑" w:eastAsia="微软雅黑" w:cs="微软雅黑"/>
          <w:spacing w:val="25"/>
          <w:kern w:val="0"/>
          <w:position w:val="-1"/>
          <w:sz w:val="35"/>
          <w:szCs w:val="35"/>
          <w:lang w:bidi="ar"/>
        </w:rPr>
        <w:t>承包商评价表</w:t>
      </w:r>
    </w:p>
    <w:p w14:paraId="2A95E3DB">
      <w:pPr>
        <w:pStyle w:val="18"/>
        <w:spacing w:before="91"/>
        <w:ind w:left="694"/>
        <w:rPr>
          <w:rFonts w:ascii="仿宋" w:hAnsi="仿宋" w:eastAsia="仿宋" w:cs="仿宋"/>
          <w:sz w:val="28"/>
          <w:szCs w:val="28"/>
        </w:rPr>
      </w:pPr>
      <w:r>
        <w:rPr>
          <w:rFonts w:hint="eastAsia" w:ascii="仿宋" w:hAnsi="仿宋" w:eastAsia="仿宋" w:cs="仿宋"/>
          <w:spacing w:val="-2"/>
          <w:sz w:val="28"/>
          <w:szCs w:val="28"/>
          <w:lang w:bidi="ar"/>
        </w:rPr>
        <w:t>承包商名称：</w:t>
      </w:r>
    </w:p>
    <w:p w14:paraId="562BB1B0">
      <w:pPr>
        <w:spacing w:line="22" w:lineRule="exact"/>
        <w:rPr>
          <w:rFonts w:ascii="Calibri" w:hAnsi="Calibri"/>
          <w:szCs w:val="21"/>
        </w:rPr>
      </w:pPr>
      <w:r>
        <w:rPr>
          <w:rFonts w:ascii="Calibri" w:hAnsi="Calibri"/>
          <w:kern w:val="0"/>
          <w:szCs w:val="21"/>
          <w:lang w:bidi="ar"/>
        </w:rPr>
        <w:t xml:space="preserve"> </w:t>
      </w:r>
    </w:p>
    <w:tbl>
      <w:tblPr>
        <w:tblStyle w:val="67"/>
        <w:tblW w:w="9157" w:type="dxa"/>
        <w:tblInd w:w="11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79"/>
        <w:gridCol w:w="1035"/>
        <w:gridCol w:w="4163"/>
        <w:gridCol w:w="671"/>
        <w:gridCol w:w="731"/>
        <w:gridCol w:w="1778"/>
      </w:tblGrid>
      <w:tr w14:paraId="3A12B0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8" w:hRule="atLeast"/>
        </w:trPr>
        <w:tc>
          <w:tcPr>
            <w:tcW w:w="779" w:type="dxa"/>
            <w:tcBorders>
              <w:top w:val="single" w:color="000000" w:sz="2" w:space="0"/>
              <w:left w:val="single" w:color="000000" w:sz="2" w:space="0"/>
              <w:bottom w:val="single" w:color="000000" w:sz="2" w:space="0"/>
              <w:right w:val="single" w:color="000000" w:sz="2" w:space="0"/>
            </w:tcBorders>
            <w:shd w:val="clear" w:color="auto" w:fill="auto"/>
          </w:tcPr>
          <w:p w14:paraId="186A2005">
            <w:pPr>
              <w:pStyle w:val="18"/>
              <w:spacing w:before="253"/>
              <w:ind w:left="162" w:right="147" w:hanging="7"/>
              <w:rPr>
                <w:rFonts w:ascii="仿宋" w:hAnsi="仿宋" w:eastAsia="仿宋" w:cs="仿宋"/>
              </w:rPr>
            </w:pPr>
            <w:r>
              <w:rPr>
                <w:rFonts w:hint="eastAsia" w:ascii="仿宋" w:hAnsi="仿宋" w:eastAsia="仿宋" w:cs="仿宋"/>
                <w:spacing w:val="-5"/>
                <w:lang w:bidi="ar"/>
              </w:rPr>
              <w:t>评价</w:t>
            </w:r>
            <w:r>
              <w:rPr>
                <w:rFonts w:hint="eastAsia" w:ascii="仿宋" w:hAnsi="仿宋" w:eastAsia="仿宋" w:cs="仿宋"/>
                <w:spacing w:val="-9"/>
                <w:lang w:bidi="ar"/>
              </w:rPr>
              <w:t>维度</w:t>
            </w: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76AABB64">
            <w:pPr>
              <w:pStyle w:val="18"/>
              <w:spacing w:before="254"/>
              <w:ind w:left="401" w:right="155" w:hanging="238"/>
              <w:rPr>
                <w:rFonts w:ascii="仿宋" w:hAnsi="仿宋" w:eastAsia="仿宋" w:cs="仿宋"/>
              </w:rPr>
            </w:pPr>
            <w:r>
              <w:rPr>
                <w:rFonts w:hint="eastAsia" w:ascii="仿宋" w:hAnsi="仿宋" w:eastAsia="仿宋" w:cs="仿宋"/>
                <w:spacing w:val="-4"/>
                <w:lang w:bidi="ar"/>
              </w:rPr>
              <w:t>评价指</w:t>
            </w:r>
            <w:r>
              <w:rPr>
                <w:rFonts w:hint="eastAsia" w:ascii="仿宋" w:hAnsi="仿宋" w:eastAsia="仿宋" w:cs="仿宋"/>
                <w:lang w:bidi="ar"/>
              </w:rPr>
              <w:t>标</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13B8AB00">
            <w:pPr>
              <w:spacing w:line="328" w:lineRule="auto"/>
              <w:rPr>
                <w:rFonts w:ascii="Arial" w:hAnsi="Calibri"/>
                <w:szCs w:val="21"/>
              </w:rPr>
            </w:pPr>
          </w:p>
          <w:p w14:paraId="04B1E51E">
            <w:pPr>
              <w:pStyle w:val="18"/>
              <w:spacing w:before="78"/>
              <w:ind w:left="1007"/>
              <w:rPr>
                <w:rFonts w:ascii="仿宋" w:hAnsi="仿宋" w:eastAsia="仿宋" w:cs="仿宋"/>
              </w:rPr>
            </w:pPr>
            <w:r>
              <w:rPr>
                <w:rFonts w:hint="eastAsia" w:ascii="仿宋" w:hAnsi="仿宋" w:eastAsia="仿宋" w:cs="仿宋"/>
                <w:spacing w:val="-2"/>
                <w:lang w:bidi="ar"/>
              </w:rPr>
              <w:t>评价内容与评分标准</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08AD8293">
            <w:pPr>
              <w:pStyle w:val="18"/>
              <w:spacing w:before="210"/>
              <w:ind w:left="97"/>
              <w:rPr>
                <w:rFonts w:ascii="仿宋" w:hAnsi="仿宋" w:eastAsia="仿宋" w:cs="仿宋"/>
              </w:rPr>
            </w:pPr>
            <w:r>
              <w:rPr>
                <w:rFonts w:hint="eastAsia" w:ascii="仿宋" w:hAnsi="仿宋" w:eastAsia="仿宋" w:cs="仿宋"/>
                <w:spacing w:val="47"/>
                <w:lang w:bidi="ar"/>
              </w:rPr>
              <w:t>标准分</w:t>
            </w:r>
          </w:p>
        </w:tc>
        <w:tc>
          <w:tcPr>
            <w:tcW w:w="731" w:type="dxa"/>
            <w:tcBorders>
              <w:top w:val="single" w:color="000000" w:sz="2" w:space="0"/>
              <w:left w:val="single" w:color="000000" w:sz="2" w:space="0"/>
              <w:bottom w:val="single" w:color="000000" w:sz="2" w:space="0"/>
              <w:right w:val="single" w:color="000000" w:sz="2" w:space="0"/>
            </w:tcBorders>
            <w:shd w:val="clear" w:color="auto" w:fill="auto"/>
            <w:vAlign w:val="center"/>
          </w:tcPr>
          <w:p w14:paraId="3CD5AE37">
            <w:pPr>
              <w:pStyle w:val="18"/>
              <w:spacing w:before="121"/>
              <w:ind w:left="253"/>
              <w:rPr>
                <w:rFonts w:ascii="仿宋" w:hAnsi="仿宋" w:eastAsia="仿宋" w:cs="仿宋"/>
              </w:rPr>
            </w:pPr>
            <w:r>
              <w:rPr>
                <w:rFonts w:hint="eastAsia" w:ascii="仿宋" w:hAnsi="仿宋" w:eastAsia="仿宋" w:cs="仿宋"/>
                <w:spacing w:val="-1"/>
                <w:lang w:bidi="ar"/>
              </w:rPr>
              <w:t>得</w:t>
            </w:r>
            <w:r>
              <w:rPr>
                <w:rFonts w:hint="eastAsia" w:ascii="仿宋" w:hAnsi="仿宋" w:eastAsia="仿宋" w:cs="仿宋"/>
                <w:spacing w:val="-47"/>
                <w:lang w:bidi="ar"/>
              </w:rPr>
              <w:t xml:space="preserve"> </w:t>
            </w:r>
            <w:r>
              <w:rPr>
                <w:rFonts w:hint="eastAsia" w:ascii="仿宋" w:hAnsi="仿宋" w:eastAsia="仿宋" w:cs="仿宋"/>
                <w:spacing w:val="-1"/>
                <w:lang w:bidi="ar"/>
              </w:rPr>
              <w:t>分</w:t>
            </w:r>
          </w:p>
        </w:tc>
        <w:tc>
          <w:tcPr>
            <w:tcW w:w="1778" w:type="dxa"/>
            <w:tcBorders>
              <w:top w:val="single" w:color="000000" w:sz="2" w:space="0"/>
              <w:left w:val="single" w:color="000000" w:sz="2" w:space="0"/>
              <w:bottom w:val="single" w:color="000000" w:sz="2" w:space="0"/>
              <w:right w:val="single" w:color="000000" w:sz="2" w:space="0"/>
            </w:tcBorders>
            <w:shd w:val="clear" w:color="auto" w:fill="auto"/>
          </w:tcPr>
          <w:p w14:paraId="1EA8A560">
            <w:pPr>
              <w:spacing w:line="328" w:lineRule="auto"/>
              <w:rPr>
                <w:rFonts w:ascii="Arial" w:hAnsi="Calibri"/>
                <w:szCs w:val="21"/>
              </w:rPr>
            </w:pPr>
          </w:p>
          <w:p w14:paraId="7F3F5213">
            <w:pPr>
              <w:pStyle w:val="18"/>
              <w:spacing w:before="78"/>
              <w:ind w:left="535"/>
              <w:rPr>
                <w:rFonts w:ascii="仿宋" w:hAnsi="仿宋" w:eastAsia="仿宋" w:cs="仿宋"/>
              </w:rPr>
            </w:pPr>
            <w:r>
              <w:rPr>
                <w:rFonts w:hint="eastAsia" w:ascii="仿宋" w:hAnsi="仿宋" w:eastAsia="仿宋" w:cs="仿宋"/>
                <w:spacing w:val="-3"/>
                <w:lang w:bidi="ar"/>
              </w:rPr>
              <w:t>评分说明</w:t>
            </w:r>
          </w:p>
        </w:tc>
      </w:tr>
      <w:tr w14:paraId="1DC06E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5" w:hRule="atLeast"/>
        </w:trPr>
        <w:tc>
          <w:tcPr>
            <w:tcW w:w="779" w:type="dxa"/>
            <w:vMerge w:val="restart"/>
            <w:tcBorders>
              <w:top w:val="nil"/>
              <w:left w:val="single" w:color="000000" w:sz="2" w:space="0"/>
              <w:bottom w:val="nil"/>
              <w:right w:val="single" w:color="000000" w:sz="2" w:space="0"/>
            </w:tcBorders>
            <w:shd w:val="clear" w:color="auto" w:fill="auto"/>
          </w:tcPr>
          <w:p w14:paraId="578F7570">
            <w:pPr>
              <w:spacing w:line="259" w:lineRule="auto"/>
              <w:rPr>
                <w:rFonts w:ascii="Arial" w:hAnsi="Calibri"/>
                <w:szCs w:val="21"/>
              </w:rPr>
            </w:pPr>
          </w:p>
          <w:p w14:paraId="1BD03DC4">
            <w:pPr>
              <w:spacing w:line="259" w:lineRule="auto"/>
              <w:rPr>
                <w:rFonts w:ascii="Arial" w:hAnsi="Calibri"/>
                <w:szCs w:val="21"/>
              </w:rPr>
            </w:pPr>
          </w:p>
          <w:p w14:paraId="367BC92D">
            <w:pPr>
              <w:spacing w:line="259" w:lineRule="auto"/>
              <w:rPr>
                <w:rFonts w:ascii="Arial" w:hAnsi="Calibri"/>
                <w:szCs w:val="21"/>
              </w:rPr>
            </w:pPr>
          </w:p>
          <w:p w14:paraId="0283D929">
            <w:pPr>
              <w:spacing w:line="259" w:lineRule="auto"/>
              <w:rPr>
                <w:rFonts w:ascii="Arial" w:hAnsi="Calibri"/>
                <w:szCs w:val="21"/>
              </w:rPr>
            </w:pPr>
          </w:p>
          <w:p w14:paraId="014510F2">
            <w:pPr>
              <w:pStyle w:val="18"/>
              <w:spacing w:before="78"/>
              <w:ind w:left="156" w:right="147" w:firstLine="14"/>
              <w:rPr>
                <w:rFonts w:ascii="仿宋" w:hAnsi="仿宋" w:eastAsia="仿宋" w:cs="仿宋"/>
              </w:rPr>
            </w:pPr>
            <w:r>
              <w:rPr>
                <w:rFonts w:hint="eastAsia" w:ascii="仿宋" w:hAnsi="仿宋" w:eastAsia="仿宋" w:cs="仿宋"/>
                <w:spacing w:val="-9"/>
                <w:lang w:bidi="ar"/>
              </w:rPr>
              <w:t>1.资</w:t>
            </w:r>
            <w:r>
              <w:rPr>
                <w:rFonts w:hint="eastAsia" w:ascii="仿宋" w:hAnsi="仿宋" w:eastAsia="仿宋" w:cs="仿宋"/>
                <w:spacing w:val="-6"/>
                <w:lang w:bidi="ar"/>
              </w:rPr>
              <w:t>质与合规</w:t>
            </w:r>
            <w:r>
              <w:rPr>
                <w:rFonts w:hint="eastAsia" w:ascii="仿宋" w:hAnsi="仿宋" w:eastAsia="仿宋" w:cs="仿宋"/>
                <w:spacing w:val="16"/>
                <w:lang w:bidi="ar"/>
              </w:rPr>
              <w:t>(15</w:t>
            </w:r>
            <w:r>
              <w:rPr>
                <w:rFonts w:hint="eastAsia" w:ascii="仿宋" w:hAnsi="仿宋" w:eastAsia="仿宋" w:cs="仿宋"/>
                <w:spacing w:val="24"/>
                <w:lang w:bidi="ar"/>
              </w:rPr>
              <w:t>分)</w:t>
            </w: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21936C7E">
            <w:pPr>
              <w:pStyle w:val="18"/>
              <w:spacing w:before="96"/>
              <w:ind w:left="164" w:right="155" w:firstLine="42"/>
              <w:rPr>
                <w:rFonts w:ascii="仿宋" w:hAnsi="仿宋" w:eastAsia="仿宋" w:cs="仿宋"/>
              </w:rPr>
            </w:pPr>
            <w:r>
              <w:rPr>
                <w:rFonts w:hint="eastAsia" w:ascii="仿宋" w:hAnsi="仿宋" w:eastAsia="仿宋" w:cs="仿宋"/>
                <w:spacing w:val="-12"/>
                <w:lang w:bidi="ar"/>
              </w:rPr>
              <w:t>1.1</w:t>
            </w:r>
            <w:r>
              <w:rPr>
                <w:rFonts w:hint="eastAsia" w:ascii="仿宋" w:hAnsi="仿宋" w:eastAsia="仿宋" w:cs="仿宋"/>
                <w:spacing w:val="-38"/>
                <w:lang w:bidi="ar"/>
              </w:rPr>
              <w:t xml:space="preserve"> </w:t>
            </w:r>
            <w:r>
              <w:rPr>
                <w:rFonts w:hint="eastAsia" w:ascii="仿宋" w:hAnsi="仿宋" w:eastAsia="仿宋" w:cs="仿宋"/>
                <w:spacing w:val="-12"/>
                <w:lang w:bidi="ar"/>
              </w:rPr>
              <w:t>资</w:t>
            </w:r>
            <w:r>
              <w:rPr>
                <w:rFonts w:hint="eastAsia" w:ascii="仿宋" w:hAnsi="仿宋" w:eastAsia="仿宋" w:cs="仿宋"/>
                <w:spacing w:val="-4"/>
                <w:lang w:bidi="ar"/>
              </w:rPr>
              <w:t>质证照</w:t>
            </w:r>
          </w:p>
          <w:p w14:paraId="50FB88DE">
            <w:pPr>
              <w:pStyle w:val="18"/>
              <w:spacing w:before="1"/>
              <w:ind w:left="169"/>
              <w:rPr>
                <w:rFonts w:ascii="仿宋" w:hAnsi="仿宋" w:eastAsia="仿宋" w:cs="仿宋"/>
              </w:rPr>
            </w:pPr>
            <w:r>
              <w:rPr>
                <w:rFonts w:hint="eastAsia" w:ascii="仿宋" w:hAnsi="仿宋" w:eastAsia="仿宋" w:cs="仿宋"/>
                <w:spacing w:val="-6"/>
                <w:lang w:bidi="ar"/>
              </w:rPr>
              <w:t>有效性</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22B27A4D">
            <w:pPr>
              <w:pStyle w:val="18"/>
              <w:spacing w:before="94"/>
              <w:ind w:left="132" w:right="49" w:firstLine="8"/>
              <w:rPr>
                <w:rFonts w:ascii="仿宋" w:hAnsi="仿宋" w:eastAsia="仿宋" w:cs="仿宋"/>
              </w:rPr>
            </w:pPr>
            <w:r>
              <w:rPr>
                <w:rFonts w:hint="eastAsia" w:ascii="仿宋" w:hAnsi="仿宋" w:eastAsia="仿宋" w:cs="仿宋"/>
                <w:spacing w:val="-2"/>
                <w:lang w:bidi="ar"/>
              </w:rPr>
              <w:t>营业执照、资质证书、安全生产许可证等齐全有效，并在许可范围内开展</w:t>
            </w:r>
            <w:r>
              <w:rPr>
                <w:rFonts w:hint="eastAsia" w:ascii="仿宋" w:hAnsi="仿宋" w:eastAsia="仿宋" w:cs="仿宋"/>
                <w:spacing w:val="-8"/>
                <w:lang w:bidi="ar"/>
              </w:rPr>
              <w:t>业务。一项不符合扣</w:t>
            </w:r>
            <w:r>
              <w:rPr>
                <w:rFonts w:hint="eastAsia" w:ascii="仿宋" w:hAnsi="仿宋" w:eastAsia="仿宋" w:cs="仿宋"/>
                <w:spacing w:val="-41"/>
                <w:lang w:bidi="ar"/>
              </w:rPr>
              <w:t xml:space="preserve"> </w:t>
            </w:r>
            <w:r>
              <w:rPr>
                <w:rFonts w:hint="eastAsia" w:ascii="仿宋" w:hAnsi="仿宋" w:eastAsia="仿宋" w:cs="仿宋"/>
                <w:spacing w:val="-8"/>
                <w:lang w:bidi="ar"/>
              </w:rPr>
              <w:t>2</w:t>
            </w:r>
            <w:r>
              <w:rPr>
                <w:rFonts w:hint="eastAsia" w:ascii="仿宋" w:hAnsi="仿宋" w:eastAsia="仿宋" w:cs="仿宋"/>
                <w:spacing w:val="-49"/>
                <w:lang w:bidi="ar"/>
              </w:rPr>
              <w:t xml:space="preserve"> </w:t>
            </w:r>
            <w:r>
              <w:rPr>
                <w:rFonts w:hint="eastAsia" w:ascii="仿宋" w:hAnsi="仿宋" w:eastAsia="仿宋" w:cs="仿宋"/>
                <w:spacing w:val="-8"/>
                <w:lang w:bidi="ar"/>
              </w:rPr>
              <w:t>分，扣完为止。</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1D0101BC">
            <w:pPr>
              <w:spacing w:line="326" w:lineRule="auto"/>
              <w:rPr>
                <w:rFonts w:ascii="Arial" w:hAnsi="Calibri"/>
                <w:szCs w:val="21"/>
              </w:rPr>
            </w:pPr>
          </w:p>
          <w:p w14:paraId="71D537CA">
            <w:pPr>
              <w:pStyle w:val="18"/>
              <w:spacing w:before="78"/>
              <w:ind w:left="296"/>
              <w:rPr>
                <w:rFonts w:ascii="仿宋" w:hAnsi="仿宋" w:eastAsia="仿宋" w:cs="仿宋"/>
              </w:rPr>
            </w:pPr>
            <w:r>
              <w:rPr>
                <w:rFonts w:hint="eastAsia" w:ascii="仿宋" w:hAnsi="仿宋" w:eastAsia="仿宋" w:cs="仿宋"/>
                <w:lang w:bidi="ar"/>
              </w:rPr>
              <w:t>5</w:t>
            </w:r>
          </w:p>
        </w:tc>
        <w:tc>
          <w:tcPr>
            <w:tcW w:w="731" w:type="dxa"/>
            <w:tcBorders>
              <w:top w:val="single" w:color="000000" w:sz="2" w:space="0"/>
              <w:left w:val="single" w:color="000000" w:sz="2" w:space="0"/>
              <w:bottom w:val="single" w:color="000000" w:sz="2" w:space="0"/>
              <w:right w:val="single" w:color="000000" w:sz="2" w:space="0"/>
            </w:tcBorders>
            <w:shd w:val="clear" w:color="auto" w:fill="auto"/>
            <w:vAlign w:val="center"/>
          </w:tcPr>
          <w:p w14:paraId="514D1392">
            <w:pPr>
              <w:rPr>
                <w:rFonts w:ascii="Arial" w:hAnsi="Calibri"/>
                <w:szCs w:val="21"/>
              </w:rPr>
            </w:pPr>
          </w:p>
        </w:tc>
        <w:tc>
          <w:tcPr>
            <w:tcW w:w="1778" w:type="dxa"/>
            <w:tcBorders>
              <w:top w:val="single" w:color="000000" w:sz="2" w:space="0"/>
              <w:left w:val="single" w:color="000000" w:sz="2" w:space="0"/>
              <w:bottom w:val="single" w:color="000000" w:sz="2" w:space="0"/>
              <w:right w:val="single" w:color="000000" w:sz="2" w:space="0"/>
            </w:tcBorders>
            <w:shd w:val="clear" w:color="auto" w:fill="auto"/>
          </w:tcPr>
          <w:p w14:paraId="4EAAA6AD">
            <w:pPr>
              <w:rPr>
                <w:rFonts w:ascii="Arial" w:hAnsi="Calibri"/>
                <w:szCs w:val="21"/>
              </w:rPr>
            </w:pPr>
          </w:p>
        </w:tc>
      </w:tr>
      <w:tr w14:paraId="738071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37" w:hRule="atLeast"/>
        </w:trPr>
        <w:tc>
          <w:tcPr>
            <w:tcW w:w="779" w:type="dxa"/>
            <w:vMerge w:val="continue"/>
            <w:tcBorders>
              <w:top w:val="nil"/>
              <w:left w:val="single" w:color="000000" w:sz="2" w:space="0"/>
              <w:bottom w:val="nil"/>
              <w:right w:val="single" w:color="000000" w:sz="2" w:space="0"/>
            </w:tcBorders>
            <w:shd w:val="clear" w:color="auto" w:fill="auto"/>
          </w:tcPr>
          <w:p w14:paraId="5224D2F4">
            <w:pPr>
              <w:rPr>
                <w:sz w:val="20"/>
                <w:szCs w:val="20"/>
              </w:rPr>
            </w:pP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232FDEB8">
            <w:pPr>
              <w:pStyle w:val="18"/>
              <w:spacing w:before="252"/>
              <w:ind w:left="207"/>
              <w:rPr>
                <w:rFonts w:ascii="仿宋" w:hAnsi="仿宋" w:eastAsia="仿宋" w:cs="仿宋"/>
              </w:rPr>
            </w:pPr>
            <w:r>
              <w:rPr>
                <w:rFonts w:hint="eastAsia" w:ascii="仿宋" w:hAnsi="仿宋" w:eastAsia="仿宋" w:cs="仿宋"/>
                <w:spacing w:val="-7"/>
                <w:lang w:bidi="ar"/>
              </w:rPr>
              <w:t>1.2</w:t>
            </w:r>
            <w:r>
              <w:rPr>
                <w:rFonts w:hint="eastAsia" w:ascii="仿宋" w:hAnsi="仿宋" w:eastAsia="仿宋" w:cs="仿宋"/>
                <w:spacing w:val="-38"/>
                <w:lang w:bidi="ar"/>
              </w:rPr>
              <w:t xml:space="preserve"> </w:t>
            </w:r>
            <w:r>
              <w:rPr>
                <w:rFonts w:hint="eastAsia" w:ascii="仿宋" w:hAnsi="仿宋" w:eastAsia="仿宋" w:cs="仿宋"/>
                <w:spacing w:val="-7"/>
                <w:lang w:bidi="ar"/>
              </w:rPr>
              <w:t>关</w:t>
            </w:r>
          </w:p>
          <w:p w14:paraId="7A36B6E1">
            <w:pPr>
              <w:pStyle w:val="18"/>
              <w:spacing w:before="27"/>
              <w:ind w:left="158"/>
              <w:rPr>
                <w:rFonts w:ascii="仿宋" w:hAnsi="仿宋" w:eastAsia="仿宋" w:cs="仿宋"/>
              </w:rPr>
            </w:pPr>
            <w:r>
              <w:rPr>
                <w:rFonts w:hint="eastAsia" w:ascii="仿宋" w:hAnsi="仿宋" w:eastAsia="仿宋" w:cs="仿宋"/>
                <w:spacing w:val="-2"/>
                <w:lang w:bidi="ar"/>
              </w:rPr>
              <w:t>键岗位</w:t>
            </w:r>
          </w:p>
          <w:p w14:paraId="50CC863E">
            <w:pPr>
              <w:pStyle w:val="18"/>
              <w:spacing w:before="30"/>
              <w:ind w:left="286"/>
              <w:rPr>
                <w:rFonts w:ascii="仿宋" w:hAnsi="仿宋" w:eastAsia="仿宋" w:cs="仿宋"/>
              </w:rPr>
            </w:pPr>
            <w:r>
              <w:rPr>
                <w:rFonts w:hint="eastAsia" w:ascii="仿宋" w:hAnsi="仿宋" w:eastAsia="仿宋" w:cs="仿宋"/>
                <w:spacing w:val="-7"/>
                <w:lang w:bidi="ar"/>
              </w:rPr>
              <w:t>持证</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63A775D1">
            <w:pPr>
              <w:pStyle w:val="18"/>
              <w:spacing w:before="94"/>
              <w:ind w:left="127" w:right="49" w:firstLine="7"/>
              <w:rPr>
                <w:rFonts w:ascii="仿宋" w:hAnsi="仿宋" w:eastAsia="仿宋" w:cs="仿宋"/>
              </w:rPr>
            </w:pPr>
            <w:r>
              <w:rPr>
                <w:rFonts w:hint="eastAsia" w:ascii="仿宋" w:hAnsi="仿宋" w:eastAsia="仿宋" w:cs="仿宋"/>
                <w:spacing w:val="-3"/>
                <w:lang w:bidi="ar"/>
              </w:rPr>
              <w:t>主要负责人、安全管理人员</w:t>
            </w:r>
            <w:r>
              <w:rPr>
                <w:rFonts w:hint="eastAsia" w:ascii="仿宋" w:hAnsi="仿宋" w:eastAsia="仿宋" w:cs="仿宋"/>
                <w:spacing w:val="-27"/>
                <w:lang w:bidi="ar"/>
              </w:rPr>
              <w:t xml:space="preserve"> </w:t>
            </w:r>
            <w:r>
              <w:rPr>
                <w:rFonts w:hint="eastAsia" w:ascii="仿宋" w:hAnsi="仿宋" w:eastAsia="仿宋" w:cs="仿宋"/>
                <w:spacing w:val="-3"/>
                <w:lang w:bidi="ar"/>
              </w:rPr>
              <w:t>100%持有</w:t>
            </w:r>
            <w:r>
              <w:rPr>
                <w:rFonts w:hint="eastAsia" w:ascii="仿宋" w:hAnsi="仿宋" w:eastAsia="仿宋" w:cs="仿宋"/>
                <w:spacing w:val="-1"/>
                <w:lang w:bidi="ar"/>
              </w:rPr>
              <w:t>有效安全生产考核合格证；特种（设</w:t>
            </w:r>
            <w:r>
              <w:rPr>
                <w:rFonts w:hint="eastAsia" w:ascii="仿宋" w:hAnsi="仿宋" w:eastAsia="仿宋" w:cs="仿宋"/>
                <w:spacing w:val="-10"/>
                <w:lang w:bidi="ar"/>
              </w:rPr>
              <w:t>备）作业人员</w:t>
            </w:r>
            <w:r>
              <w:rPr>
                <w:rFonts w:hint="eastAsia" w:ascii="仿宋" w:hAnsi="仿宋" w:eastAsia="仿宋" w:cs="仿宋"/>
                <w:spacing w:val="-31"/>
                <w:lang w:bidi="ar"/>
              </w:rPr>
              <w:t xml:space="preserve"> </w:t>
            </w:r>
            <w:r>
              <w:rPr>
                <w:rFonts w:hint="eastAsia" w:ascii="仿宋" w:hAnsi="仿宋" w:eastAsia="仿宋" w:cs="仿宋"/>
                <w:spacing w:val="-10"/>
                <w:lang w:bidi="ar"/>
              </w:rPr>
              <w:t>100%持有效操作证上岗。</w:t>
            </w:r>
            <w:r>
              <w:rPr>
                <w:rFonts w:hint="eastAsia" w:ascii="仿宋" w:hAnsi="仿宋" w:eastAsia="仿宋" w:cs="仿宋"/>
                <w:spacing w:val="-4"/>
                <w:lang w:bidi="ar"/>
              </w:rPr>
              <w:t>一人不符合扣</w:t>
            </w:r>
            <w:r>
              <w:rPr>
                <w:rFonts w:hint="eastAsia" w:ascii="仿宋" w:hAnsi="仿宋" w:eastAsia="仿宋" w:cs="仿宋"/>
                <w:spacing w:val="-29"/>
                <w:lang w:bidi="ar"/>
              </w:rPr>
              <w:t xml:space="preserve"> </w:t>
            </w:r>
            <w:r>
              <w:rPr>
                <w:rFonts w:hint="eastAsia" w:ascii="仿宋" w:hAnsi="仿宋" w:eastAsia="仿宋" w:cs="仿宋"/>
                <w:spacing w:val="-4"/>
                <w:lang w:bidi="ar"/>
              </w:rPr>
              <w:t>2</w:t>
            </w:r>
            <w:r>
              <w:rPr>
                <w:rFonts w:hint="eastAsia" w:ascii="仿宋" w:hAnsi="仿宋" w:eastAsia="仿宋" w:cs="仿宋"/>
                <w:spacing w:val="-49"/>
                <w:lang w:bidi="ar"/>
              </w:rPr>
              <w:t xml:space="preserve"> </w:t>
            </w:r>
            <w:r>
              <w:rPr>
                <w:rFonts w:hint="eastAsia" w:ascii="仿宋" w:hAnsi="仿宋" w:eastAsia="仿宋" w:cs="仿宋"/>
                <w:spacing w:val="-4"/>
                <w:lang w:bidi="ar"/>
              </w:rPr>
              <w:t>分，扣完为止。</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0ADC5090">
            <w:pPr>
              <w:rPr>
                <w:rFonts w:ascii="Arial" w:hAnsi="Calibri"/>
                <w:szCs w:val="21"/>
              </w:rPr>
            </w:pPr>
          </w:p>
          <w:p w14:paraId="3F0ED3EE">
            <w:pPr>
              <w:rPr>
                <w:rFonts w:ascii="Arial" w:hAnsi="Calibri"/>
                <w:szCs w:val="21"/>
              </w:rPr>
            </w:pPr>
          </w:p>
          <w:p w14:paraId="3B249853">
            <w:pPr>
              <w:pStyle w:val="18"/>
              <w:spacing w:before="78"/>
              <w:ind w:left="296"/>
              <w:rPr>
                <w:rFonts w:ascii="仿宋" w:hAnsi="仿宋" w:eastAsia="仿宋" w:cs="仿宋"/>
              </w:rPr>
            </w:pPr>
            <w:r>
              <w:rPr>
                <w:rFonts w:hint="eastAsia" w:ascii="仿宋" w:hAnsi="仿宋" w:eastAsia="仿宋" w:cs="仿宋"/>
                <w:lang w:bidi="ar"/>
              </w:rPr>
              <w:t>5</w:t>
            </w:r>
          </w:p>
        </w:tc>
        <w:tc>
          <w:tcPr>
            <w:tcW w:w="731" w:type="dxa"/>
            <w:tcBorders>
              <w:top w:val="single" w:color="000000" w:sz="2" w:space="0"/>
              <w:left w:val="single" w:color="000000" w:sz="2" w:space="0"/>
              <w:bottom w:val="single" w:color="000000" w:sz="2" w:space="0"/>
              <w:right w:val="single" w:color="000000" w:sz="2" w:space="0"/>
            </w:tcBorders>
            <w:shd w:val="clear" w:color="auto" w:fill="auto"/>
            <w:vAlign w:val="center"/>
          </w:tcPr>
          <w:p w14:paraId="66CCA950">
            <w:pPr>
              <w:rPr>
                <w:rFonts w:ascii="Arial" w:hAnsi="Calibri"/>
                <w:szCs w:val="21"/>
              </w:rPr>
            </w:pPr>
          </w:p>
        </w:tc>
        <w:tc>
          <w:tcPr>
            <w:tcW w:w="1778" w:type="dxa"/>
            <w:tcBorders>
              <w:top w:val="single" w:color="000000" w:sz="2" w:space="0"/>
              <w:left w:val="single" w:color="000000" w:sz="2" w:space="0"/>
              <w:bottom w:val="single" w:color="000000" w:sz="2" w:space="0"/>
              <w:right w:val="single" w:color="000000" w:sz="2" w:space="0"/>
            </w:tcBorders>
            <w:shd w:val="clear" w:color="auto" w:fill="auto"/>
          </w:tcPr>
          <w:p w14:paraId="09C1EACE">
            <w:pPr>
              <w:rPr>
                <w:rFonts w:ascii="Arial" w:hAnsi="Calibri"/>
                <w:szCs w:val="21"/>
              </w:rPr>
            </w:pPr>
          </w:p>
        </w:tc>
      </w:tr>
      <w:tr w14:paraId="51FCD9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37" w:hRule="atLeast"/>
        </w:trPr>
        <w:tc>
          <w:tcPr>
            <w:tcW w:w="779" w:type="dxa"/>
            <w:vMerge w:val="continue"/>
            <w:tcBorders>
              <w:top w:val="nil"/>
              <w:left w:val="single" w:color="000000" w:sz="2" w:space="0"/>
              <w:bottom w:val="nil"/>
              <w:right w:val="single" w:color="000000" w:sz="2" w:space="0"/>
            </w:tcBorders>
            <w:shd w:val="clear" w:color="auto" w:fill="auto"/>
          </w:tcPr>
          <w:p w14:paraId="72125398">
            <w:pPr>
              <w:rPr>
                <w:sz w:val="20"/>
                <w:szCs w:val="20"/>
              </w:rPr>
            </w:pP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09E6C60A">
            <w:pPr>
              <w:pStyle w:val="18"/>
              <w:spacing w:before="253"/>
              <w:ind w:left="163" w:right="155" w:firstLine="43"/>
              <w:rPr>
                <w:rFonts w:ascii="仿宋" w:hAnsi="仿宋" w:eastAsia="仿宋" w:cs="仿宋"/>
              </w:rPr>
            </w:pPr>
            <w:r>
              <w:rPr>
                <w:rFonts w:hint="eastAsia" w:ascii="仿宋" w:hAnsi="仿宋" w:eastAsia="仿宋" w:cs="仿宋"/>
                <w:spacing w:val="-10"/>
                <w:lang w:bidi="ar"/>
              </w:rPr>
              <w:t>1.3</w:t>
            </w:r>
            <w:r>
              <w:rPr>
                <w:rFonts w:hint="eastAsia" w:ascii="仿宋" w:hAnsi="仿宋" w:eastAsia="仿宋" w:cs="仿宋"/>
                <w:spacing w:val="-46"/>
                <w:lang w:bidi="ar"/>
              </w:rPr>
              <w:t xml:space="preserve"> </w:t>
            </w:r>
            <w:r>
              <w:rPr>
                <w:rFonts w:hint="eastAsia" w:ascii="仿宋" w:hAnsi="仿宋" w:eastAsia="仿宋" w:cs="仿宋"/>
                <w:spacing w:val="-10"/>
                <w:lang w:bidi="ar"/>
              </w:rPr>
              <w:t>合</w:t>
            </w:r>
            <w:r>
              <w:rPr>
                <w:rFonts w:hint="eastAsia" w:ascii="仿宋" w:hAnsi="仿宋" w:eastAsia="仿宋" w:cs="仿宋"/>
                <w:spacing w:val="-4"/>
                <w:lang w:bidi="ar"/>
              </w:rPr>
              <w:t>同与协议履约</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203A8BB6">
            <w:pPr>
              <w:pStyle w:val="18"/>
              <w:spacing w:before="99"/>
              <w:ind w:left="127" w:right="202" w:hanging="7"/>
              <w:rPr>
                <w:rFonts w:ascii="仿宋" w:hAnsi="仿宋" w:eastAsia="仿宋" w:cs="仿宋"/>
              </w:rPr>
            </w:pPr>
            <w:r>
              <w:rPr>
                <w:rFonts w:hint="eastAsia" w:ascii="仿宋" w:hAnsi="仿宋" w:eastAsia="仿宋" w:cs="仿宋"/>
                <w:spacing w:val="-1"/>
                <w:lang w:bidi="ar"/>
              </w:rPr>
              <w:t>严格履行合同及安全环保管理协议中约定的全部安全责任与义务。发现一项重大违约本项不得分，一般违约一</w:t>
            </w:r>
            <w:r>
              <w:rPr>
                <w:rFonts w:hint="eastAsia" w:ascii="仿宋" w:hAnsi="仿宋" w:eastAsia="仿宋" w:cs="仿宋"/>
                <w:spacing w:val="-10"/>
                <w:lang w:bidi="ar"/>
              </w:rPr>
              <w:t>项扣</w:t>
            </w:r>
            <w:r>
              <w:rPr>
                <w:rFonts w:hint="eastAsia" w:ascii="仿宋" w:hAnsi="仿宋" w:eastAsia="仿宋" w:cs="仿宋"/>
                <w:spacing w:val="-35"/>
                <w:lang w:bidi="ar"/>
              </w:rPr>
              <w:t xml:space="preserve"> </w:t>
            </w:r>
            <w:r>
              <w:rPr>
                <w:rFonts w:hint="eastAsia" w:ascii="仿宋" w:hAnsi="仿宋" w:eastAsia="仿宋" w:cs="仿宋"/>
                <w:spacing w:val="-10"/>
                <w:lang w:bidi="ar"/>
              </w:rPr>
              <w:t>1</w:t>
            </w:r>
            <w:r>
              <w:rPr>
                <w:rFonts w:hint="eastAsia" w:ascii="仿宋" w:hAnsi="仿宋" w:eastAsia="仿宋" w:cs="仿宋"/>
                <w:spacing w:val="-49"/>
                <w:lang w:bidi="ar"/>
              </w:rPr>
              <w:t xml:space="preserve"> </w:t>
            </w:r>
            <w:r>
              <w:rPr>
                <w:rFonts w:hint="eastAsia" w:ascii="仿宋" w:hAnsi="仿宋" w:eastAsia="仿宋" w:cs="仿宋"/>
                <w:spacing w:val="-10"/>
                <w:lang w:bidi="ar"/>
              </w:rPr>
              <w:t>分。</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100B916D">
            <w:pPr>
              <w:rPr>
                <w:rFonts w:ascii="Arial" w:hAnsi="Calibri"/>
                <w:szCs w:val="21"/>
              </w:rPr>
            </w:pPr>
          </w:p>
          <w:p w14:paraId="77AB57A6">
            <w:pPr>
              <w:rPr>
                <w:rFonts w:ascii="Arial" w:hAnsi="Calibri"/>
                <w:szCs w:val="21"/>
              </w:rPr>
            </w:pPr>
          </w:p>
          <w:p w14:paraId="4C914448">
            <w:pPr>
              <w:pStyle w:val="18"/>
              <w:spacing w:before="78"/>
              <w:ind w:left="296"/>
              <w:rPr>
                <w:rFonts w:ascii="仿宋" w:hAnsi="仿宋" w:eastAsia="仿宋" w:cs="仿宋"/>
              </w:rPr>
            </w:pPr>
            <w:r>
              <w:rPr>
                <w:rFonts w:hint="eastAsia" w:ascii="仿宋" w:hAnsi="仿宋" w:eastAsia="仿宋" w:cs="仿宋"/>
                <w:lang w:bidi="ar"/>
              </w:rPr>
              <w:t>5</w:t>
            </w:r>
          </w:p>
        </w:tc>
        <w:tc>
          <w:tcPr>
            <w:tcW w:w="731" w:type="dxa"/>
            <w:tcBorders>
              <w:top w:val="single" w:color="000000" w:sz="2" w:space="0"/>
              <w:left w:val="single" w:color="000000" w:sz="2" w:space="0"/>
              <w:bottom w:val="single" w:color="000000" w:sz="2" w:space="0"/>
              <w:right w:val="single" w:color="000000" w:sz="2" w:space="0"/>
            </w:tcBorders>
            <w:shd w:val="clear" w:color="auto" w:fill="auto"/>
            <w:vAlign w:val="center"/>
          </w:tcPr>
          <w:p w14:paraId="3DDBBB50">
            <w:pPr>
              <w:rPr>
                <w:rFonts w:ascii="Arial" w:hAnsi="Calibri"/>
                <w:szCs w:val="21"/>
              </w:rPr>
            </w:pPr>
          </w:p>
        </w:tc>
        <w:tc>
          <w:tcPr>
            <w:tcW w:w="1778" w:type="dxa"/>
            <w:tcBorders>
              <w:top w:val="single" w:color="000000" w:sz="2" w:space="0"/>
              <w:left w:val="single" w:color="000000" w:sz="2" w:space="0"/>
              <w:bottom w:val="single" w:color="000000" w:sz="2" w:space="0"/>
              <w:right w:val="single" w:color="000000" w:sz="2" w:space="0"/>
            </w:tcBorders>
            <w:shd w:val="clear" w:color="auto" w:fill="auto"/>
          </w:tcPr>
          <w:p w14:paraId="16437DAE">
            <w:pPr>
              <w:rPr>
                <w:rFonts w:ascii="Arial" w:hAnsi="Calibri"/>
                <w:szCs w:val="21"/>
              </w:rPr>
            </w:pPr>
          </w:p>
        </w:tc>
      </w:tr>
      <w:tr w14:paraId="26B3C2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6" w:hRule="atLeast"/>
        </w:trPr>
        <w:tc>
          <w:tcPr>
            <w:tcW w:w="779" w:type="dxa"/>
            <w:vMerge w:val="restart"/>
            <w:tcBorders>
              <w:top w:val="nil"/>
              <w:left w:val="single" w:color="000000" w:sz="2" w:space="0"/>
              <w:bottom w:val="nil"/>
              <w:right w:val="single" w:color="000000" w:sz="2" w:space="0"/>
            </w:tcBorders>
            <w:shd w:val="clear" w:color="auto" w:fill="auto"/>
          </w:tcPr>
          <w:p w14:paraId="26DAD97F">
            <w:pPr>
              <w:spacing w:line="242" w:lineRule="auto"/>
              <w:rPr>
                <w:rFonts w:ascii="Arial" w:hAnsi="Calibri"/>
                <w:szCs w:val="21"/>
              </w:rPr>
            </w:pPr>
          </w:p>
          <w:p w14:paraId="2C72BFF4">
            <w:pPr>
              <w:spacing w:line="242" w:lineRule="auto"/>
              <w:rPr>
                <w:rFonts w:ascii="Arial" w:hAnsi="Calibri"/>
                <w:szCs w:val="21"/>
              </w:rPr>
            </w:pPr>
          </w:p>
          <w:p w14:paraId="7B81A111">
            <w:pPr>
              <w:spacing w:line="244" w:lineRule="auto"/>
              <w:rPr>
                <w:rFonts w:ascii="Arial" w:hAnsi="Calibri"/>
                <w:szCs w:val="21"/>
              </w:rPr>
            </w:pPr>
          </w:p>
          <w:p w14:paraId="7B195609">
            <w:pPr>
              <w:pStyle w:val="18"/>
              <w:spacing w:before="78"/>
              <w:ind w:left="158" w:right="147" w:firstLine="6"/>
              <w:rPr>
                <w:rFonts w:ascii="仿宋" w:hAnsi="仿宋" w:eastAsia="仿宋" w:cs="仿宋"/>
              </w:rPr>
            </w:pPr>
            <w:r>
              <w:rPr>
                <w:rFonts w:hint="eastAsia" w:ascii="仿宋" w:hAnsi="仿宋" w:eastAsia="仿宋" w:cs="仿宋"/>
                <w:spacing w:val="-7"/>
                <w:lang w:bidi="ar"/>
              </w:rPr>
              <w:t>2.人员与培训</w:t>
            </w:r>
            <w:r>
              <w:rPr>
                <w:rFonts w:hint="eastAsia" w:ascii="仿宋" w:hAnsi="仿宋" w:eastAsia="仿宋" w:cs="仿宋"/>
                <w:spacing w:val="15"/>
                <w:lang w:bidi="ar"/>
              </w:rPr>
              <w:t>(15</w:t>
            </w:r>
            <w:r>
              <w:rPr>
                <w:rFonts w:hint="eastAsia" w:ascii="仿宋" w:hAnsi="仿宋" w:eastAsia="仿宋" w:cs="仿宋"/>
                <w:spacing w:val="23"/>
                <w:lang w:bidi="ar"/>
              </w:rPr>
              <w:t>分)</w:t>
            </w: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7851F776">
            <w:pPr>
              <w:pStyle w:val="18"/>
              <w:spacing w:before="99"/>
              <w:ind w:left="181" w:right="155" w:firstLine="20"/>
              <w:rPr>
                <w:rFonts w:ascii="仿宋" w:hAnsi="仿宋" w:eastAsia="仿宋" w:cs="仿宋"/>
              </w:rPr>
            </w:pPr>
            <w:r>
              <w:rPr>
                <w:rFonts w:hint="eastAsia" w:ascii="仿宋" w:hAnsi="仿宋" w:eastAsia="仿宋" w:cs="仿宋"/>
                <w:spacing w:val="-8"/>
                <w:lang w:bidi="ar"/>
              </w:rPr>
              <w:t>2.1</w:t>
            </w:r>
            <w:r>
              <w:rPr>
                <w:rFonts w:hint="eastAsia" w:ascii="仿宋" w:hAnsi="仿宋" w:eastAsia="仿宋" w:cs="仿宋"/>
                <w:spacing w:val="-48"/>
                <w:lang w:bidi="ar"/>
              </w:rPr>
              <w:t xml:space="preserve"> </w:t>
            </w:r>
            <w:r>
              <w:rPr>
                <w:rFonts w:hint="eastAsia" w:ascii="仿宋" w:hAnsi="仿宋" w:eastAsia="仿宋" w:cs="仿宋"/>
                <w:spacing w:val="-8"/>
                <w:lang w:bidi="ar"/>
              </w:rPr>
              <w:t>人</w:t>
            </w:r>
            <w:r>
              <w:rPr>
                <w:rFonts w:hint="eastAsia" w:ascii="仿宋" w:hAnsi="仿宋" w:eastAsia="仿宋" w:cs="仿宋"/>
                <w:spacing w:val="-10"/>
                <w:lang w:bidi="ar"/>
              </w:rPr>
              <w:t>员能力</w:t>
            </w:r>
          </w:p>
          <w:p w14:paraId="7610411D">
            <w:pPr>
              <w:pStyle w:val="18"/>
              <w:ind w:left="176"/>
              <w:rPr>
                <w:rFonts w:ascii="仿宋" w:hAnsi="仿宋" w:eastAsia="仿宋" w:cs="仿宋"/>
              </w:rPr>
            </w:pPr>
            <w:r>
              <w:rPr>
                <w:rFonts w:hint="eastAsia" w:ascii="仿宋" w:hAnsi="仿宋" w:eastAsia="仿宋" w:cs="仿宋"/>
                <w:spacing w:val="-8"/>
                <w:lang w:bidi="ar"/>
              </w:rPr>
              <w:t>与资质</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0F03FD21">
            <w:pPr>
              <w:pStyle w:val="18"/>
              <w:spacing w:before="99"/>
              <w:ind w:left="131" w:right="202" w:hanging="1"/>
              <w:rPr>
                <w:rFonts w:ascii="仿宋" w:hAnsi="仿宋" w:eastAsia="仿宋" w:cs="仿宋"/>
              </w:rPr>
            </w:pPr>
            <w:r>
              <w:rPr>
                <w:rFonts w:hint="eastAsia" w:ascii="仿宋" w:hAnsi="仿宋" w:eastAsia="仿宋" w:cs="仿宋"/>
                <w:spacing w:val="-1"/>
                <w:lang w:bidi="ar"/>
              </w:rPr>
              <w:t>从业人员学历、技能满足岗位要求，</w:t>
            </w:r>
            <w:r>
              <w:rPr>
                <w:rFonts w:hint="eastAsia" w:ascii="仿宋" w:hAnsi="仿宋" w:eastAsia="仿宋" w:cs="仿宋"/>
                <w:spacing w:val="-2"/>
                <w:lang w:bidi="ar"/>
              </w:rPr>
              <w:t>无职业禁忌症，体检合格。抽查发现</w:t>
            </w:r>
            <w:r>
              <w:rPr>
                <w:rFonts w:hint="eastAsia" w:ascii="仿宋" w:hAnsi="仿宋" w:eastAsia="仿宋" w:cs="仿宋"/>
                <w:spacing w:val="-4"/>
                <w:lang w:bidi="ar"/>
              </w:rPr>
              <w:t>一人不符合扣</w:t>
            </w:r>
            <w:r>
              <w:rPr>
                <w:rFonts w:hint="eastAsia" w:ascii="仿宋" w:hAnsi="仿宋" w:eastAsia="仿宋" w:cs="仿宋"/>
                <w:spacing w:val="-34"/>
                <w:lang w:bidi="ar"/>
              </w:rPr>
              <w:t xml:space="preserve"> </w:t>
            </w:r>
            <w:r>
              <w:rPr>
                <w:rFonts w:hint="eastAsia" w:ascii="仿宋" w:hAnsi="仿宋" w:eastAsia="仿宋" w:cs="仿宋"/>
                <w:spacing w:val="-4"/>
                <w:lang w:bidi="ar"/>
              </w:rPr>
              <w:t>1</w:t>
            </w:r>
            <w:r>
              <w:rPr>
                <w:rFonts w:hint="eastAsia" w:ascii="仿宋" w:hAnsi="仿宋" w:eastAsia="仿宋" w:cs="仿宋"/>
                <w:spacing w:val="-48"/>
                <w:lang w:bidi="ar"/>
              </w:rPr>
              <w:t xml:space="preserve"> </w:t>
            </w:r>
            <w:r>
              <w:rPr>
                <w:rFonts w:hint="eastAsia" w:ascii="仿宋" w:hAnsi="仿宋" w:eastAsia="仿宋" w:cs="仿宋"/>
                <w:spacing w:val="-4"/>
                <w:lang w:bidi="ar"/>
              </w:rPr>
              <w:t>分，扣完为止。</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0953E093">
            <w:pPr>
              <w:spacing w:line="328" w:lineRule="auto"/>
              <w:rPr>
                <w:rFonts w:ascii="Arial" w:hAnsi="Calibri"/>
                <w:szCs w:val="21"/>
              </w:rPr>
            </w:pPr>
          </w:p>
          <w:p w14:paraId="55507BCF">
            <w:pPr>
              <w:pStyle w:val="18"/>
              <w:spacing w:before="78"/>
              <w:ind w:left="296"/>
              <w:rPr>
                <w:rFonts w:ascii="仿宋" w:hAnsi="仿宋" w:eastAsia="仿宋" w:cs="仿宋"/>
              </w:rPr>
            </w:pPr>
            <w:r>
              <w:rPr>
                <w:rFonts w:hint="eastAsia" w:ascii="仿宋" w:hAnsi="仿宋" w:eastAsia="仿宋" w:cs="仿宋"/>
                <w:lang w:bidi="ar"/>
              </w:rPr>
              <w:t>5</w:t>
            </w:r>
          </w:p>
        </w:tc>
        <w:tc>
          <w:tcPr>
            <w:tcW w:w="731" w:type="dxa"/>
            <w:tcBorders>
              <w:top w:val="single" w:color="000000" w:sz="2" w:space="0"/>
              <w:left w:val="single" w:color="000000" w:sz="2" w:space="0"/>
              <w:bottom w:val="single" w:color="000000" w:sz="2" w:space="0"/>
              <w:right w:val="single" w:color="000000" w:sz="2" w:space="0"/>
            </w:tcBorders>
            <w:shd w:val="clear" w:color="auto" w:fill="auto"/>
            <w:vAlign w:val="center"/>
          </w:tcPr>
          <w:p w14:paraId="6839B18B">
            <w:pPr>
              <w:rPr>
                <w:rFonts w:ascii="Arial" w:hAnsi="Calibri"/>
                <w:szCs w:val="21"/>
              </w:rPr>
            </w:pPr>
          </w:p>
        </w:tc>
        <w:tc>
          <w:tcPr>
            <w:tcW w:w="1778" w:type="dxa"/>
            <w:tcBorders>
              <w:top w:val="single" w:color="000000" w:sz="2" w:space="0"/>
              <w:left w:val="single" w:color="000000" w:sz="2" w:space="0"/>
              <w:bottom w:val="single" w:color="000000" w:sz="2" w:space="0"/>
              <w:right w:val="single" w:color="000000" w:sz="2" w:space="0"/>
            </w:tcBorders>
            <w:shd w:val="clear" w:color="auto" w:fill="auto"/>
          </w:tcPr>
          <w:p w14:paraId="73A3ADDB">
            <w:pPr>
              <w:rPr>
                <w:rFonts w:ascii="Arial" w:hAnsi="Calibri"/>
                <w:szCs w:val="21"/>
              </w:rPr>
            </w:pPr>
          </w:p>
        </w:tc>
      </w:tr>
      <w:tr w14:paraId="53765E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5" w:hRule="atLeast"/>
        </w:trPr>
        <w:tc>
          <w:tcPr>
            <w:tcW w:w="779" w:type="dxa"/>
            <w:vMerge w:val="continue"/>
            <w:tcBorders>
              <w:top w:val="nil"/>
              <w:left w:val="single" w:color="000000" w:sz="2" w:space="0"/>
              <w:bottom w:val="nil"/>
              <w:right w:val="single" w:color="000000" w:sz="2" w:space="0"/>
            </w:tcBorders>
            <w:shd w:val="clear" w:color="auto" w:fill="auto"/>
          </w:tcPr>
          <w:p w14:paraId="24328221">
            <w:pPr>
              <w:rPr>
                <w:sz w:val="20"/>
                <w:szCs w:val="20"/>
              </w:rPr>
            </w:pP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44514004">
            <w:pPr>
              <w:pStyle w:val="18"/>
              <w:spacing w:before="97"/>
              <w:ind w:left="201"/>
              <w:rPr>
                <w:rFonts w:ascii="仿宋" w:hAnsi="仿宋" w:eastAsia="仿宋" w:cs="仿宋"/>
              </w:rPr>
            </w:pPr>
            <w:r>
              <w:rPr>
                <w:rFonts w:hint="eastAsia" w:ascii="仿宋" w:hAnsi="仿宋" w:eastAsia="仿宋" w:cs="仿宋"/>
                <w:spacing w:val="-5"/>
                <w:lang w:bidi="ar"/>
              </w:rPr>
              <w:t>2.2</w:t>
            </w:r>
            <w:r>
              <w:rPr>
                <w:rFonts w:hint="eastAsia" w:ascii="仿宋" w:hAnsi="仿宋" w:eastAsia="仿宋" w:cs="仿宋"/>
                <w:spacing w:val="-48"/>
                <w:lang w:bidi="ar"/>
              </w:rPr>
              <w:t xml:space="preserve"> </w:t>
            </w:r>
            <w:r>
              <w:rPr>
                <w:rFonts w:hint="eastAsia" w:ascii="仿宋" w:hAnsi="仿宋" w:eastAsia="仿宋" w:cs="仿宋"/>
                <w:spacing w:val="-5"/>
                <w:lang w:bidi="ar"/>
              </w:rPr>
              <w:t>培</w:t>
            </w:r>
          </w:p>
          <w:p w14:paraId="6B26A88A">
            <w:pPr>
              <w:pStyle w:val="18"/>
              <w:spacing w:before="28"/>
              <w:ind w:left="169"/>
              <w:rPr>
                <w:rFonts w:ascii="仿宋" w:hAnsi="仿宋" w:eastAsia="仿宋" w:cs="仿宋"/>
              </w:rPr>
            </w:pPr>
            <w:r>
              <w:rPr>
                <w:rFonts w:hint="eastAsia" w:ascii="仿宋" w:hAnsi="仿宋" w:eastAsia="仿宋" w:cs="仿宋"/>
                <w:spacing w:val="-6"/>
                <w:lang w:bidi="ar"/>
              </w:rPr>
              <w:t>训与考</w:t>
            </w:r>
          </w:p>
          <w:p w14:paraId="6A21A06A">
            <w:pPr>
              <w:pStyle w:val="18"/>
              <w:spacing w:before="29"/>
              <w:ind w:left="402"/>
              <w:rPr>
                <w:rFonts w:ascii="仿宋" w:hAnsi="仿宋" w:eastAsia="仿宋" w:cs="仿宋"/>
              </w:rPr>
            </w:pPr>
            <w:r>
              <w:rPr>
                <w:rFonts w:hint="eastAsia" w:ascii="仿宋" w:hAnsi="仿宋" w:eastAsia="仿宋" w:cs="仿宋"/>
                <w:lang w:bidi="ar"/>
              </w:rPr>
              <w:t>核</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11ECC4CC">
            <w:pPr>
              <w:pStyle w:val="18"/>
              <w:spacing w:before="98"/>
              <w:ind w:left="128" w:right="202" w:hanging="2"/>
              <w:rPr>
                <w:rFonts w:ascii="仿宋" w:hAnsi="仿宋" w:eastAsia="仿宋" w:cs="仿宋"/>
              </w:rPr>
            </w:pPr>
            <w:r>
              <w:rPr>
                <w:rFonts w:hint="eastAsia" w:ascii="仿宋" w:hAnsi="仿宋" w:eastAsia="仿宋" w:cs="仿宋"/>
                <w:spacing w:val="-1"/>
                <w:lang w:bidi="ar"/>
              </w:rPr>
              <w:t>承包商自主培训、发包方安全教育和专项培训记录完整，考核合格。一项</w:t>
            </w:r>
            <w:r>
              <w:rPr>
                <w:rFonts w:hint="eastAsia" w:ascii="仿宋" w:hAnsi="仿宋" w:eastAsia="仿宋" w:cs="仿宋"/>
                <w:spacing w:val="-4"/>
                <w:lang w:bidi="ar"/>
              </w:rPr>
              <w:t>不符合扣</w:t>
            </w:r>
            <w:r>
              <w:rPr>
                <w:rFonts w:hint="eastAsia" w:ascii="仿宋" w:hAnsi="仿宋" w:eastAsia="仿宋" w:cs="仿宋"/>
                <w:spacing w:val="-39"/>
                <w:lang w:bidi="ar"/>
              </w:rPr>
              <w:t xml:space="preserve"> </w:t>
            </w:r>
            <w:r>
              <w:rPr>
                <w:rFonts w:hint="eastAsia" w:ascii="仿宋" w:hAnsi="仿宋" w:eastAsia="仿宋" w:cs="仿宋"/>
                <w:spacing w:val="-4"/>
                <w:lang w:bidi="ar"/>
              </w:rPr>
              <w:t>2</w:t>
            </w:r>
            <w:r>
              <w:rPr>
                <w:rFonts w:hint="eastAsia" w:ascii="仿宋" w:hAnsi="仿宋" w:eastAsia="仿宋" w:cs="仿宋"/>
                <w:spacing w:val="-49"/>
                <w:lang w:bidi="ar"/>
              </w:rPr>
              <w:t xml:space="preserve"> </w:t>
            </w:r>
            <w:r>
              <w:rPr>
                <w:rFonts w:hint="eastAsia" w:ascii="仿宋" w:hAnsi="仿宋" w:eastAsia="仿宋" w:cs="仿宋"/>
                <w:spacing w:val="-4"/>
                <w:lang w:bidi="ar"/>
              </w:rPr>
              <w:t>分，扣完为止。</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240C18E5">
            <w:pPr>
              <w:spacing w:line="328" w:lineRule="auto"/>
              <w:rPr>
                <w:rFonts w:ascii="Arial" w:hAnsi="Calibri"/>
                <w:szCs w:val="21"/>
              </w:rPr>
            </w:pPr>
          </w:p>
          <w:p w14:paraId="563EAB41">
            <w:pPr>
              <w:pStyle w:val="18"/>
              <w:spacing w:before="78"/>
              <w:ind w:left="296"/>
              <w:rPr>
                <w:rFonts w:ascii="仿宋" w:hAnsi="仿宋" w:eastAsia="仿宋" w:cs="仿宋"/>
              </w:rPr>
            </w:pPr>
            <w:r>
              <w:rPr>
                <w:rFonts w:hint="eastAsia" w:ascii="仿宋" w:hAnsi="仿宋" w:eastAsia="仿宋" w:cs="仿宋"/>
                <w:lang w:bidi="ar"/>
              </w:rPr>
              <w:t>5</w:t>
            </w:r>
          </w:p>
        </w:tc>
        <w:tc>
          <w:tcPr>
            <w:tcW w:w="731" w:type="dxa"/>
            <w:tcBorders>
              <w:top w:val="single" w:color="000000" w:sz="2" w:space="0"/>
              <w:left w:val="single" w:color="000000" w:sz="2" w:space="0"/>
              <w:bottom w:val="single" w:color="000000" w:sz="2" w:space="0"/>
              <w:right w:val="single" w:color="000000" w:sz="2" w:space="0"/>
            </w:tcBorders>
            <w:shd w:val="clear" w:color="auto" w:fill="auto"/>
            <w:vAlign w:val="center"/>
          </w:tcPr>
          <w:p w14:paraId="28936024">
            <w:pPr>
              <w:rPr>
                <w:rFonts w:ascii="Arial" w:hAnsi="Calibri"/>
                <w:szCs w:val="21"/>
              </w:rPr>
            </w:pPr>
          </w:p>
        </w:tc>
        <w:tc>
          <w:tcPr>
            <w:tcW w:w="1778" w:type="dxa"/>
            <w:tcBorders>
              <w:top w:val="single" w:color="000000" w:sz="2" w:space="0"/>
              <w:left w:val="single" w:color="000000" w:sz="2" w:space="0"/>
              <w:bottom w:val="single" w:color="000000" w:sz="2" w:space="0"/>
              <w:right w:val="single" w:color="000000" w:sz="2" w:space="0"/>
            </w:tcBorders>
            <w:shd w:val="clear" w:color="auto" w:fill="auto"/>
          </w:tcPr>
          <w:p w14:paraId="6C767F65">
            <w:pPr>
              <w:rPr>
                <w:rFonts w:ascii="Arial" w:hAnsi="Calibri"/>
                <w:szCs w:val="21"/>
              </w:rPr>
            </w:pPr>
          </w:p>
        </w:tc>
      </w:tr>
      <w:tr w14:paraId="627573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6" w:hRule="atLeast"/>
        </w:trPr>
        <w:tc>
          <w:tcPr>
            <w:tcW w:w="779" w:type="dxa"/>
            <w:vMerge w:val="continue"/>
            <w:tcBorders>
              <w:top w:val="nil"/>
              <w:left w:val="single" w:color="000000" w:sz="2" w:space="0"/>
              <w:bottom w:val="nil"/>
              <w:right w:val="single" w:color="000000" w:sz="2" w:space="0"/>
            </w:tcBorders>
            <w:shd w:val="clear" w:color="auto" w:fill="auto"/>
          </w:tcPr>
          <w:p w14:paraId="6043BF4E">
            <w:pPr>
              <w:rPr>
                <w:sz w:val="20"/>
                <w:szCs w:val="20"/>
              </w:rPr>
            </w:pP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2575080B">
            <w:pPr>
              <w:pStyle w:val="18"/>
              <w:spacing w:before="101"/>
              <w:ind w:left="201"/>
              <w:rPr>
                <w:rFonts w:ascii="仿宋" w:hAnsi="仿宋" w:eastAsia="仿宋" w:cs="仿宋"/>
              </w:rPr>
            </w:pPr>
            <w:r>
              <w:rPr>
                <w:rFonts w:hint="eastAsia" w:ascii="仿宋" w:hAnsi="仿宋" w:eastAsia="仿宋" w:cs="仿宋"/>
                <w:spacing w:val="-5"/>
                <w:lang w:bidi="ar"/>
              </w:rPr>
              <w:t>2.3</w:t>
            </w:r>
            <w:r>
              <w:rPr>
                <w:rFonts w:hint="eastAsia" w:ascii="仿宋" w:hAnsi="仿宋" w:eastAsia="仿宋" w:cs="仿宋"/>
                <w:spacing w:val="-49"/>
                <w:lang w:bidi="ar"/>
              </w:rPr>
              <w:t xml:space="preserve"> </w:t>
            </w:r>
            <w:r>
              <w:rPr>
                <w:rFonts w:hint="eastAsia" w:ascii="仿宋" w:hAnsi="仿宋" w:eastAsia="仿宋" w:cs="仿宋"/>
                <w:spacing w:val="-5"/>
                <w:lang w:bidi="ar"/>
              </w:rPr>
              <w:t>人</w:t>
            </w:r>
          </w:p>
          <w:p w14:paraId="047D9FA6">
            <w:pPr>
              <w:pStyle w:val="18"/>
              <w:spacing w:before="24"/>
              <w:ind w:left="181"/>
              <w:rPr>
                <w:rFonts w:ascii="仿宋" w:hAnsi="仿宋" w:eastAsia="仿宋" w:cs="仿宋"/>
              </w:rPr>
            </w:pPr>
            <w:r>
              <w:rPr>
                <w:rFonts w:hint="eastAsia" w:ascii="仿宋" w:hAnsi="仿宋" w:eastAsia="仿宋" w:cs="仿宋"/>
                <w:spacing w:val="-10"/>
                <w:lang w:bidi="ar"/>
              </w:rPr>
              <w:t>员稳定</w:t>
            </w:r>
          </w:p>
          <w:p w14:paraId="2A6D0C17">
            <w:pPr>
              <w:pStyle w:val="18"/>
              <w:spacing w:before="33"/>
              <w:ind w:left="408"/>
              <w:rPr>
                <w:rFonts w:ascii="仿宋" w:hAnsi="仿宋" w:eastAsia="仿宋" w:cs="仿宋"/>
              </w:rPr>
            </w:pPr>
            <w:r>
              <w:rPr>
                <w:rFonts w:hint="eastAsia" w:ascii="仿宋" w:hAnsi="仿宋" w:eastAsia="仿宋" w:cs="仿宋"/>
                <w:lang w:bidi="ar"/>
              </w:rPr>
              <w:t>性</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1F1CB3EF">
            <w:pPr>
              <w:pStyle w:val="18"/>
              <w:spacing w:before="99"/>
              <w:ind w:left="131" w:right="64" w:hanging="5"/>
              <w:rPr>
                <w:rFonts w:ascii="仿宋" w:hAnsi="仿宋" w:eastAsia="仿宋" w:cs="仿宋"/>
              </w:rPr>
            </w:pPr>
            <w:r>
              <w:rPr>
                <w:rFonts w:hint="eastAsia" w:ascii="仿宋" w:hAnsi="仿宋" w:eastAsia="仿宋" w:cs="仿宋"/>
                <w:spacing w:val="-1"/>
                <w:lang w:bidi="ar"/>
              </w:rPr>
              <w:t>承包商关键岗位及作业人员月流动比</w:t>
            </w:r>
            <w:r>
              <w:rPr>
                <w:rFonts w:hint="eastAsia" w:ascii="仿宋" w:hAnsi="仿宋" w:eastAsia="仿宋" w:cs="仿宋"/>
                <w:spacing w:val="-18"/>
                <w:lang w:bidi="ar"/>
              </w:rPr>
              <w:t>率≤10%。每超标</w:t>
            </w:r>
            <w:r>
              <w:rPr>
                <w:rFonts w:hint="eastAsia" w:ascii="仿宋" w:hAnsi="仿宋" w:eastAsia="仿宋" w:cs="仿宋"/>
                <w:spacing w:val="-36"/>
                <w:lang w:bidi="ar"/>
              </w:rPr>
              <w:t xml:space="preserve"> </w:t>
            </w:r>
            <w:r>
              <w:rPr>
                <w:rFonts w:hint="eastAsia" w:ascii="仿宋" w:hAnsi="仿宋" w:eastAsia="仿宋" w:cs="仿宋"/>
                <w:spacing w:val="-18"/>
                <w:lang w:bidi="ar"/>
              </w:rPr>
              <w:t>1%扣</w:t>
            </w:r>
            <w:r>
              <w:rPr>
                <w:rFonts w:hint="eastAsia" w:ascii="仿宋" w:hAnsi="仿宋" w:eastAsia="仿宋" w:cs="仿宋"/>
                <w:spacing w:val="-35"/>
                <w:lang w:bidi="ar"/>
              </w:rPr>
              <w:t xml:space="preserve"> </w:t>
            </w:r>
            <w:r>
              <w:rPr>
                <w:rFonts w:hint="eastAsia" w:ascii="仿宋" w:hAnsi="仿宋" w:eastAsia="仿宋" w:cs="仿宋"/>
                <w:spacing w:val="-18"/>
                <w:lang w:bidi="ar"/>
              </w:rPr>
              <w:t>1</w:t>
            </w:r>
            <w:r>
              <w:rPr>
                <w:rFonts w:hint="eastAsia" w:ascii="仿宋" w:hAnsi="仿宋" w:eastAsia="仿宋" w:cs="仿宋"/>
                <w:spacing w:val="-49"/>
                <w:lang w:bidi="ar"/>
              </w:rPr>
              <w:t xml:space="preserve"> </w:t>
            </w:r>
            <w:r>
              <w:rPr>
                <w:rFonts w:hint="eastAsia" w:ascii="仿宋" w:hAnsi="仿宋" w:eastAsia="仿宋" w:cs="仿宋"/>
                <w:spacing w:val="-18"/>
                <w:lang w:bidi="ar"/>
              </w:rPr>
              <w:t>分，扣完为止；</w:t>
            </w:r>
            <w:r>
              <w:rPr>
                <w:rFonts w:hint="eastAsia" w:ascii="仿宋" w:hAnsi="仿宋" w:eastAsia="仿宋" w:cs="仿宋"/>
                <w:spacing w:val="-4"/>
                <w:lang w:bidi="ar"/>
              </w:rPr>
              <w:t>关键岗位擅自换岗一人扣</w:t>
            </w:r>
            <w:r>
              <w:rPr>
                <w:rFonts w:hint="eastAsia" w:ascii="仿宋" w:hAnsi="仿宋" w:eastAsia="仿宋" w:cs="仿宋"/>
                <w:spacing w:val="-34"/>
                <w:lang w:bidi="ar"/>
              </w:rPr>
              <w:t xml:space="preserve"> </w:t>
            </w:r>
            <w:r>
              <w:rPr>
                <w:rFonts w:hint="eastAsia" w:ascii="仿宋" w:hAnsi="仿宋" w:eastAsia="仿宋" w:cs="仿宋"/>
                <w:spacing w:val="-4"/>
                <w:lang w:bidi="ar"/>
              </w:rPr>
              <w:t>2</w:t>
            </w:r>
            <w:r>
              <w:rPr>
                <w:rFonts w:hint="eastAsia" w:ascii="仿宋" w:hAnsi="仿宋" w:eastAsia="仿宋" w:cs="仿宋"/>
                <w:spacing w:val="-48"/>
                <w:lang w:bidi="ar"/>
              </w:rPr>
              <w:t xml:space="preserve"> </w:t>
            </w:r>
            <w:r>
              <w:rPr>
                <w:rFonts w:hint="eastAsia" w:ascii="仿宋" w:hAnsi="仿宋" w:eastAsia="仿宋" w:cs="仿宋"/>
                <w:spacing w:val="-4"/>
                <w:lang w:bidi="ar"/>
              </w:rPr>
              <w:t>分。</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68617B70">
            <w:pPr>
              <w:spacing w:line="331" w:lineRule="auto"/>
              <w:rPr>
                <w:rFonts w:ascii="Arial" w:hAnsi="Calibri"/>
                <w:szCs w:val="21"/>
              </w:rPr>
            </w:pPr>
          </w:p>
          <w:p w14:paraId="6ED47952">
            <w:pPr>
              <w:pStyle w:val="18"/>
              <w:spacing w:before="78"/>
              <w:ind w:left="296"/>
              <w:rPr>
                <w:rFonts w:ascii="仿宋" w:hAnsi="仿宋" w:eastAsia="仿宋" w:cs="仿宋"/>
              </w:rPr>
            </w:pPr>
            <w:r>
              <w:rPr>
                <w:rFonts w:hint="eastAsia" w:ascii="仿宋" w:hAnsi="仿宋" w:eastAsia="仿宋" w:cs="仿宋"/>
                <w:lang w:bidi="ar"/>
              </w:rPr>
              <w:t>5</w:t>
            </w:r>
          </w:p>
        </w:tc>
        <w:tc>
          <w:tcPr>
            <w:tcW w:w="731" w:type="dxa"/>
            <w:tcBorders>
              <w:top w:val="single" w:color="000000" w:sz="2" w:space="0"/>
              <w:left w:val="single" w:color="000000" w:sz="2" w:space="0"/>
              <w:bottom w:val="single" w:color="000000" w:sz="2" w:space="0"/>
              <w:right w:val="single" w:color="000000" w:sz="2" w:space="0"/>
            </w:tcBorders>
            <w:shd w:val="clear" w:color="auto" w:fill="auto"/>
            <w:vAlign w:val="center"/>
          </w:tcPr>
          <w:p w14:paraId="43469173">
            <w:pPr>
              <w:rPr>
                <w:rFonts w:ascii="Arial" w:hAnsi="Calibri"/>
                <w:szCs w:val="21"/>
              </w:rPr>
            </w:pPr>
          </w:p>
        </w:tc>
        <w:tc>
          <w:tcPr>
            <w:tcW w:w="1778" w:type="dxa"/>
            <w:tcBorders>
              <w:top w:val="single" w:color="000000" w:sz="2" w:space="0"/>
              <w:left w:val="single" w:color="000000" w:sz="2" w:space="0"/>
              <w:bottom w:val="single" w:color="000000" w:sz="2" w:space="0"/>
              <w:right w:val="single" w:color="000000" w:sz="2" w:space="0"/>
            </w:tcBorders>
            <w:shd w:val="clear" w:color="auto" w:fill="auto"/>
          </w:tcPr>
          <w:p w14:paraId="56FF7993">
            <w:pPr>
              <w:rPr>
                <w:rFonts w:ascii="Arial" w:hAnsi="Calibri"/>
                <w:szCs w:val="21"/>
              </w:rPr>
            </w:pPr>
          </w:p>
        </w:tc>
      </w:tr>
      <w:tr w14:paraId="61B90A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37" w:hRule="atLeast"/>
        </w:trPr>
        <w:tc>
          <w:tcPr>
            <w:tcW w:w="779" w:type="dxa"/>
            <w:vMerge w:val="restart"/>
            <w:tcBorders>
              <w:top w:val="nil"/>
              <w:left w:val="single" w:color="000000" w:sz="2" w:space="0"/>
              <w:bottom w:val="nil"/>
              <w:right w:val="single" w:color="000000" w:sz="2" w:space="0"/>
            </w:tcBorders>
            <w:shd w:val="clear" w:color="auto" w:fill="auto"/>
          </w:tcPr>
          <w:p w14:paraId="45D6555D">
            <w:pPr>
              <w:spacing w:line="271" w:lineRule="auto"/>
              <w:rPr>
                <w:rFonts w:ascii="Arial" w:hAnsi="Calibri"/>
                <w:szCs w:val="21"/>
              </w:rPr>
            </w:pPr>
          </w:p>
          <w:p w14:paraId="39DA201A">
            <w:pPr>
              <w:spacing w:line="271" w:lineRule="auto"/>
              <w:rPr>
                <w:rFonts w:ascii="Arial" w:hAnsi="Calibri"/>
                <w:szCs w:val="21"/>
              </w:rPr>
            </w:pPr>
          </w:p>
          <w:p w14:paraId="5C5E7528">
            <w:pPr>
              <w:spacing w:line="271" w:lineRule="auto"/>
              <w:rPr>
                <w:rFonts w:ascii="Arial" w:hAnsi="Calibri"/>
                <w:szCs w:val="21"/>
              </w:rPr>
            </w:pPr>
          </w:p>
          <w:p w14:paraId="509EBFC9">
            <w:pPr>
              <w:spacing w:line="271" w:lineRule="auto"/>
              <w:rPr>
                <w:rFonts w:ascii="Arial" w:hAnsi="Calibri"/>
                <w:szCs w:val="21"/>
              </w:rPr>
            </w:pPr>
          </w:p>
          <w:p w14:paraId="1086AE54">
            <w:pPr>
              <w:pStyle w:val="18"/>
              <w:spacing w:before="78"/>
              <w:ind w:left="174"/>
              <w:rPr>
                <w:rFonts w:ascii="仿宋" w:hAnsi="仿宋" w:eastAsia="仿宋" w:cs="仿宋"/>
              </w:rPr>
            </w:pPr>
            <w:r>
              <w:rPr>
                <w:rFonts w:hint="eastAsia" w:ascii="仿宋" w:hAnsi="仿宋" w:eastAsia="仿宋" w:cs="仿宋"/>
                <w:spacing w:val="-6"/>
                <w:lang w:bidi="ar"/>
              </w:rPr>
              <w:t>3.作</w:t>
            </w:r>
          </w:p>
          <w:p w14:paraId="48A6290F">
            <w:pPr>
              <w:pStyle w:val="18"/>
              <w:spacing w:before="31"/>
              <w:ind w:left="165"/>
              <w:rPr>
                <w:rFonts w:ascii="仿宋" w:hAnsi="仿宋" w:eastAsia="仿宋" w:cs="仿宋"/>
              </w:rPr>
            </w:pPr>
            <w:r>
              <w:rPr>
                <w:rFonts w:hint="eastAsia" w:ascii="仿宋" w:hAnsi="仿宋" w:eastAsia="仿宋" w:cs="仿宋"/>
                <w:spacing w:val="-10"/>
                <w:lang w:bidi="ar"/>
              </w:rPr>
              <w:t>业安</w:t>
            </w:r>
          </w:p>
          <w:p w14:paraId="28312BD4">
            <w:pPr>
              <w:pStyle w:val="18"/>
              <w:spacing w:before="27"/>
              <w:ind w:left="154"/>
              <w:rPr>
                <w:rFonts w:ascii="仿宋" w:hAnsi="仿宋" w:eastAsia="仿宋" w:cs="仿宋"/>
              </w:rPr>
            </w:pPr>
            <w:r>
              <w:rPr>
                <w:rFonts w:hint="eastAsia" w:ascii="仿宋" w:hAnsi="仿宋" w:eastAsia="仿宋" w:cs="仿宋"/>
                <w:spacing w:val="-5"/>
                <w:lang w:bidi="ar"/>
              </w:rPr>
              <w:t>全控</w:t>
            </w:r>
          </w:p>
          <w:p w14:paraId="35366B6F">
            <w:pPr>
              <w:pStyle w:val="18"/>
              <w:spacing w:before="29"/>
              <w:ind w:left="283"/>
              <w:rPr>
                <w:rFonts w:ascii="仿宋" w:hAnsi="仿宋" w:eastAsia="仿宋" w:cs="仿宋"/>
              </w:rPr>
            </w:pPr>
            <w:r>
              <w:rPr>
                <w:rFonts w:hint="eastAsia" w:ascii="仿宋" w:hAnsi="仿宋" w:eastAsia="仿宋" w:cs="仿宋"/>
                <w:lang w:bidi="ar"/>
              </w:rPr>
              <w:t>制</w:t>
            </w:r>
          </w:p>
          <w:p w14:paraId="385E4F96">
            <w:pPr>
              <w:pStyle w:val="18"/>
              <w:spacing w:before="30"/>
              <w:ind w:left="266"/>
              <w:rPr>
                <w:rFonts w:ascii="仿宋" w:hAnsi="仿宋" w:eastAsia="仿宋" w:cs="仿宋"/>
              </w:rPr>
            </w:pPr>
            <w:r>
              <w:rPr>
                <w:rFonts w:hint="eastAsia" w:ascii="仿宋" w:hAnsi="仿宋" w:eastAsia="仿宋" w:cs="仿宋"/>
                <w:spacing w:val="-20"/>
                <w:lang w:bidi="ar"/>
              </w:rPr>
              <w:t>(25</w:t>
            </w:r>
          </w:p>
          <w:p w14:paraId="6B8C6DDD">
            <w:pPr>
              <w:pStyle w:val="18"/>
              <w:spacing w:before="28"/>
              <w:ind w:left="217"/>
              <w:rPr>
                <w:rFonts w:ascii="仿宋" w:hAnsi="仿宋" w:eastAsia="仿宋" w:cs="仿宋"/>
              </w:rPr>
            </w:pPr>
            <w:r>
              <w:rPr>
                <w:rFonts w:hint="eastAsia" w:ascii="仿宋" w:hAnsi="仿宋" w:eastAsia="仿宋" w:cs="仿宋"/>
                <w:spacing w:val="-6"/>
                <w:lang w:bidi="ar"/>
              </w:rPr>
              <w:t>分)</w:t>
            </w: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39D9297B">
            <w:pPr>
              <w:pStyle w:val="18"/>
              <w:spacing w:before="256"/>
              <w:ind w:left="174" w:right="155" w:firstLine="37"/>
              <w:rPr>
                <w:rFonts w:ascii="仿宋" w:hAnsi="仿宋" w:eastAsia="仿宋" w:cs="仿宋"/>
              </w:rPr>
            </w:pPr>
            <w:r>
              <w:rPr>
                <w:rFonts w:hint="eastAsia" w:ascii="仿宋" w:hAnsi="仿宋" w:eastAsia="仿宋" w:cs="仿宋"/>
                <w:spacing w:val="-11"/>
                <w:lang w:bidi="ar"/>
              </w:rPr>
              <w:t>3.1</w:t>
            </w:r>
            <w:r>
              <w:rPr>
                <w:rFonts w:hint="eastAsia" w:ascii="仿宋" w:hAnsi="仿宋" w:eastAsia="仿宋" w:cs="仿宋"/>
                <w:spacing w:val="-46"/>
                <w:lang w:bidi="ar"/>
              </w:rPr>
              <w:t xml:space="preserve"> </w:t>
            </w:r>
            <w:r>
              <w:rPr>
                <w:rFonts w:hint="eastAsia" w:ascii="仿宋" w:hAnsi="仿宋" w:eastAsia="仿宋" w:cs="仿宋"/>
                <w:spacing w:val="-11"/>
                <w:lang w:bidi="ar"/>
              </w:rPr>
              <w:t>作</w:t>
            </w:r>
            <w:r>
              <w:rPr>
                <w:rFonts w:hint="eastAsia" w:ascii="仿宋" w:hAnsi="仿宋" w:eastAsia="仿宋" w:cs="仿宋"/>
                <w:spacing w:val="-7"/>
                <w:lang w:bidi="ar"/>
              </w:rPr>
              <w:t>业许可与交底</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6DF97C36">
            <w:pPr>
              <w:pStyle w:val="18"/>
              <w:spacing w:before="99"/>
              <w:ind w:left="124" w:right="55" w:hanging="4"/>
              <w:rPr>
                <w:rFonts w:ascii="仿宋" w:hAnsi="仿宋" w:eastAsia="仿宋" w:cs="仿宋"/>
              </w:rPr>
            </w:pPr>
            <w:r>
              <w:rPr>
                <w:rFonts w:hint="eastAsia" w:ascii="仿宋" w:hAnsi="仿宋" w:eastAsia="仿宋" w:cs="仿宋"/>
                <w:spacing w:val="-1"/>
                <w:lang w:bidi="ar"/>
              </w:rPr>
              <w:t>严格执行特殊作业许可制度，作业前</w:t>
            </w:r>
            <w:r>
              <w:rPr>
                <w:rFonts w:hint="eastAsia" w:ascii="仿宋" w:hAnsi="仿宋" w:eastAsia="仿宋" w:cs="仿宋"/>
                <w:spacing w:val="1"/>
                <w:lang w:bidi="ar"/>
              </w:rPr>
              <w:t>进行充分风险辨识和安全技术交底，</w:t>
            </w:r>
            <w:r>
              <w:rPr>
                <w:rFonts w:hint="eastAsia" w:ascii="仿宋" w:hAnsi="仿宋" w:eastAsia="仿宋" w:cs="仿宋"/>
                <w:spacing w:val="-9"/>
                <w:lang w:bidi="ar"/>
              </w:rPr>
              <w:t>资料完整可追溯。一项不符合扣</w:t>
            </w:r>
            <w:r>
              <w:rPr>
                <w:rFonts w:hint="eastAsia" w:ascii="仿宋" w:hAnsi="仿宋" w:eastAsia="仿宋" w:cs="仿宋"/>
                <w:spacing w:val="-22"/>
                <w:lang w:bidi="ar"/>
              </w:rPr>
              <w:t xml:space="preserve"> </w:t>
            </w:r>
            <w:r>
              <w:rPr>
                <w:rFonts w:hint="eastAsia" w:ascii="仿宋" w:hAnsi="仿宋" w:eastAsia="仿宋" w:cs="仿宋"/>
                <w:spacing w:val="-9"/>
                <w:lang w:bidi="ar"/>
              </w:rPr>
              <w:t>3</w:t>
            </w:r>
            <w:r>
              <w:rPr>
                <w:rFonts w:hint="eastAsia" w:ascii="仿宋" w:hAnsi="仿宋" w:eastAsia="仿宋" w:cs="仿宋"/>
                <w:spacing w:val="-49"/>
                <w:lang w:bidi="ar"/>
              </w:rPr>
              <w:t xml:space="preserve"> </w:t>
            </w:r>
            <w:r>
              <w:rPr>
                <w:rFonts w:hint="eastAsia" w:ascii="仿宋" w:hAnsi="仿宋" w:eastAsia="仿宋" w:cs="仿宋"/>
                <w:spacing w:val="-9"/>
                <w:lang w:bidi="ar"/>
              </w:rPr>
              <w:t>分，</w:t>
            </w:r>
            <w:r>
              <w:rPr>
                <w:rFonts w:hint="eastAsia" w:ascii="仿宋" w:hAnsi="仿宋" w:eastAsia="仿宋" w:cs="仿宋"/>
                <w:spacing w:val="-2"/>
                <w:lang w:bidi="ar"/>
              </w:rPr>
              <w:t>扣完为止。</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730095F4">
            <w:pPr>
              <w:rPr>
                <w:rFonts w:ascii="Arial" w:hAnsi="Calibri"/>
                <w:szCs w:val="21"/>
              </w:rPr>
            </w:pPr>
          </w:p>
          <w:p w14:paraId="6F6E8DA9">
            <w:pPr>
              <w:spacing w:line="242" w:lineRule="auto"/>
              <w:rPr>
                <w:rFonts w:ascii="Arial" w:hAnsi="Calibri"/>
                <w:szCs w:val="21"/>
              </w:rPr>
            </w:pPr>
          </w:p>
          <w:p w14:paraId="42A569E1">
            <w:pPr>
              <w:pStyle w:val="18"/>
              <w:spacing w:before="78"/>
              <w:ind w:left="295"/>
              <w:rPr>
                <w:rFonts w:ascii="仿宋" w:hAnsi="仿宋" w:eastAsia="仿宋" w:cs="仿宋"/>
              </w:rPr>
            </w:pPr>
            <w:r>
              <w:rPr>
                <w:rFonts w:hint="eastAsia" w:ascii="仿宋" w:hAnsi="仿宋" w:eastAsia="仿宋" w:cs="仿宋"/>
                <w:lang w:bidi="ar"/>
              </w:rPr>
              <w:t>6</w:t>
            </w:r>
          </w:p>
        </w:tc>
        <w:tc>
          <w:tcPr>
            <w:tcW w:w="731" w:type="dxa"/>
            <w:tcBorders>
              <w:top w:val="single" w:color="000000" w:sz="2" w:space="0"/>
              <w:left w:val="single" w:color="000000" w:sz="2" w:space="0"/>
              <w:bottom w:val="single" w:color="000000" w:sz="2" w:space="0"/>
              <w:right w:val="single" w:color="000000" w:sz="2" w:space="0"/>
            </w:tcBorders>
            <w:shd w:val="clear" w:color="auto" w:fill="auto"/>
            <w:vAlign w:val="center"/>
          </w:tcPr>
          <w:p w14:paraId="47579A5D">
            <w:pPr>
              <w:rPr>
                <w:rFonts w:ascii="Arial" w:hAnsi="Calibri"/>
                <w:szCs w:val="21"/>
              </w:rPr>
            </w:pPr>
          </w:p>
        </w:tc>
        <w:tc>
          <w:tcPr>
            <w:tcW w:w="1778" w:type="dxa"/>
            <w:tcBorders>
              <w:top w:val="single" w:color="000000" w:sz="2" w:space="0"/>
              <w:left w:val="single" w:color="000000" w:sz="2" w:space="0"/>
              <w:bottom w:val="single" w:color="000000" w:sz="2" w:space="0"/>
              <w:right w:val="single" w:color="000000" w:sz="2" w:space="0"/>
            </w:tcBorders>
            <w:shd w:val="clear" w:color="auto" w:fill="auto"/>
          </w:tcPr>
          <w:p w14:paraId="1668CFF2">
            <w:pPr>
              <w:rPr>
                <w:rFonts w:ascii="Arial" w:hAnsi="Calibri"/>
                <w:szCs w:val="21"/>
              </w:rPr>
            </w:pPr>
          </w:p>
        </w:tc>
      </w:tr>
      <w:tr w14:paraId="033E3D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6" w:hRule="atLeast"/>
        </w:trPr>
        <w:tc>
          <w:tcPr>
            <w:tcW w:w="779" w:type="dxa"/>
            <w:vMerge w:val="continue"/>
            <w:tcBorders>
              <w:top w:val="nil"/>
              <w:left w:val="single" w:color="000000" w:sz="2" w:space="0"/>
              <w:bottom w:val="nil"/>
              <w:right w:val="single" w:color="000000" w:sz="2" w:space="0"/>
            </w:tcBorders>
            <w:shd w:val="clear" w:color="auto" w:fill="auto"/>
          </w:tcPr>
          <w:p w14:paraId="50433E20">
            <w:pPr>
              <w:rPr>
                <w:sz w:val="20"/>
                <w:szCs w:val="20"/>
              </w:rPr>
            </w:pP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593E5A78">
            <w:pPr>
              <w:pStyle w:val="18"/>
              <w:spacing w:before="101"/>
              <w:ind w:left="211"/>
              <w:rPr>
                <w:rFonts w:ascii="仿宋" w:hAnsi="仿宋" w:eastAsia="仿宋" w:cs="仿宋"/>
              </w:rPr>
            </w:pPr>
            <w:r>
              <w:rPr>
                <w:rFonts w:hint="eastAsia" w:ascii="仿宋" w:hAnsi="仿宋" w:eastAsia="仿宋" w:cs="仿宋"/>
                <w:spacing w:val="-8"/>
                <w:lang w:bidi="ar"/>
              </w:rPr>
              <w:t>3.2</w:t>
            </w:r>
            <w:r>
              <w:rPr>
                <w:rFonts w:hint="eastAsia" w:ascii="仿宋" w:hAnsi="仿宋" w:eastAsia="仿宋" w:cs="仿宋"/>
                <w:spacing w:val="-41"/>
                <w:lang w:bidi="ar"/>
              </w:rPr>
              <w:t xml:space="preserve"> </w:t>
            </w:r>
            <w:r>
              <w:rPr>
                <w:rFonts w:hint="eastAsia" w:ascii="仿宋" w:hAnsi="仿宋" w:eastAsia="仿宋" w:cs="仿宋"/>
                <w:spacing w:val="-8"/>
                <w:lang w:bidi="ar"/>
              </w:rPr>
              <w:t>现</w:t>
            </w:r>
          </w:p>
          <w:p w14:paraId="46D8D9BD">
            <w:pPr>
              <w:pStyle w:val="18"/>
              <w:spacing w:before="25"/>
              <w:ind w:left="162"/>
              <w:rPr>
                <w:rFonts w:ascii="仿宋" w:hAnsi="仿宋" w:eastAsia="仿宋" w:cs="仿宋"/>
              </w:rPr>
            </w:pPr>
            <w:r>
              <w:rPr>
                <w:rFonts w:hint="eastAsia" w:ascii="仿宋" w:hAnsi="仿宋" w:eastAsia="仿宋" w:cs="仿宋"/>
                <w:spacing w:val="-3"/>
                <w:lang w:bidi="ar"/>
              </w:rPr>
              <w:t>场安全</w:t>
            </w:r>
          </w:p>
          <w:p w14:paraId="0884C149">
            <w:pPr>
              <w:pStyle w:val="18"/>
              <w:spacing w:before="28"/>
              <w:ind w:left="283"/>
              <w:rPr>
                <w:rFonts w:ascii="仿宋" w:hAnsi="仿宋" w:eastAsia="仿宋" w:cs="仿宋"/>
              </w:rPr>
            </w:pPr>
            <w:r>
              <w:rPr>
                <w:rFonts w:hint="eastAsia" w:ascii="仿宋" w:hAnsi="仿宋" w:eastAsia="仿宋" w:cs="仿宋"/>
                <w:spacing w:val="-5"/>
                <w:lang w:bidi="ar"/>
              </w:rPr>
              <w:t>措施</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1EA28107">
            <w:pPr>
              <w:pStyle w:val="18"/>
              <w:spacing w:before="99"/>
              <w:ind w:left="124" w:right="202" w:firstLine="7"/>
              <w:rPr>
                <w:rFonts w:ascii="仿宋" w:hAnsi="仿宋" w:eastAsia="仿宋" w:cs="仿宋"/>
              </w:rPr>
            </w:pPr>
            <w:r>
              <w:rPr>
                <w:rFonts w:hint="eastAsia" w:ascii="仿宋" w:hAnsi="仿宋" w:eastAsia="仿宋" w:cs="仿宋"/>
                <w:spacing w:val="-2"/>
                <w:lang w:bidi="ar"/>
              </w:rPr>
              <w:t>现场隔离、警示、通风、消防等安全</w:t>
            </w:r>
            <w:r>
              <w:rPr>
                <w:rFonts w:hint="eastAsia" w:ascii="仿宋" w:hAnsi="仿宋" w:eastAsia="仿宋" w:cs="仿宋"/>
                <w:spacing w:val="-1"/>
                <w:lang w:bidi="ar"/>
              </w:rPr>
              <w:t>措施落实到位，劳动防护用品规范使</w:t>
            </w:r>
            <w:r>
              <w:rPr>
                <w:rFonts w:hint="eastAsia" w:ascii="仿宋" w:hAnsi="仿宋" w:eastAsia="仿宋" w:cs="仿宋"/>
                <w:spacing w:val="-3"/>
                <w:lang w:bidi="ar"/>
              </w:rPr>
              <w:t>用。一处不符合扣</w:t>
            </w:r>
            <w:r>
              <w:rPr>
                <w:rFonts w:hint="eastAsia" w:ascii="仿宋" w:hAnsi="仿宋" w:eastAsia="仿宋" w:cs="仿宋"/>
                <w:spacing w:val="-34"/>
                <w:lang w:bidi="ar"/>
              </w:rPr>
              <w:t xml:space="preserve"> </w:t>
            </w:r>
            <w:r>
              <w:rPr>
                <w:rFonts w:hint="eastAsia" w:ascii="仿宋" w:hAnsi="仿宋" w:eastAsia="仿宋" w:cs="仿宋"/>
                <w:spacing w:val="-3"/>
                <w:lang w:bidi="ar"/>
              </w:rPr>
              <w:t>2</w:t>
            </w:r>
            <w:r>
              <w:rPr>
                <w:rFonts w:hint="eastAsia" w:ascii="仿宋" w:hAnsi="仿宋" w:eastAsia="仿宋" w:cs="仿宋"/>
                <w:spacing w:val="-49"/>
                <w:lang w:bidi="ar"/>
              </w:rPr>
              <w:t xml:space="preserve"> </w:t>
            </w:r>
            <w:r>
              <w:rPr>
                <w:rFonts w:hint="eastAsia" w:ascii="仿宋" w:hAnsi="仿宋" w:eastAsia="仿宋" w:cs="仿宋"/>
                <w:spacing w:val="-3"/>
                <w:lang w:bidi="ar"/>
              </w:rPr>
              <w:t>分，扣完为止。</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12A78F4A">
            <w:pPr>
              <w:spacing w:line="331" w:lineRule="auto"/>
              <w:rPr>
                <w:rFonts w:ascii="Arial" w:hAnsi="Calibri"/>
                <w:szCs w:val="21"/>
              </w:rPr>
            </w:pPr>
          </w:p>
          <w:p w14:paraId="0860BB8A">
            <w:pPr>
              <w:pStyle w:val="18"/>
              <w:spacing w:before="78"/>
              <w:ind w:left="296"/>
              <w:rPr>
                <w:rFonts w:ascii="仿宋" w:hAnsi="仿宋" w:eastAsia="仿宋" w:cs="仿宋"/>
              </w:rPr>
            </w:pPr>
            <w:r>
              <w:rPr>
                <w:rFonts w:hint="eastAsia" w:ascii="仿宋" w:hAnsi="仿宋" w:eastAsia="仿宋" w:cs="仿宋"/>
                <w:lang w:bidi="ar"/>
              </w:rPr>
              <w:t>5</w:t>
            </w:r>
          </w:p>
        </w:tc>
        <w:tc>
          <w:tcPr>
            <w:tcW w:w="731" w:type="dxa"/>
            <w:tcBorders>
              <w:top w:val="single" w:color="000000" w:sz="2" w:space="0"/>
              <w:left w:val="single" w:color="000000" w:sz="2" w:space="0"/>
              <w:bottom w:val="single" w:color="000000" w:sz="2" w:space="0"/>
              <w:right w:val="single" w:color="000000" w:sz="2" w:space="0"/>
            </w:tcBorders>
            <w:shd w:val="clear" w:color="auto" w:fill="auto"/>
            <w:vAlign w:val="center"/>
          </w:tcPr>
          <w:p w14:paraId="6D2A2F70">
            <w:pPr>
              <w:rPr>
                <w:rFonts w:ascii="Arial" w:hAnsi="Calibri"/>
                <w:szCs w:val="21"/>
              </w:rPr>
            </w:pPr>
          </w:p>
        </w:tc>
        <w:tc>
          <w:tcPr>
            <w:tcW w:w="1778" w:type="dxa"/>
            <w:tcBorders>
              <w:top w:val="single" w:color="000000" w:sz="2" w:space="0"/>
              <w:left w:val="single" w:color="000000" w:sz="2" w:space="0"/>
              <w:bottom w:val="single" w:color="000000" w:sz="2" w:space="0"/>
              <w:right w:val="single" w:color="000000" w:sz="2" w:space="0"/>
            </w:tcBorders>
            <w:shd w:val="clear" w:color="auto" w:fill="auto"/>
          </w:tcPr>
          <w:p w14:paraId="5287E712">
            <w:pPr>
              <w:rPr>
                <w:rFonts w:ascii="Arial" w:hAnsi="Calibri"/>
                <w:szCs w:val="21"/>
              </w:rPr>
            </w:pPr>
          </w:p>
        </w:tc>
      </w:tr>
      <w:tr w14:paraId="0471E2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6" w:hRule="atLeast"/>
        </w:trPr>
        <w:tc>
          <w:tcPr>
            <w:tcW w:w="779" w:type="dxa"/>
            <w:vMerge w:val="continue"/>
            <w:tcBorders>
              <w:top w:val="nil"/>
              <w:left w:val="single" w:color="000000" w:sz="2" w:space="0"/>
              <w:bottom w:val="nil"/>
              <w:right w:val="single" w:color="000000" w:sz="2" w:space="0"/>
            </w:tcBorders>
            <w:shd w:val="clear" w:color="auto" w:fill="auto"/>
          </w:tcPr>
          <w:p w14:paraId="3710063A">
            <w:pPr>
              <w:rPr>
                <w:sz w:val="20"/>
                <w:szCs w:val="20"/>
              </w:rPr>
            </w:pP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08EF3CB2">
            <w:pPr>
              <w:pStyle w:val="18"/>
              <w:spacing w:before="99"/>
              <w:ind w:left="211"/>
              <w:rPr>
                <w:rFonts w:ascii="仿宋" w:hAnsi="仿宋" w:eastAsia="仿宋" w:cs="仿宋"/>
              </w:rPr>
            </w:pPr>
            <w:r>
              <w:rPr>
                <w:rFonts w:hint="eastAsia" w:ascii="仿宋" w:hAnsi="仿宋" w:eastAsia="仿宋" w:cs="仿宋"/>
                <w:spacing w:val="-8"/>
                <w:lang w:bidi="ar"/>
              </w:rPr>
              <w:t>3.3</w:t>
            </w:r>
            <w:r>
              <w:rPr>
                <w:rFonts w:hint="eastAsia" w:ascii="仿宋" w:hAnsi="仿宋" w:eastAsia="仿宋" w:cs="仿宋"/>
                <w:spacing w:val="-42"/>
                <w:lang w:bidi="ar"/>
              </w:rPr>
              <w:t xml:space="preserve"> </w:t>
            </w:r>
            <w:r>
              <w:rPr>
                <w:rFonts w:hint="eastAsia" w:ascii="仿宋" w:hAnsi="仿宋" w:eastAsia="仿宋" w:cs="仿宋"/>
                <w:spacing w:val="-8"/>
                <w:lang w:bidi="ar"/>
              </w:rPr>
              <w:t>工</w:t>
            </w:r>
          </w:p>
          <w:p w14:paraId="5C875BE7">
            <w:pPr>
              <w:pStyle w:val="18"/>
              <w:spacing w:before="6"/>
              <w:ind w:left="161"/>
              <w:rPr>
                <w:rFonts w:ascii="仿宋" w:hAnsi="仿宋" w:eastAsia="仿宋" w:cs="仿宋"/>
              </w:rPr>
            </w:pPr>
            <w:r>
              <w:rPr>
                <w:rFonts w:hint="eastAsia" w:ascii="仿宋" w:hAnsi="仿宋" w:eastAsia="仿宋" w:cs="仿宋"/>
                <w:spacing w:val="-3"/>
                <w:lang w:bidi="ar"/>
              </w:rPr>
              <w:t>机具与</w:t>
            </w:r>
          </w:p>
          <w:p w14:paraId="559EDDA8">
            <w:pPr>
              <w:pStyle w:val="18"/>
              <w:spacing w:before="29"/>
              <w:ind w:left="283"/>
              <w:rPr>
                <w:rFonts w:ascii="仿宋" w:hAnsi="仿宋" w:eastAsia="仿宋" w:cs="仿宋"/>
              </w:rPr>
            </w:pPr>
            <w:r>
              <w:rPr>
                <w:rFonts w:hint="eastAsia" w:ascii="仿宋" w:hAnsi="仿宋" w:eastAsia="仿宋" w:cs="仿宋"/>
                <w:spacing w:val="-5"/>
                <w:lang w:bidi="ar"/>
              </w:rPr>
              <w:t>设备</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2FF3A746">
            <w:pPr>
              <w:pStyle w:val="18"/>
              <w:spacing w:before="99"/>
              <w:ind w:left="127" w:right="55" w:firstLine="2"/>
              <w:rPr>
                <w:rFonts w:ascii="仿宋" w:hAnsi="仿宋" w:eastAsia="仿宋" w:cs="仿宋"/>
              </w:rPr>
            </w:pPr>
            <w:r>
              <w:rPr>
                <w:rFonts w:hint="eastAsia" w:ascii="仿宋" w:hAnsi="仿宋" w:eastAsia="仿宋" w:cs="仿宋"/>
                <w:spacing w:val="-7"/>
                <w:lang w:bidi="ar"/>
              </w:rPr>
              <w:t>工机具入场检验合格，安全状态良好，</w:t>
            </w:r>
            <w:r>
              <w:rPr>
                <w:rFonts w:hint="eastAsia" w:ascii="仿宋" w:hAnsi="仿宋" w:eastAsia="仿宋" w:cs="仿宋"/>
                <w:spacing w:val="-1"/>
                <w:lang w:bidi="ar"/>
              </w:rPr>
              <w:t>特种设备检验标识清晰、在检验周期</w:t>
            </w:r>
            <w:r>
              <w:rPr>
                <w:rFonts w:hint="eastAsia" w:ascii="仿宋" w:hAnsi="仿宋" w:eastAsia="仿宋" w:cs="仿宋"/>
                <w:spacing w:val="-3"/>
                <w:lang w:bidi="ar"/>
              </w:rPr>
              <w:t>内。一项不符合扣</w:t>
            </w:r>
            <w:r>
              <w:rPr>
                <w:rFonts w:hint="eastAsia" w:ascii="仿宋" w:hAnsi="仿宋" w:eastAsia="仿宋" w:cs="仿宋"/>
                <w:spacing w:val="-37"/>
                <w:lang w:bidi="ar"/>
              </w:rPr>
              <w:t xml:space="preserve"> </w:t>
            </w:r>
            <w:r>
              <w:rPr>
                <w:rFonts w:hint="eastAsia" w:ascii="仿宋" w:hAnsi="仿宋" w:eastAsia="仿宋" w:cs="仿宋"/>
                <w:spacing w:val="-3"/>
                <w:lang w:bidi="ar"/>
              </w:rPr>
              <w:t>2</w:t>
            </w:r>
            <w:r>
              <w:rPr>
                <w:rFonts w:hint="eastAsia" w:ascii="仿宋" w:hAnsi="仿宋" w:eastAsia="仿宋" w:cs="仿宋"/>
                <w:spacing w:val="-49"/>
                <w:lang w:bidi="ar"/>
              </w:rPr>
              <w:t xml:space="preserve"> </w:t>
            </w:r>
            <w:r>
              <w:rPr>
                <w:rFonts w:hint="eastAsia" w:ascii="仿宋" w:hAnsi="仿宋" w:eastAsia="仿宋" w:cs="仿宋"/>
                <w:spacing w:val="-3"/>
                <w:lang w:bidi="ar"/>
              </w:rPr>
              <w:t>分，扣完为止。</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607492D0">
            <w:pPr>
              <w:spacing w:line="331" w:lineRule="auto"/>
              <w:rPr>
                <w:rFonts w:ascii="Arial" w:hAnsi="Calibri"/>
                <w:szCs w:val="21"/>
              </w:rPr>
            </w:pPr>
          </w:p>
          <w:p w14:paraId="62814CD6">
            <w:pPr>
              <w:pStyle w:val="18"/>
              <w:spacing w:before="78"/>
              <w:ind w:left="292"/>
              <w:rPr>
                <w:rFonts w:ascii="仿宋" w:hAnsi="仿宋" w:eastAsia="仿宋" w:cs="仿宋"/>
              </w:rPr>
            </w:pPr>
            <w:r>
              <w:rPr>
                <w:rFonts w:hint="eastAsia" w:ascii="仿宋" w:hAnsi="仿宋" w:eastAsia="仿宋" w:cs="仿宋"/>
                <w:lang w:bidi="ar"/>
              </w:rPr>
              <w:t>4</w:t>
            </w:r>
          </w:p>
        </w:tc>
        <w:tc>
          <w:tcPr>
            <w:tcW w:w="731" w:type="dxa"/>
            <w:tcBorders>
              <w:top w:val="single" w:color="000000" w:sz="2" w:space="0"/>
              <w:left w:val="single" w:color="000000" w:sz="2" w:space="0"/>
              <w:bottom w:val="single" w:color="000000" w:sz="2" w:space="0"/>
              <w:right w:val="single" w:color="000000" w:sz="2" w:space="0"/>
            </w:tcBorders>
            <w:shd w:val="clear" w:color="auto" w:fill="auto"/>
            <w:vAlign w:val="center"/>
          </w:tcPr>
          <w:p w14:paraId="001DBB56">
            <w:pPr>
              <w:rPr>
                <w:rFonts w:ascii="Arial" w:hAnsi="Calibri"/>
                <w:szCs w:val="21"/>
              </w:rPr>
            </w:pPr>
          </w:p>
        </w:tc>
        <w:tc>
          <w:tcPr>
            <w:tcW w:w="1778" w:type="dxa"/>
            <w:tcBorders>
              <w:top w:val="single" w:color="000000" w:sz="2" w:space="0"/>
              <w:left w:val="single" w:color="000000" w:sz="2" w:space="0"/>
              <w:bottom w:val="single" w:color="000000" w:sz="2" w:space="0"/>
              <w:right w:val="single" w:color="000000" w:sz="2" w:space="0"/>
            </w:tcBorders>
            <w:shd w:val="clear" w:color="auto" w:fill="auto"/>
          </w:tcPr>
          <w:p w14:paraId="1215F153">
            <w:pPr>
              <w:rPr>
                <w:rFonts w:ascii="Arial" w:hAnsi="Calibri"/>
                <w:szCs w:val="21"/>
              </w:rPr>
            </w:pPr>
          </w:p>
        </w:tc>
      </w:tr>
      <w:tr w14:paraId="36EDF9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4" w:hRule="atLeast"/>
        </w:trPr>
        <w:tc>
          <w:tcPr>
            <w:tcW w:w="779" w:type="dxa"/>
            <w:vMerge w:val="continue"/>
            <w:tcBorders>
              <w:top w:val="nil"/>
              <w:left w:val="single" w:color="000000" w:sz="2" w:space="0"/>
              <w:bottom w:val="nil"/>
              <w:right w:val="single" w:color="000000" w:sz="2" w:space="0"/>
            </w:tcBorders>
            <w:shd w:val="clear" w:color="auto" w:fill="auto"/>
          </w:tcPr>
          <w:p w14:paraId="5542870C">
            <w:pPr>
              <w:rPr>
                <w:sz w:val="20"/>
                <w:szCs w:val="20"/>
              </w:rPr>
            </w:pP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1CC4E270">
            <w:pPr>
              <w:pStyle w:val="18"/>
              <w:spacing w:before="100"/>
              <w:ind w:left="166" w:right="119" w:hanging="22"/>
              <w:rPr>
                <w:rFonts w:ascii="仿宋" w:hAnsi="仿宋" w:eastAsia="仿宋" w:cs="仿宋"/>
              </w:rPr>
            </w:pPr>
            <w:r>
              <w:rPr>
                <w:rFonts w:hint="eastAsia" w:ascii="仿宋" w:hAnsi="仿宋" w:eastAsia="仿宋" w:cs="仿宋"/>
                <w:spacing w:val="-15"/>
                <w:lang w:bidi="ar"/>
              </w:rPr>
              <w:t>3.4“三</w:t>
            </w:r>
            <w:r>
              <w:rPr>
                <w:rFonts w:hint="eastAsia" w:ascii="仿宋" w:hAnsi="仿宋" w:eastAsia="仿宋" w:cs="仿宋"/>
                <w:spacing w:val="-5"/>
                <w:lang w:bidi="ar"/>
              </w:rPr>
              <w:t>违”行</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30267063">
            <w:pPr>
              <w:pStyle w:val="18"/>
              <w:spacing w:before="100"/>
              <w:ind w:left="131" w:right="202" w:hanging="9"/>
              <w:rPr>
                <w:rFonts w:ascii="仿宋" w:hAnsi="仿宋" w:eastAsia="仿宋" w:cs="仿宋"/>
              </w:rPr>
            </w:pPr>
            <w:r>
              <w:rPr>
                <w:rFonts w:hint="eastAsia" w:ascii="仿宋" w:hAnsi="仿宋" w:eastAsia="仿宋" w:cs="仿宋"/>
                <w:spacing w:val="-5"/>
                <w:lang w:bidi="ar"/>
              </w:rPr>
              <w:t>建立</w:t>
            </w:r>
            <w:r>
              <w:rPr>
                <w:rFonts w:hint="eastAsia" w:ascii="仿宋" w:hAnsi="仿宋" w:eastAsia="仿宋" w:cs="仿宋"/>
                <w:spacing w:val="-76"/>
                <w:lang w:bidi="ar"/>
              </w:rPr>
              <w:t xml:space="preserve"> </w:t>
            </w:r>
            <w:r>
              <w:rPr>
                <w:rFonts w:hint="eastAsia" w:ascii="仿宋" w:hAnsi="仿宋" w:eastAsia="仿宋" w:cs="仿宋"/>
                <w:spacing w:val="-5"/>
                <w:lang w:bidi="ar"/>
              </w:rPr>
              <w:t>“</w:t>
            </w:r>
            <w:r>
              <w:rPr>
                <w:rFonts w:hint="eastAsia" w:ascii="仿宋" w:hAnsi="仿宋" w:eastAsia="仿宋" w:cs="仿宋"/>
                <w:spacing w:val="-93"/>
                <w:lang w:bidi="ar"/>
              </w:rPr>
              <w:t xml:space="preserve"> </w:t>
            </w:r>
            <w:r>
              <w:rPr>
                <w:rFonts w:hint="eastAsia" w:ascii="仿宋" w:hAnsi="仿宋" w:eastAsia="仿宋" w:cs="仿宋"/>
                <w:spacing w:val="-5"/>
                <w:lang w:bidi="ar"/>
              </w:rPr>
              <w:t>三违”行为查处与统计分析机</w:t>
            </w:r>
            <w:r>
              <w:rPr>
                <w:rFonts w:hint="eastAsia" w:ascii="仿宋" w:hAnsi="仿宋" w:eastAsia="仿宋" w:cs="仿宋"/>
                <w:spacing w:val="-2"/>
                <w:lang w:bidi="ar"/>
              </w:rPr>
              <w:t>制，有记录、有整改、有考核。未建</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0C933396">
            <w:pPr>
              <w:pStyle w:val="18"/>
              <w:spacing w:before="256"/>
              <w:ind w:left="296"/>
              <w:rPr>
                <w:rFonts w:ascii="仿宋" w:hAnsi="仿宋" w:eastAsia="仿宋" w:cs="仿宋"/>
              </w:rPr>
            </w:pPr>
            <w:r>
              <w:rPr>
                <w:rFonts w:hint="eastAsia" w:ascii="仿宋" w:hAnsi="仿宋" w:eastAsia="仿宋" w:cs="仿宋"/>
                <w:lang w:bidi="ar"/>
              </w:rPr>
              <w:t>5</w:t>
            </w:r>
          </w:p>
        </w:tc>
        <w:tc>
          <w:tcPr>
            <w:tcW w:w="731" w:type="dxa"/>
            <w:tcBorders>
              <w:top w:val="single" w:color="000000" w:sz="2" w:space="0"/>
              <w:left w:val="single" w:color="000000" w:sz="2" w:space="0"/>
              <w:bottom w:val="single" w:color="000000" w:sz="2" w:space="0"/>
              <w:right w:val="single" w:color="000000" w:sz="2" w:space="0"/>
            </w:tcBorders>
            <w:shd w:val="clear" w:color="auto" w:fill="auto"/>
            <w:vAlign w:val="center"/>
          </w:tcPr>
          <w:p w14:paraId="7800F2A6">
            <w:pPr>
              <w:rPr>
                <w:rFonts w:ascii="Arial" w:hAnsi="Calibri"/>
                <w:szCs w:val="21"/>
              </w:rPr>
            </w:pPr>
          </w:p>
        </w:tc>
        <w:tc>
          <w:tcPr>
            <w:tcW w:w="1778" w:type="dxa"/>
            <w:tcBorders>
              <w:top w:val="single" w:color="000000" w:sz="2" w:space="0"/>
              <w:left w:val="single" w:color="000000" w:sz="2" w:space="0"/>
              <w:bottom w:val="single" w:color="000000" w:sz="2" w:space="0"/>
              <w:right w:val="single" w:color="000000" w:sz="2" w:space="0"/>
            </w:tcBorders>
            <w:shd w:val="clear" w:color="auto" w:fill="auto"/>
          </w:tcPr>
          <w:p w14:paraId="2D722415">
            <w:pPr>
              <w:rPr>
                <w:rFonts w:ascii="Arial" w:hAnsi="Calibri"/>
                <w:szCs w:val="21"/>
              </w:rPr>
            </w:pPr>
          </w:p>
        </w:tc>
      </w:tr>
    </w:tbl>
    <w:p w14:paraId="26F74EED">
      <w:pPr>
        <w:rPr>
          <w:rFonts w:ascii="Arial" w:hAnsi="Arial" w:cs="Arial"/>
          <w:szCs w:val="21"/>
        </w:rPr>
        <w:sectPr>
          <w:headerReference r:id="rId11" w:type="default"/>
          <w:footerReference r:id="rId12" w:type="default"/>
          <w:type w:val="continuous"/>
          <w:pgSz w:w="11906" w:h="16839"/>
          <w:pgMar w:top="1999" w:right="1065" w:bottom="1223" w:left="1677" w:header="1508" w:footer="1061" w:gutter="0"/>
          <w:cols w:space="720" w:num="1"/>
          <w:formProt w:val="0"/>
          <w:docGrid w:type="linesAndChars" w:linePitch="312" w:charSpace="0"/>
        </w:sectPr>
      </w:pPr>
    </w:p>
    <w:p w14:paraId="1EC807B7">
      <w:pPr>
        <w:spacing w:before="18"/>
        <w:rPr>
          <w:rFonts w:ascii="Calibri" w:hAnsi="Calibri"/>
          <w:szCs w:val="21"/>
        </w:rPr>
      </w:pPr>
      <w:r>
        <w:rPr>
          <w:rFonts w:ascii="Calibri" w:hAnsi="Calibri"/>
          <w:kern w:val="0"/>
          <w:szCs w:val="21"/>
          <w:lang w:bidi="ar"/>
        </w:rPr>
        <w:t xml:space="preserve"> </w:t>
      </w:r>
    </w:p>
    <w:tbl>
      <w:tblPr>
        <w:tblStyle w:val="67"/>
        <w:tblW w:w="9157" w:type="dxa"/>
        <w:tblInd w:w="11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79"/>
        <w:gridCol w:w="1035"/>
        <w:gridCol w:w="4163"/>
        <w:gridCol w:w="671"/>
        <w:gridCol w:w="491"/>
        <w:gridCol w:w="2018"/>
      </w:tblGrid>
      <w:tr w14:paraId="072E77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8" w:hRule="atLeast"/>
        </w:trPr>
        <w:tc>
          <w:tcPr>
            <w:tcW w:w="779" w:type="dxa"/>
            <w:vMerge w:val="restart"/>
            <w:tcBorders>
              <w:top w:val="single" w:color="000000" w:sz="2" w:space="0"/>
              <w:left w:val="single" w:color="000000" w:sz="2" w:space="0"/>
              <w:bottom w:val="nil"/>
              <w:right w:val="single" w:color="000000" w:sz="2" w:space="0"/>
            </w:tcBorders>
            <w:shd w:val="clear" w:color="auto" w:fill="auto"/>
          </w:tcPr>
          <w:p w14:paraId="7761177B">
            <w:pPr>
              <w:rPr>
                <w:rFonts w:ascii="Arial" w:hAnsi="Calibri"/>
                <w:szCs w:val="21"/>
              </w:rPr>
            </w:pP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44E215D2">
            <w:pPr>
              <w:pStyle w:val="18"/>
              <w:spacing w:before="97"/>
              <w:ind w:left="171"/>
              <w:rPr>
                <w:rFonts w:ascii="仿宋" w:hAnsi="仿宋" w:eastAsia="仿宋" w:cs="仿宋"/>
              </w:rPr>
            </w:pPr>
            <w:r>
              <w:rPr>
                <w:rFonts w:hint="eastAsia" w:ascii="仿宋" w:hAnsi="仿宋" w:eastAsia="仿宋" w:cs="仿宋"/>
                <w:spacing w:val="-6"/>
                <w:lang w:bidi="ar"/>
              </w:rPr>
              <w:t>为管控</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55DB3EF3">
            <w:pPr>
              <w:pStyle w:val="18"/>
              <w:spacing w:before="97"/>
              <w:ind w:left="139" w:hanging="4"/>
              <w:rPr>
                <w:rFonts w:ascii="仿宋" w:hAnsi="仿宋" w:eastAsia="仿宋" w:cs="仿宋"/>
              </w:rPr>
            </w:pPr>
            <w:r>
              <w:rPr>
                <w:rFonts w:hint="eastAsia" w:ascii="仿宋" w:hAnsi="仿宋" w:eastAsia="仿宋" w:cs="仿宋"/>
                <w:spacing w:val="-5"/>
                <w:lang w:bidi="ar"/>
              </w:rPr>
              <w:t>立机制本项不得分；发现一般“</w:t>
            </w:r>
            <w:r>
              <w:rPr>
                <w:rFonts w:hint="eastAsia" w:ascii="仿宋" w:hAnsi="仿宋" w:eastAsia="仿宋" w:cs="仿宋"/>
                <w:spacing w:val="-94"/>
                <w:lang w:bidi="ar"/>
              </w:rPr>
              <w:t xml:space="preserve"> </w:t>
            </w:r>
            <w:r>
              <w:rPr>
                <w:rFonts w:hint="eastAsia" w:ascii="仿宋" w:hAnsi="仿宋" w:eastAsia="仿宋" w:cs="仿宋"/>
                <w:spacing w:val="-5"/>
                <w:lang w:bidi="ar"/>
              </w:rPr>
              <w:t>三违”</w:t>
            </w:r>
            <w:r>
              <w:rPr>
                <w:rFonts w:hint="eastAsia" w:ascii="仿宋" w:hAnsi="仿宋" w:eastAsia="仿宋" w:cs="仿宋"/>
                <w:spacing w:val="-12"/>
                <w:lang w:bidi="ar"/>
              </w:rPr>
              <w:t>一次扣</w:t>
            </w:r>
            <w:r>
              <w:rPr>
                <w:rFonts w:hint="eastAsia" w:ascii="仿宋" w:hAnsi="仿宋" w:eastAsia="仿宋" w:cs="仿宋"/>
                <w:spacing w:val="-36"/>
                <w:lang w:bidi="ar"/>
              </w:rPr>
              <w:t xml:space="preserve"> </w:t>
            </w:r>
            <w:r>
              <w:rPr>
                <w:rFonts w:hint="eastAsia" w:ascii="仿宋" w:hAnsi="仿宋" w:eastAsia="仿宋" w:cs="仿宋"/>
                <w:spacing w:val="-12"/>
                <w:lang w:bidi="ar"/>
              </w:rPr>
              <w:t>2</w:t>
            </w:r>
            <w:r>
              <w:rPr>
                <w:rFonts w:hint="eastAsia" w:ascii="仿宋" w:hAnsi="仿宋" w:eastAsia="仿宋" w:cs="仿宋"/>
                <w:spacing w:val="-51"/>
                <w:lang w:bidi="ar"/>
              </w:rPr>
              <w:t xml:space="preserve"> </w:t>
            </w:r>
            <w:r>
              <w:rPr>
                <w:rFonts w:hint="eastAsia" w:ascii="仿宋" w:hAnsi="仿宋" w:eastAsia="仿宋" w:cs="仿宋"/>
                <w:spacing w:val="-12"/>
                <w:lang w:bidi="ar"/>
              </w:rPr>
              <w:t>分，严重</w:t>
            </w:r>
            <w:r>
              <w:rPr>
                <w:rFonts w:hint="eastAsia" w:ascii="仿宋" w:hAnsi="仿宋" w:eastAsia="仿宋" w:cs="仿宋"/>
                <w:spacing w:val="-90"/>
                <w:lang w:bidi="ar"/>
              </w:rPr>
              <w:t xml:space="preserve"> </w:t>
            </w:r>
            <w:r>
              <w:rPr>
                <w:rFonts w:hint="eastAsia" w:ascii="仿宋" w:hAnsi="仿宋" w:eastAsia="仿宋" w:cs="仿宋"/>
                <w:spacing w:val="-12"/>
                <w:lang w:bidi="ar"/>
              </w:rPr>
              <w:t>“三违”一次扣</w:t>
            </w:r>
            <w:r>
              <w:rPr>
                <w:rFonts w:hint="eastAsia" w:ascii="仿宋" w:hAnsi="仿宋" w:eastAsia="仿宋" w:cs="仿宋"/>
                <w:spacing w:val="-40"/>
                <w:lang w:bidi="ar"/>
              </w:rPr>
              <w:t xml:space="preserve"> </w:t>
            </w:r>
            <w:r>
              <w:rPr>
                <w:rFonts w:hint="eastAsia" w:ascii="仿宋" w:hAnsi="仿宋" w:eastAsia="仿宋" w:cs="仿宋"/>
                <w:spacing w:val="-12"/>
                <w:lang w:bidi="ar"/>
              </w:rPr>
              <w:t>5</w:t>
            </w:r>
          </w:p>
          <w:p w14:paraId="3C902929">
            <w:pPr>
              <w:pStyle w:val="18"/>
              <w:ind w:left="126"/>
              <w:rPr>
                <w:rFonts w:ascii="仿宋" w:hAnsi="仿宋" w:eastAsia="仿宋" w:cs="仿宋"/>
              </w:rPr>
            </w:pPr>
            <w:r>
              <w:rPr>
                <w:rFonts w:hint="eastAsia" w:ascii="仿宋" w:hAnsi="仿宋" w:eastAsia="仿宋" w:cs="仿宋"/>
                <w:spacing w:val="-6"/>
                <w:lang w:bidi="ar"/>
              </w:rPr>
              <w:t>分。</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6EF7BD2C">
            <w:pPr>
              <w:rPr>
                <w:rFonts w:ascii="Arial" w:hAnsi="Calibri"/>
                <w:szCs w:val="21"/>
              </w:rPr>
            </w:pPr>
          </w:p>
        </w:tc>
        <w:tc>
          <w:tcPr>
            <w:tcW w:w="491" w:type="dxa"/>
            <w:tcBorders>
              <w:top w:val="single" w:color="000000" w:sz="2" w:space="0"/>
              <w:left w:val="single" w:color="000000" w:sz="2" w:space="0"/>
              <w:bottom w:val="single" w:color="000000" w:sz="2" w:space="0"/>
              <w:right w:val="single" w:color="000000" w:sz="2" w:space="0"/>
            </w:tcBorders>
            <w:shd w:val="clear" w:color="auto" w:fill="auto"/>
          </w:tcPr>
          <w:p w14:paraId="63A5A07B">
            <w:pPr>
              <w:rPr>
                <w:rFonts w:ascii="Arial" w:hAnsi="Calibri"/>
                <w:szCs w:val="21"/>
              </w:rPr>
            </w:pPr>
          </w:p>
        </w:tc>
        <w:tc>
          <w:tcPr>
            <w:tcW w:w="2018" w:type="dxa"/>
            <w:tcBorders>
              <w:top w:val="single" w:color="000000" w:sz="2" w:space="0"/>
              <w:left w:val="single" w:color="000000" w:sz="2" w:space="0"/>
              <w:bottom w:val="single" w:color="000000" w:sz="2" w:space="0"/>
              <w:right w:val="single" w:color="000000" w:sz="2" w:space="0"/>
            </w:tcBorders>
            <w:shd w:val="clear" w:color="auto" w:fill="auto"/>
          </w:tcPr>
          <w:p w14:paraId="74B9E4AF">
            <w:pPr>
              <w:rPr>
                <w:rFonts w:ascii="Arial" w:hAnsi="Calibri"/>
                <w:szCs w:val="21"/>
              </w:rPr>
            </w:pPr>
          </w:p>
        </w:tc>
      </w:tr>
      <w:tr w14:paraId="22DCB2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37" w:hRule="atLeast"/>
        </w:trPr>
        <w:tc>
          <w:tcPr>
            <w:tcW w:w="779" w:type="dxa"/>
            <w:vMerge w:val="continue"/>
            <w:tcBorders>
              <w:top w:val="single" w:color="000000" w:sz="2" w:space="0"/>
              <w:left w:val="single" w:color="000000" w:sz="2" w:space="0"/>
              <w:bottom w:val="nil"/>
              <w:right w:val="single" w:color="000000" w:sz="2" w:space="0"/>
            </w:tcBorders>
            <w:shd w:val="clear" w:color="auto" w:fill="auto"/>
          </w:tcPr>
          <w:p w14:paraId="52D020B6">
            <w:pPr>
              <w:rPr>
                <w:sz w:val="20"/>
                <w:szCs w:val="20"/>
              </w:rPr>
            </w:pP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612940D9">
            <w:pPr>
              <w:pStyle w:val="18"/>
              <w:spacing w:before="250"/>
              <w:ind w:left="211"/>
              <w:rPr>
                <w:rFonts w:ascii="仿宋" w:hAnsi="仿宋" w:eastAsia="仿宋" w:cs="仿宋"/>
              </w:rPr>
            </w:pPr>
            <w:r>
              <w:rPr>
                <w:rFonts w:hint="eastAsia" w:ascii="仿宋" w:hAnsi="仿宋" w:eastAsia="仿宋" w:cs="仿宋"/>
                <w:spacing w:val="-8"/>
                <w:lang w:bidi="ar"/>
              </w:rPr>
              <w:t>3.5</w:t>
            </w:r>
            <w:r>
              <w:rPr>
                <w:rFonts w:hint="eastAsia" w:ascii="仿宋" w:hAnsi="仿宋" w:eastAsia="仿宋" w:cs="仿宋"/>
                <w:spacing w:val="-41"/>
                <w:lang w:bidi="ar"/>
              </w:rPr>
              <w:t xml:space="preserve"> </w:t>
            </w:r>
            <w:r>
              <w:rPr>
                <w:rFonts w:hint="eastAsia" w:ascii="仿宋" w:hAnsi="仿宋" w:eastAsia="仿宋" w:cs="仿宋"/>
                <w:spacing w:val="-8"/>
                <w:lang w:bidi="ar"/>
              </w:rPr>
              <w:t>监</w:t>
            </w:r>
          </w:p>
          <w:p w14:paraId="13DE7CE7">
            <w:pPr>
              <w:pStyle w:val="18"/>
              <w:spacing w:before="19"/>
              <w:ind w:left="174"/>
              <w:rPr>
                <w:rFonts w:ascii="仿宋" w:hAnsi="仿宋" w:eastAsia="仿宋" w:cs="仿宋"/>
              </w:rPr>
            </w:pPr>
            <w:r>
              <w:rPr>
                <w:rFonts w:hint="eastAsia" w:ascii="仿宋" w:hAnsi="仿宋" w:eastAsia="仿宋" w:cs="仿宋"/>
                <w:spacing w:val="-7"/>
                <w:lang w:bidi="ar"/>
              </w:rPr>
              <w:t>护人履</w:t>
            </w:r>
          </w:p>
          <w:p w14:paraId="2B235442">
            <w:pPr>
              <w:pStyle w:val="18"/>
              <w:spacing w:before="30"/>
              <w:ind w:left="414"/>
              <w:rPr>
                <w:rFonts w:ascii="仿宋" w:hAnsi="仿宋" w:eastAsia="仿宋" w:cs="仿宋"/>
              </w:rPr>
            </w:pPr>
            <w:r>
              <w:rPr>
                <w:rFonts w:hint="eastAsia" w:ascii="仿宋" w:hAnsi="仿宋" w:eastAsia="仿宋" w:cs="仿宋"/>
                <w:lang w:bidi="ar"/>
              </w:rPr>
              <w:t>职</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468F545F">
            <w:pPr>
              <w:pStyle w:val="18"/>
              <w:spacing w:before="94"/>
              <w:ind w:left="126" w:right="202" w:firstLine="8"/>
              <w:rPr>
                <w:rFonts w:ascii="仿宋" w:hAnsi="仿宋" w:eastAsia="仿宋" w:cs="仿宋"/>
              </w:rPr>
            </w:pPr>
            <w:r>
              <w:rPr>
                <w:rFonts w:hint="eastAsia" w:ascii="仿宋" w:hAnsi="仿宋" w:eastAsia="仿宋" w:cs="仿宋"/>
                <w:spacing w:val="-6"/>
                <w:lang w:bidi="ar"/>
              </w:rPr>
              <w:t>高风险作业按要求设置</w:t>
            </w:r>
            <w:r>
              <w:rPr>
                <w:rFonts w:hint="eastAsia" w:ascii="仿宋" w:hAnsi="仿宋" w:eastAsia="仿宋" w:cs="仿宋"/>
                <w:spacing w:val="-78"/>
                <w:lang w:bidi="ar"/>
              </w:rPr>
              <w:t xml:space="preserve"> </w:t>
            </w:r>
            <w:r>
              <w:rPr>
                <w:rFonts w:hint="eastAsia" w:ascii="仿宋" w:hAnsi="仿宋" w:eastAsia="仿宋" w:cs="仿宋"/>
                <w:spacing w:val="-6"/>
                <w:lang w:bidi="ar"/>
              </w:rPr>
              <w:t>“双监护”</w:t>
            </w:r>
            <w:r>
              <w:rPr>
                <w:rFonts w:hint="eastAsia" w:ascii="仿宋" w:hAnsi="仿宋" w:eastAsia="仿宋" w:cs="仿宋"/>
                <w:spacing w:val="-87"/>
                <w:lang w:bidi="ar"/>
              </w:rPr>
              <w:t xml:space="preserve"> </w:t>
            </w:r>
            <w:r>
              <w:rPr>
                <w:rFonts w:hint="eastAsia" w:ascii="仿宋" w:hAnsi="仿宋" w:eastAsia="仿宋" w:cs="仿宋"/>
                <w:spacing w:val="-6"/>
                <w:lang w:bidi="ar"/>
              </w:rPr>
              <w:t>，</w:t>
            </w:r>
            <w:r>
              <w:rPr>
                <w:rFonts w:hint="eastAsia" w:ascii="仿宋" w:hAnsi="仿宋" w:eastAsia="仿宋" w:cs="仿宋"/>
                <w:spacing w:val="-1"/>
                <w:lang w:bidi="ar"/>
              </w:rPr>
              <w:t>中风险作业由发包方专人监护，监护</w:t>
            </w:r>
            <w:r>
              <w:rPr>
                <w:rFonts w:hint="eastAsia" w:ascii="仿宋" w:hAnsi="仿宋" w:eastAsia="仿宋" w:cs="仿宋"/>
                <w:spacing w:val="-3"/>
                <w:lang w:bidi="ar"/>
              </w:rPr>
              <w:t>人持证并在岗履职。一处不符合扣</w:t>
            </w:r>
            <w:r>
              <w:rPr>
                <w:rFonts w:hint="eastAsia" w:ascii="仿宋" w:hAnsi="仿宋" w:eastAsia="仿宋" w:cs="仿宋"/>
                <w:spacing w:val="-25"/>
                <w:lang w:bidi="ar"/>
              </w:rPr>
              <w:t xml:space="preserve"> </w:t>
            </w:r>
            <w:r>
              <w:rPr>
                <w:rFonts w:hint="eastAsia" w:ascii="仿宋" w:hAnsi="仿宋" w:eastAsia="仿宋" w:cs="仿宋"/>
                <w:spacing w:val="-3"/>
                <w:lang w:bidi="ar"/>
              </w:rPr>
              <w:t>3</w:t>
            </w:r>
            <w:r>
              <w:rPr>
                <w:rFonts w:hint="eastAsia" w:ascii="仿宋" w:hAnsi="仿宋" w:eastAsia="仿宋" w:cs="仿宋"/>
                <w:spacing w:val="-2"/>
                <w:lang w:bidi="ar"/>
              </w:rPr>
              <w:t>分，扣完为止。</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4BDFCB5B">
            <w:pPr>
              <w:rPr>
                <w:rFonts w:ascii="Arial" w:hAnsi="Calibri"/>
                <w:szCs w:val="21"/>
              </w:rPr>
            </w:pPr>
          </w:p>
          <w:p w14:paraId="6793FB8E">
            <w:pPr>
              <w:rPr>
                <w:rFonts w:ascii="Arial" w:hAnsi="Calibri"/>
                <w:szCs w:val="21"/>
              </w:rPr>
            </w:pPr>
          </w:p>
          <w:p w14:paraId="5CC57DD0">
            <w:pPr>
              <w:pStyle w:val="18"/>
              <w:spacing w:before="78"/>
              <w:ind w:left="296"/>
              <w:rPr>
                <w:rFonts w:ascii="仿宋" w:hAnsi="仿宋" w:eastAsia="仿宋" w:cs="仿宋"/>
              </w:rPr>
            </w:pPr>
            <w:r>
              <w:rPr>
                <w:rFonts w:hint="eastAsia" w:ascii="仿宋" w:hAnsi="仿宋" w:eastAsia="仿宋" w:cs="仿宋"/>
                <w:lang w:bidi="ar"/>
              </w:rPr>
              <w:t>5</w:t>
            </w:r>
          </w:p>
        </w:tc>
        <w:tc>
          <w:tcPr>
            <w:tcW w:w="491" w:type="dxa"/>
            <w:tcBorders>
              <w:top w:val="single" w:color="000000" w:sz="2" w:space="0"/>
              <w:left w:val="single" w:color="000000" w:sz="2" w:space="0"/>
              <w:bottom w:val="single" w:color="000000" w:sz="2" w:space="0"/>
              <w:right w:val="single" w:color="000000" w:sz="2" w:space="0"/>
            </w:tcBorders>
            <w:shd w:val="clear" w:color="auto" w:fill="auto"/>
          </w:tcPr>
          <w:p w14:paraId="55820948">
            <w:pPr>
              <w:rPr>
                <w:rFonts w:ascii="Arial" w:hAnsi="Calibri"/>
                <w:szCs w:val="21"/>
              </w:rPr>
            </w:pPr>
          </w:p>
        </w:tc>
        <w:tc>
          <w:tcPr>
            <w:tcW w:w="2018" w:type="dxa"/>
            <w:tcBorders>
              <w:top w:val="single" w:color="000000" w:sz="2" w:space="0"/>
              <w:left w:val="single" w:color="000000" w:sz="2" w:space="0"/>
              <w:bottom w:val="single" w:color="000000" w:sz="2" w:space="0"/>
              <w:right w:val="single" w:color="000000" w:sz="2" w:space="0"/>
            </w:tcBorders>
            <w:shd w:val="clear" w:color="auto" w:fill="auto"/>
          </w:tcPr>
          <w:p w14:paraId="788B3C07">
            <w:pPr>
              <w:rPr>
                <w:rFonts w:ascii="Arial" w:hAnsi="Calibri"/>
                <w:szCs w:val="21"/>
              </w:rPr>
            </w:pPr>
          </w:p>
        </w:tc>
      </w:tr>
      <w:tr w14:paraId="1721D6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37" w:hRule="atLeast"/>
        </w:trPr>
        <w:tc>
          <w:tcPr>
            <w:tcW w:w="779" w:type="dxa"/>
            <w:vMerge w:val="restart"/>
            <w:tcBorders>
              <w:top w:val="nil"/>
              <w:left w:val="single" w:color="000000" w:sz="2" w:space="0"/>
              <w:bottom w:val="nil"/>
              <w:right w:val="single" w:color="000000" w:sz="2" w:space="0"/>
            </w:tcBorders>
            <w:shd w:val="clear" w:color="auto" w:fill="auto"/>
          </w:tcPr>
          <w:p w14:paraId="78D65067">
            <w:pPr>
              <w:spacing w:line="256" w:lineRule="auto"/>
              <w:rPr>
                <w:rFonts w:ascii="Arial" w:hAnsi="Calibri"/>
                <w:szCs w:val="21"/>
              </w:rPr>
            </w:pPr>
          </w:p>
          <w:p w14:paraId="7EFBEFA9">
            <w:pPr>
              <w:spacing w:line="256" w:lineRule="auto"/>
              <w:rPr>
                <w:rFonts w:ascii="Arial" w:hAnsi="Calibri"/>
                <w:szCs w:val="21"/>
              </w:rPr>
            </w:pPr>
          </w:p>
          <w:p w14:paraId="189B28C7">
            <w:pPr>
              <w:spacing w:line="256" w:lineRule="auto"/>
              <w:rPr>
                <w:rFonts w:ascii="Arial" w:hAnsi="Calibri"/>
                <w:szCs w:val="21"/>
              </w:rPr>
            </w:pPr>
          </w:p>
          <w:p w14:paraId="6C808106">
            <w:pPr>
              <w:spacing w:line="256" w:lineRule="auto"/>
              <w:rPr>
                <w:rFonts w:ascii="Arial" w:hAnsi="Calibri"/>
                <w:szCs w:val="21"/>
              </w:rPr>
            </w:pPr>
          </w:p>
          <w:p w14:paraId="65FECAFF">
            <w:pPr>
              <w:spacing w:line="256" w:lineRule="auto"/>
              <w:rPr>
                <w:rFonts w:ascii="Arial" w:hAnsi="Calibri"/>
                <w:szCs w:val="21"/>
              </w:rPr>
            </w:pPr>
          </w:p>
          <w:p w14:paraId="4B11FB05">
            <w:pPr>
              <w:spacing w:line="256" w:lineRule="auto"/>
              <w:rPr>
                <w:rFonts w:ascii="Arial" w:hAnsi="Calibri"/>
                <w:szCs w:val="21"/>
              </w:rPr>
            </w:pPr>
          </w:p>
          <w:p w14:paraId="02B1E76F">
            <w:pPr>
              <w:spacing w:line="256" w:lineRule="auto"/>
              <w:rPr>
                <w:rFonts w:ascii="Arial" w:hAnsi="Calibri"/>
                <w:szCs w:val="21"/>
              </w:rPr>
            </w:pPr>
          </w:p>
          <w:p w14:paraId="28EF42D6">
            <w:pPr>
              <w:spacing w:line="256" w:lineRule="auto"/>
              <w:rPr>
                <w:rFonts w:ascii="Arial" w:hAnsi="Calibri"/>
                <w:szCs w:val="21"/>
              </w:rPr>
            </w:pPr>
          </w:p>
          <w:p w14:paraId="22C03A34">
            <w:pPr>
              <w:spacing w:line="256" w:lineRule="auto"/>
              <w:rPr>
                <w:rFonts w:ascii="Arial" w:hAnsi="Calibri"/>
                <w:szCs w:val="21"/>
              </w:rPr>
            </w:pPr>
          </w:p>
          <w:p w14:paraId="22898A02">
            <w:pPr>
              <w:spacing w:line="256" w:lineRule="auto"/>
              <w:rPr>
                <w:rFonts w:ascii="Arial" w:hAnsi="Calibri"/>
                <w:szCs w:val="21"/>
              </w:rPr>
            </w:pPr>
          </w:p>
          <w:p w14:paraId="15674C6E">
            <w:pPr>
              <w:spacing w:line="256" w:lineRule="auto"/>
              <w:rPr>
                <w:rFonts w:ascii="Arial" w:hAnsi="Calibri"/>
                <w:szCs w:val="21"/>
              </w:rPr>
            </w:pPr>
          </w:p>
          <w:p w14:paraId="3C07FDD3">
            <w:pPr>
              <w:pStyle w:val="18"/>
              <w:spacing w:before="78"/>
              <w:ind w:left="154" w:right="147" w:firstLine="9"/>
              <w:rPr>
                <w:rFonts w:ascii="仿宋" w:hAnsi="仿宋" w:eastAsia="仿宋" w:cs="仿宋"/>
              </w:rPr>
            </w:pPr>
            <w:r>
              <w:rPr>
                <w:rFonts w:hint="eastAsia" w:ascii="仿宋" w:hAnsi="仿宋" w:eastAsia="仿宋" w:cs="仿宋"/>
                <w:spacing w:val="-6"/>
                <w:lang w:bidi="ar"/>
              </w:rPr>
              <w:t>4.安</w:t>
            </w:r>
            <w:r>
              <w:rPr>
                <w:rFonts w:hint="eastAsia" w:ascii="仿宋" w:hAnsi="仿宋" w:eastAsia="仿宋" w:cs="仿宋"/>
                <w:spacing w:val="-5"/>
                <w:lang w:bidi="ar"/>
              </w:rPr>
              <w:t>全绩效与改进</w:t>
            </w:r>
            <w:r>
              <w:rPr>
                <w:rFonts w:hint="eastAsia" w:ascii="仿宋" w:hAnsi="仿宋" w:eastAsia="仿宋" w:cs="仿宋"/>
                <w:spacing w:val="17"/>
                <w:lang w:bidi="ar"/>
              </w:rPr>
              <w:t>(30</w:t>
            </w:r>
            <w:r>
              <w:rPr>
                <w:rFonts w:hint="eastAsia" w:ascii="仿宋" w:hAnsi="仿宋" w:eastAsia="仿宋" w:cs="仿宋"/>
                <w:spacing w:val="25"/>
                <w:lang w:bidi="ar"/>
              </w:rPr>
              <w:t>分)</w:t>
            </w: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41BAC2A6">
            <w:pPr>
              <w:pStyle w:val="18"/>
              <w:spacing w:before="252"/>
              <w:ind w:left="200"/>
              <w:rPr>
                <w:rFonts w:ascii="仿宋" w:hAnsi="仿宋" w:eastAsia="仿宋" w:cs="仿宋"/>
              </w:rPr>
            </w:pPr>
            <w:r>
              <w:rPr>
                <w:rFonts w:hint="eastAsia" w:ascii="仿宋" w:hAnsi="仿宋" w:eastAsia="仿宋" w:cs="仿宋"/>
                <w:spacing w:val="-5"/>
                <w:lang w:bidi="ar"/>
              </w:rPr>
              <w:t>4.1</w:t>
            </w:r>
            <w:r>
              <w:rPr>
                <w:rFonts w:hint="eastAsia" w:ascii="仿宋" w:hAnsi="仿宋" w:eastAsia="仿宋" w:cs="仿宋"/>
                <w:spacing w:val="-44"/>
                <w:lang w:bidi="ar"/>
              </w:rPr>
              <w:t xml:space="preserve"> </w:t>
            </w:r>
            <w:r>
              <w:rPr>
                <w:rFonts w:hint="eastAsia" w:ascii="仿宋" w:hAnsi="仿宋" w:eastAsia="仿宋" w:cs="仿宋"/>
                <w:spacing w:val="-5"/>
                <w:lang w:bidi="ar"/>
              </w:rPr>
              <w:t>安</w:t>
            </w:r>
          </w:p>
          <w:p w14:paraId="55A5BF66">
            <w:pPr>
              <w:pStyle w:val="18"/>
              <w:spacing w:before="27"/>
              <w:ind w:left="162"/>
              <w:rPr>
                <w:rFonts w:ascii="仿宋" w:hAnsi="仿宋" w:eastAsia="仿宋" w:cs="仿宋"/>
              </w:rPr>
            </w:pPr>
            <w:r>
              <w:rPr>
                <w:rFonts w:hint="eastAsia" w:ascii="仿宋" w:hAnsi="仿宋" w:eastAsia="仿宋" w:cs="仿宋"/>
                <w:spacing w:val="-3"/>
                <w:lang w:bidi="ar"/>
              </w:rPr>
              <w:t>全事故</w:t>
            </w:r>
          </w:p>
          <w:p w14:paraId="339B2EA4">
            <w:pPr>
              <w:pStyle w:val="18"/>
              <w:spacing w:before="28"/>
              <w:ind w:left="293"/>
              <w:rPr>
                <w:rFonts w:ascii="仿宋" w:hAnsi="仿宋" w:eastAsia="仿宋" w:cs="仿宋"/>
              </w:rPr>
            </w:pPr>
            <w:r>
              <w:rPr>
                <w:rFonts w:hint="eastAsia" w:ascii="仿宋" w:hAnsi="仿宋" w:eastAsia="仿宋" w:cs="仿宋"/>
                <w:spacing w:val="-10"/>
                <w:lang w:bidi="ar"/>
              </w:rPr>
              <w:t>情况</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1D42EEF4">
            <w:pPr>
              <w:pStyle w:val="18"/>
              <w:spacing w:before="94"/>
              <w:ind w:left="131" w:right="116" w:hanging="7"/>
              <w:rPr>
                <w:rFonts w:ascii="仿宋" w:hAnsi="仿宋" w:eastAsia="仿宋" w:cs="仿宋"/>
              </w:rPr>
            </w:pPr>
            <w:r>
              <w:rPr>
                <w:rFonts w:hint="eastAsia" w:ascii="仿宋" w:hAnsi="仿宋" w:eastAsia="仿宋" w:cs="仿宋"/>
                <w:spacing w:val="-1"/>
                <w:lang w:bidi="ar"/>
              </w:rPr>
              <w:t>评价期内未发生生产安全责任事故得</w:t>
            </w:r>
            <w:r>
              <w:rPr>
                <w:rFonts w:hint="eastAsia" w:ascii="仿宋" w:hAnsi="仿宋" w:eastAsia="仿宋" w:cs="仿宋"/>
                <w:spacing w:val="-2"/>
                <w:lang w:bidi="ar"/>
              </w:rPr>
              <w:t>10</w:t>
            </w:r>
            <w:r>
              <w:rPr>
                <w:rFonts w:hint="eastAsia" w:ascii="仿宋" w:hAnsi="仿宋" w:eastAsia="仿宋" w:cs="仿宋"/>
                <w:spacing w:val="-44"/>
                <w:lang w:bidi="ar"/>
              </w:rPr>
              <w:t xml:space="preserve"> </w:t>
            </w:r>
            <w:r>
              <w:rPr>
                <w:rFonts w:hint="eastAsia" w:ascii="仿宋" w:hAnsi="仿宋" w:eastAsia="仿宋" w:cs="仿宋"/>
                <w:spacing w:val="-2"/>
                <w:lang w:bidi="ar"/>
              </w:rPr>
              <w:t>分。发生生产安全责任事故，视严</w:t>
            </w:r>
            <w:r>
              <w:rPr>
                <w:rFonts w:hint="eastAsia" w:ascii="仿宋" w:hAnsi="仿宋" w:eastAsia="仿宋" w:cs="仿宋"/>
                <w:spacing w:val="-5"/>
                <w:lang w:bidi="ar"/>
              </w:rPr>
              <w:t>重程度扣</w:t>
            </w:r>
            <w:r>
              <w:rPr>
                <w:rFonts w:hint="eastAsia" w:ascii="仿宋" w:hAnsi="仿宋" w:eastAsia="仿宋" w:cs="仿宋"/>
                <w:spacing w:val="-33"/>
                <w:lang w:bidi="ar"/>
              </w:rPr>
              <w:t xml:space="preserve"> </w:t>
            </w:r>
            <w:r>
              <w:rPr>
                <w:rFonts w:hint="eastAsia" w:ascii="仿宋" w:hAnsi="仿宋" w:eastAsia="仿宋" w:cs="仿宋"/>
                <w:spacing w:val="-5"/>
                <w:lang w:bidi="ar"/>
              </w:rPr>
              <w:t>5-10</w:t>
            </w:r>
            <w:r>
              <w:rPr>
                <w:rFonts w:hint="eastAsia" w:ascii="仿宋" w:hAnsi="仿宋" w:eastAsia="仿宋" w:cs="仿宋"/>
                <w:spacing w:val="-49"/>
                <w:lang w:bidi="ar"/>
              </w:rPr>
              <w:t xml:space="preserve"> </w:t>
            </w:r>
            <w:r>
              <w:rPr>
                <w:rFonts w:hint="eastAsia" w:ascii="仿宋" w:hAnsi="仿宋" w:eastAsia="仿宋" w:cs="仿宋"/>
                <w:spacing w:val="-5"/>
                <w:lang w:bidi="ar"/>
              </w:rPr>
              <w:t>分；存在瞒报、谎报行</w:t>
            </w:r>
            <w:r>
              <w:rPr>
                <w:rFonts w:hint="eastAsia" w:ascii="仿宋" w:hAnsi="仿宋" w:eastAsia="仿宋" w:cs="仿宋"/>
                <w:spacing w:val="-3"/>
                <w:lang w:bidi="ar"/>
              </w:rPr>
              <w:t>为，本项不得分。</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40303F0A">
            <w:pPr>
              <w:rPr>
                <w:rFonts w:ascii="Arial" w:hAnsi="Calibri"/>
                <w:szCs w:val="21"/>
              </w:rPr>
            </w:pPr>
          </w:p>
          <w:p w14:paraId="20B7C2BB">
            <w:pPr>
              <w:rPr>
                <w:rFonts w:ascii="Arial" w:hAnsi="Calibri"/>
                <w:szCs w:val="21"/>
              </w:rPr>
            </w:pPr>
          </w:p>
          <w:p w14:paraId="7BA7EDB2">
            <w:pPr>
              <w:pStyle w:val="18"/>
              <w:spacing w:before="78"/>
              <w:ind w:left="239"/>
              <w:rPr>
                <w:rFonts w:ascii="仿宋" w:hAnsi="仿宋" w:eastAsia="仿宋" w:cs="仿宋"/>
              </w:rPr>
            </w:pPr>
            <w:r>
              <w:rPr>
                <w:rFonts w:hint="eastAsia" w:ascii="仿宋" w:hAnsi="仿宋" w:eastAsia="仿宋" w:cs="仿宋"/>
                <w:spacing w:val="-13"/>
                <w:lang w:bidi="ar"/>
              </w:rPr>
              <w:t>10</w:t>
            </w:r>
          </w:p>
        </w:tc>
        <w:tc>
          <w:tcPr>
            <w:tcW w:w="491" w:type="dxa"/>
            <w:tcBorders>
              <w:top w:val="single" w:color="000000" w:sz="2" w:space="0"/>
              <w:left w:val="single" w:color="000000" w:sz="2" w:space="0"/>
              <w:bottom w:val="single" w:color="000000" w:sz="2" w:space="0"/>
              <w:right w:val="single" w:color="000000" w:sz="2" w:space="0"/>
            </w:tcBorders>
            <w:shd w:val="clear" w:color="auto" w:fill="auto"/>
          </w:tcPr>
          <w:p w14:paraId="0084B016">
            <w:pPr>
              <w:rPr>
                <w:rFonts w:ascii="Arial" w:hAnsi="Calibri"/>
                <w:szCs w:val="21"/>
              </w:rPr>
            </w:pPr>
          </w:p>
        </w:tc>
        <w:tc>
          <w:tcPr>
            <w:tcW w:w="2018" w:type="dxa"/>
            <w:tcBorders>
              <w:top w:val="single" w:color="000000" w:sz="2" w:space="0"/>
              <w:left w:val="single" w:color="000000" w:sz="2" w:space="0"/>
              <w:bottom w:val="single" w:color="000000" w:sz="2" w:space="0"/>
              <w:right w:val="single" w:color="000000" w:sz="2" w:space="0"/>
            </w:tcBorders>
            <w:shd w:val="clear" w:color="auto" w:fill="auto"/>
          </w:tcPr>
          <w:p w14:paraId="61C78B5F">
            <w:pPr>
              <w:rPr>
                <w:rFonts w:ascii="Arial" w:hAnsi="Calibri"/>
                <w:szCs w:val="21"/>
              </w:rPr>
            </w:pPr>
          </w:p>
        </w:tc>
      </w:tr>
      <w:tr w14:paraId="33E3BE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38" w:hRule="atLeast"/>
        </w:trPr>
        <w:tc>
          <w:tcPr>
            <w:tcW w:w="779" w:type="dxa"/>
            <w:vMerge w:val="continue"/>
            <w:tcBorders>
              <w:top w:val="nil"/>
              <w:left w:val="single" w:color="000000" w:sz="2" w:space="0"/>
              <w:bottom w:val="nil"/>
              <w:right w:val="single" w:color="000000" w:sz="2" w:space="0"/>
            </w:tcBorders>
            <w:shd w:val="clear" w:color="auto" w:fill="auto"/>
          </w:tcPr>
          <w:p w14:paraId="5228B916">
            <w:pPr>
              <w:rPr>
                <w:sz w:val="20"/>
                <w:szCs w:val="20"/>
              </w:rPr>
            </w:pP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3FE54FBE">
            <w:pPr>
              <w:pStyle w:val="18"/>
              <w:spacing w:before="98"/>
              <w:ind w:left="180" w:right="40" w:hanging="47"/>
              <w:rPr>
                <w:rFonts w:ascii="仿宋" w:hAnsi="仿宋" w:eastAsia="仿宋" w:cs="仿宋"/>
              </w:rPr>
            </w:pPr>
            <w:r>
              <w:rPr>
                <w:rFonts w:hint="eastAsia" w:ascii="仿宋" w:hAnsi="仿宋" w:eastAsia="仿宋" w:cs="仿宋"/>
                <w:spacing w:val="-13"/>
                <w:lang w:bidi="ar"/>
              </w:rPr>
              <w:t>4.2“吹</w:t>
            </w:r>
            <w:r>
              <w:rPr>
                <w:rFonts w:hint="eastAsia" w:ascii="仿宋" w:hAnsi="仿宋" w:eastAsia="仿宋" w:cs="仿宋"/>
                <w:spacing w:val="29"/>
                <w:lang w:bidi="ar"/>
              </w:rPr>
              <w:t>哨人”</w:t>
            </w:r>
          </w:p>
          <w:p w14:paraId="5BCB1950">
            <w:pPr>
              <w:pStyle w:val="18"/>
              <w:spacing w:before="2"/>
              <w:ind w:left="403" w:right="155" w:hanging="232"/>
              <w:rPr>
                <w:rFonts w:ascii="仿宋" w:hAnsi="仿宋" w:eastAsia="仿宋" w:cs="仿宋"/>
              </w:rPr>
            </w:pPr>
            <w:r>
              <w:rPr>
                <w:rFonts w:hint="eastAsia" w:ascii="仿宋" w:hAnsi="仿宋" w:eastAsia="仿宋" w:cs="仿宋"/>
                <w:spacing w:val="-6"/>
                <w:lang w:bidi="ar"/>
              </w:rPr>
              <w:t>制度执</w:t>
            </w:r>
            <w:r>
              <w:rPr>
                <w:rFonts w:hint="eastAsia" w:ascii="仿宋" w:hAnsi="仿宋" w:eastAsia="仿宋" w:cs="仿宋"/>
                <w:lang w:bidi="ar"/>
              </w:rPr>
              <w:t>行</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482B6E55">
            <w:pPr>
              <w:pStyle w:val="18"/>
              <w:spacing w:before="100"/>
              <w:ind w:left="120" w:right="202" w:firstLine="1"/>
              <w:rPr>
                <w:rFonts w:ascii="仿宋" w:hAnsi="仿宋" w:eastAsia="仿宋" w:cs="仿宋"/>
              </w:rPr>
            </w:pPr>
            <w:r>
              <w:rPr>
                <w:rFonts w:hint="eastAsia" w:ascii="仿宋" w:hAnsi="仿宋" w:eastAsia="仿宋" w:cs="仿宋"/>
                <w:spacing w:val="-3"/>
                <w:lang w:bidi="ar"/>
              </w:rPr>
              <w:t>建立并有效执行</w:t>
            </w:r>
            <w:r>
              <w:rPr>
                <w:rFonts w:hint="eastAsia" w:ascii="仿宋" w:hAnsi="仿宋" w:eastAsia="仿宋" w:cs="仿宋"/>
                <w:spacing w:val="-81"/>
                <w:lang w:bidi="ar"/>
              </w:rPr>
              <w:t xml:space="preserve"> </w:t>
            </w:r>
            <w:r>
              <w:rPr>
                <w:rFonts w:hint="eastAsia" w:ascii="仿宋" w:hAnsi="仿宋" w:eastAsia="仿宋" w:cs="仿宋"/>
                <w:spacing w:val="-3"/>
                <w:lang w:bidi="ar"/>
              </w:rPr>
              <w:t>“吹哨人”及隐患内</w:t>
            </w:r>
            <w:r>
              <w:rPr>
                <w:rFonts w:hint="eastAsia" w:ascii="仿宋" w:hAnsi="仿宋" w:eastAsia="仿宋" w:cs="仿宋"/>
                <w:spacing w:val="-1"/>
                <w:lang w:bidi="ar"/>
              </w:rPr>
              <w:t>部报告制度，奖励标准明确、落实到位，有完整台账记录。制度未建立不</w:t>
            </w:r>
            <w:r>
              <w:rPr>
                <w:rFonts w:hint="eastAsia" w:ascii="仿宋" w:hAnsi="仿宋" w:eastAsia="仿宋" w:cs="仿宋"/>
                <w:spacing w:val="-4"/>
                <w:lang w:bidi="ar"/>
              </w:rPr>
              <w:t>得分；执行不到位扣</w:t>
            </w:r>
            <w:r>
              <w:rPr>
                <w:rFonts w:hint="eastAsia" w:ascii="仿宋" w:hAnsi="仿宋" w:eastAsia="仿宋" w:cs="仿宋"/>
                <w:spacing w:val="-22"/>
                <w:lang w:bidi="ar"/>
              </w:rPr>
              <w:t xml:space="preserve"> </w:t>
            </w:r>
            <w:r>
              <w:rPr>
                <w:rFonts w:hint="eastAsia" w:ascii="仿宋" w:hAnsi="仿宋" w:eastAsia="仿宋" w:cs="仿宋"/>
                <w:spacing w:val="-4"/>
                <w:lang w:bidi="ar"/>
              </w:rPr>
              <w:t>3-5</w:t>
            </w:r>
            <w:r>
              <w:rPr>
                <w:rFonts w:hint="eastAsia" w:ascii="仿宋" w:hAnsi="仿宋" w:eastAsia="仿宋" w:cs="仿宋"/>
                <w:spacing w:val="-49"/>
                <w:lang w:bidi="ar"/>
              </w:rPr>
              <w:t xml:space="preserve"> </w:t>
            </w:r>
            <w:r>
              <w:rPr>
                <w:rFonts w:hint="eastAsia" w:ascii="仿宋" w:hAnsi="仿宋" w:eastAsia="仿宋" w:cs="仿宋"/>
                <w:spacing w:val="-4"/>
                <w:lang w:bidi="ar"/>
              </w:rPr>
              <w:t>分。</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78E66393">
            <w:pPr>
              <w:rPr>
                <w:rFonts w:ascii="Arial" w:hAnsi="Calibri"/>
                <w:szCs w:val="21"/>
              </w:rPr>
            </w:pPr>
          </w:p>
          <w:p w14:paraId="1C890947">
            <w:pPr>
              <w:spacing w:line="242" w:lineRule="auto"/>
              <w:rPr>
                <w:rFonts w:ascii="Arial" w:hAnsi="Calibri"/>
                <w:szCs w:val="21"/>
              </w:rPr>
            </w:pPr>
          </w:p>
          <w:p w14:paraId="273A7E79">
            <w:pPr>
              <w:pStyle w:val="18"/>
              <w:spacing w:before="78"/>
              <w:ind w:left="296"/>
              <w:rPr>
                <w:rFonts w:ascii="仿宋" w:hAnsi="仿宋" w:eastAsia="仿宋" w:cs="仿宋"/>
              </w:rPr>
            </w:pPr>
            <w:r>
              <w:rPr>
                <w:rFonts w:hint="eastAsia" w:ascii="仿宋" w:hAnsi="仿宋" w:eastAsia="仿宋" w:cs="仿宋"/>
                <w:lang w:bidi="ar"/>
              </w:rPr>
              <w:t>5</w:t>
            </w:r>
          </w:p>
        </w:tc>
        <w:tc>
          <w:tcPr>
            <w:tcW w:w="491" w:type="dxa"/>
            <w:tcBorders>
              <w:top w:val="single" w:color="000000" w:sz="2" w:space="0"/>
              <w:left w:val="single" w:color="000000" w:sz="2" w:space="0"/>
              <w:bottom w:val="single" w:color="000000" w:sz="2" w:space="0"/>
              <w:right w:val="single" w:color="000000" w:sz="2" w:space="0"/>
            </w:tcBorders>
            <w:shd w:val="clear" w:color="auto" w:fill="auto"/>
          </w:tcPr>
          <w:p w14:paraId="55740FDF">
            <w:pPr>
              <w:rPr>
                <w:rFonts w:ascii="Arial" w:hAnsi="Calibri"/>
                <w:szCs w:val="21"/>
              </w:rPr>
            </w:pPr>
          </w:p>
        </w:tc>
        <w:tc>
          <w:tcPr>
            <w:tcW w:w="2018" w:type="dxa"/>
            <w:tcBorders>
              <w:top w:val="single" w:color="000000" w:sz="2" w:space="0"/>
              <w:left w:val="single" w:color="000000" w:sz="2" w:space="0"/>
              <w:bottom w:val="single" w:color="000000" w:sz="2" w:space="0"/>
              <w:right w:val="single" w:color="000000" w:sz="2" w:space="0"/>
            </w:tcBorders>
            <w:shd w:val="clear" w:color="auto" w:fill="auto"/>
          </w:tcPr>
          <w:p w14:paraId="51FC129C">
            <w:pPr>
              <w:rPr>
                <w:rFonts w:ascii="Arial" w:hAnsi="Calibri"/>
                <w:szCs w:val="21"/>
              </w:rPr>
            </w:pPr>
          </w:p>
        </w:tc>
      </w:tr>
      <w:tr w14:paraId="4286BF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38" w:hRule="atLeast"/>
        </w:trPr>
        <w:tc>
          <w:tcPr>
            <w:tcW w:w="779" w:type="dxa"/>
            <w:vMerge w:val="continue"/>
            <w:tcBorders>
              <w:top w:val="nil"/>
              <w:left w:val="single" w:color="000000" w:sz="2" w:space="0"/>
              <w:bottom w:val="nil"/>
              <w:right w:val="single" w:color="000000" w:sz="2" w:space="0"/>
            </w:tcBorders>
            <w:shd w:val="clear" w:color="auto" w:fill="auto"/>
          </w:tcPr>
          <w:p w14:paraId="62488E42">
            <w:pPr>
              <w:rPr>
                <w:sz w:val="20"/>
                <w:szCs w:val="20"/>
              </w:rPr>
            </w:pP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0DFA07AC">
            <w:pPr>
              <w:pStyle w:val="18"/>
              <w:spacing w:before="252"/>
              <w:ind w:left="200"/>
              <w:rPr>
                <w:rFonts w:ascii="仿宋" w:hAnsi="仿宋" w:eastAsia="仿宋" w:cs="仿宋"/>
              </w:rPr>
            </w:pPr>
            <w:r>
              <w:rPr>
                <w:rFonts w:hint="eastAsia" w:ascii="仿宋" w:hAnsi="仿宋" w:eastAsia="仿宋" w:cs="仿宋"/>
                <w:spacing w:val="-5"/>
                <w:lang w:bidi="ar"/>
              </w:rPr>
              <w:t>4.3</w:t>
            </w:r>
            <w:r>
              <w:rPr>
                <w:rFonts w:hint="eastAsia" w:ascii="仿宋" w:hAnsi="仿宋" w:eastAsia="仿宋" w:cs="仿宋"/>
                <w:spacing w:val="-31"/>
                <w:lang w:bidi="ar"/>
              </w:rPr>
              <w:t xml:space="preserve"> </w:t>
            </w:r>
            <w:r>
              <w:rPr>
                <w:rFonts w:hint="eastAsia" w:ascii="仿宋" w:hAnsi="仿宋" w:eastAsia="仿宋" w:cs="仿宋"/>
                <w:spacing w:val="-5"/>
                <w:lang w:bidi="ar"/>
              </w:rPr>
              <w:t>隐</w:t>
            </w:r>
          </w:p>
          <w:p w14:paraId="199A00CD">
            <w:pPr>
              <w:pStyle w:val="18"/>
              <w:spacing w:before="27"/>
              <w:ind w:left="177"/>
              <w:rPr>
                <w:rFonts w:ascii="仿宋" w:hAnsi="仿宋" w:eastAsia="仿宋" w:cs="仿宋"/>
              </w:rPr>
            </w:pPr>
            <w:r>
              <w:rPr>
                <w:rFonts w:hint="eastAsia" w:ascii="仿宋" w:hAnsi="仿宋" w:eastAsia="仿宋" w:cs="仿宋"/>
                <w:spacing w:val="-8"/>
                <w:lang w:bidi="ar"/>
              </w:rPr>
              <w:t>患整改</w:t>
            </w:r>
          </w:p>
          <w:p w14:paraId="51F59FC2">
            <w:pPr>
              <w:pStyle w:val="18"/>
              <w:spacing w:before="29"/>
              <w:ind w:left="307"/>
              <w:rPr>
                <w:rFonts w:ascii="仿宋" w:hAnsi="仿宋" w:eastAsia="仿宋" w:cs="仿宋"/>
              </w:rPr>
            </w:pPr>
            <w:r>
              <w:rPr>
                <w:rFonts w:hint="eastAsia" w:ascii="仿宋" w:hAnsi="仿宋" w:eastAsia="仿宋" w:cs="仿宋"/>
                <w:spacing w:val="-17"/>
                <w:lang w:bidi="ar"/>
              </w:rPr>
              <w:t>闭环</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22005EB0">
            <w:pPr>
              <w:pStyle w:val="18"/>
              <w:spacing w:before="95"/>
              <w:ind w:left="118" w:right="202" w:firstLine="11"/>
              <w:rPr>
                <w:rFonts w:ascii="仿宋" w:hAnsi="仿宋" w:eastAsia="仿宋" w:cs="仿宋"/>
              </w:rPr>
            </w:pPr>
            <w:r>
              <w:rPr>
                <w:rFonts w:hint="eastAsia" w:ascii="仿宋" w:hAnsi="仿宋" w:eastAsia="仿宋" w:cs="仿宋"/>
                <w:spacing w:val="-1"/>
                <w:lang w:bidi="ar"/>
              </w:rPr>
              <w:t>对发包方及自查隐患整改响应及时，</w:t>
            </w:r>
            <w:r>
              <w:rPr>
                <w:rFonts w:hint="eastAsia" w:ascii="仿宋" w:hAnsi="仿宋" w:eastAsia="仿宋" w:cs="仿宋"/>
                <w:spacing w:val="-5"/>
                <w:lang w:bidi="ar"/>
              </w:rPr>
              <w:t>形成</w:t>
            </w:r>
            <w:r>
              <w:rPr>
                <w:rFonts w:hint="eastAsia" w:ascii="仿宋" w:hAnsi="仿宋" w:eastAsia="仿宋" w:cs="仿宋"/>
                <w:spacing w:val="-72"/>
                <w:lang w:bidi="ar"/>
              </w:rPr>
              <w:t xml:space="preserve"> </w:t>
            </w:r>
            <w:r>
              <w:rPr>
                <w:rFonts w:hint="eastAsia" w:ascii="仿宋" w:hAnsi="仿宋" w:eastAsia="仿宋" w:cs="仿宋"/>
                <w:spacing w:val="-5"/>
                <w:lang w:bidi="ar"/>
              </w:rPr>
              <w:t>“发现-整改-验证”</w:t>
            </w:r>
            <w:r>
              <w:rPr>
                <w:rFonts w:hint="eastAsia" w:ascii="仿宋" w:hAnsi="仿宋" w:eastAsia="仿宋" w:cs="仿宋"/>
                <w:spacing w:val="-87"/>
                <w:lang w:bidi="ar"/>
              </w:rPr>
              <w:t xml:space="preserve"> </w:t>
            </w:r>
            <w:r>
              <w:rPr>
                <w:rFonts w:hint="eastAsia" w:ascii="仿宋" w:hAnsi="仿宋" w:eastAsia="仿宋" w:cs="仿宋"/>
                <w:spacing w:val="-5"/>
                <w:lang w:bidi="ar"/>
              </w:rPr>
              <w:t>闭环。一项</w:t>
            </w:r>
            <w:r>
              <w:rPr>
                <w:rFonts w:hint="eastAsia" w:ascii="仿宋" w:hAnsi="仿宋" w:eastAsia="仿宋" w:cs="仿宋"/>
                <w:spacing w:val="-3"/>
                <w:lang w:bidi="ar"/>
              </w:rPr>
              <w:t>未闭环扣</w:t>
            </w:r>
            <w:r>
              <w:rPr>
                <w:rFonts w:hint="eastAsia" w:ascii="仿宋" w:hAnsi="仿宋" w:eastAsia="仿宋" w:cs="仿宋"/>
                <w:spacing w:val="-28"/>
                <w:lang w:bidi="ar"/>
              </w:rPr>
              <w:t xml:space="preserve"> </w:t>
            </w:r>
            <w:r>
              <w:rPr>
                <w:rFonts w:hint="eastAsia" w:ascii="仿宋" w:hAnsi="仿宋" w:eastAsia="仿宋" w:cs="仿宋"/>
                <w:spacing w:val="-3"/>
                <w:lang w:bidi="ar"/>
              </w:rPr>
              <w:t>2</w:t>
            </w:r>
            <w:r>
              <w:rPr>
                <w:rFonts w:hint="eastAsia" w:ascii="仿宋" w:hAnsi="仿宋" w:eastAsia="仿宋" w:cs="仿宋"/>
                <w:spacing w:val="-48"/>
                <w:lang w:bidi="ar"/>
              </w:rPr>
              <w:t xml:space="preserve"> </w:t>
            </w:r>
            <w:r>
              <w:rPr>
                <w:rFonts w:hint="eastAsia" w:ascii="仿宋" w:hAnsi="仿宋" w:eastAsia="仿宋" w:cs="仿宋"/>
                <w:spacing w:val="-3"/>
                <w:lang w:bidi="ar"/>
              </w:rPr>
              <w:t>分；重复出现同类隐患加</w:t>
            </w:r>
            <w:r>
              <w:rPr>
                <w:rFonts w:hint="eastAsia" w:ascii="仿宋" w:hAnsi="仿宋" w:eastAsia="仿宋" w:cs="仿宋"/>
                <w:spacing w:val="-1"/>
                <w:lang w:bidi="ar"/>
              </w:rPr>
              <w:t>倍扣分。</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3C1E54B8">
            <w:pPr>
              <w:rPr>
                <w:rFonts w:ascii="Arial" w:hAnsi="Calibri"/>
                <w:szCs w:val="21"/>
              </w:rPr>
            </w:pPr>
          </w:p>
          <w:p w14:paraId="7368CB66">
            <w:pPr>
              <w:rPr>
                <w:rFonts w:ascii="Arial" w:hAnsi="Calibri"/>
                <w:szCs w:val="21"/>
              </w:rPr>
            </w:pPr>
          </w:p>
          <w:p w14:paraId="4BB62CC8">
            <w:pPr>
              <w:pStyle w:val="18"/>
              <w:spacing w:before="78"/>
              <w:ind w:left="296"/>
              <w:rPr>
                <w:rFonts w:ascii="仿宋" w:hAnsi="仿宋" w:eastAsia="仿宋" w:cs="仿宋"/>
              </w:rPr>
            </w:pPr>
            <w:r>
              <w:rPr>
                <w:rFonts w:hint="eastAsia" w:ascii="仿宋" w:hAnsi="仿宋" w:eastAsia="仿宋" w:cs="仿宋"/>
                <w:lang w:bidi="ar"/>
              </w:rPr>
              <w:t>5</w:t>
            </w:r>
          </w:p>
        </w:tc>
        <w:tc>
          <w:tcPr>
            <w:tcW w:w="491" w:type="dxa"/>
            <w:tcBorders>
              <w:top w:val="single" w:color="000000" w:sz="2" w:space="0"/>
              <w:left w:val="single" w:color="000000" w:sz="2" w:space="0"/>
              <w:bottom w:val="single" w:color="000000" w:sz="2" w:space="0"/>
              <w:right w:val="single" w:color="000000" w:sz="2" w:space="0"/>
            </w:tcBorders>
            <w:shd w:val="clear" w:color="auto" w:fill="auto"/>
          </w:tcPr>
          <w:p w14:paraId="74200203">
            <w:pPr>
              <w:rPr>
                <w:rFonts w:ascii="Arial" w:hAnsi="Calibri"/>
                <w:szCs w:val="21"/>
              </w:rPr>
            </w:pPr>
          </w:p>
        </w:tc>
        <w:tc>
          <w:tcPr>
            <w:tcW w:w="2018" w:type="dxa"/>
            <w:tcBorders>
              <w:top w:val="single" w:color="000000" w:sz="2" w:space="0"/>
              <w:left w:val="single" w:color="000000" w:sz="2" w:space="0"/>
              <w:bottom w:val="single" w:color="000000" w:sz="2" w:space="0"/>
              <w:right w:val="single" w:color="000000" w:sz="2" w:space="0"/>
            </w:tcBorders>
            <w:shd w:val="clear" w:color="auto" w:fill="auto"/>
          </w:tcPr>
          <w:p w14:paraId="629CC231">
            <w:pPr>
              <w:rPr>
                <w:rFonts w:ascii="Arial" w:hAnsi="Calibri"/>
                <w:szCs w:val="21"/>
              </w:rPr>
            </w:pPr>
          </w:p>
        </w:tc>
      </w:tr>
      <w:tr w14:paraId="6DF412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61" w:hRule="atLeast"/>
        </w:trPr>
        <w:tc>
          <w:tcPr>
            <w:tcW w:w="779" w:type="dxa"/>
            <w:vMerge w:val="continue"/>
            <w:tcBorders>
              <w:top w:val="nil"/>
              <w:left w:val="single" w:color="000000" w:sz="2" w:space="0"/>
              <w:bottom w:val="nil"/>
              <w:right w:val="single" w:color="000000" w:sz="2" w:space="0"/>
            </w:tcBorders>
            <w:shd w:val="clear" w:color="auto" w:fill="auto"/>
          </w:tcPr>
          <w:p w14:paraId="3E96AFC7">
            <w:pPr>
              <w:rPr>
                <w:sz w:val="20"/>
                <w:szCs w:val="20"/>
              </w:rPr>
            </w:pP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04E7A50E">
            <w:pPr>
              <w:spacing w:line="242" w:lineRule="auto"/>
              <w:rPr>
                <w:rFonts w:ascii="Arial" w:hAnsi="Calibri"/>
                <w:szCs w:val="21"/>
              </w:rPr>
            </w:pPr>
          </w:p>
          <w:p w14:paraId="48102EB6">
            <w:pPr>
              <w:spacing w:line="242" w:lineRule="auto"/>
              <w:rPr>
                <w:rFonts w:ascii="Arial" w:hAnsi="Calibri"/>
                <w:szCs w:val="21"/>
              </w:rPr>
            </w:pPr>
          </w:p>
          <w:p w14:paraId="41F66D22">
            <w:pPr>
              <w:pStyle w:val="18"/>
              <w:spacing w:before="78"/>
              <w:ind w:left="171" w:right="155" w:firstLine="29"/>
              <w:rPr>
                <w:rFonts w:ascii="仿宋" w:hAnsi="仿宋" w:eastAsia="仿宋" w:cs="仿宋"/>
              </w:rPr>
            </w:pPr>
            <w:r>
              <w:rPr>
                <w:rFonts w:hint="eastAsia" w:ascii="仿宋" w:hAnsi="仿宋" w:eastAsia="仿宋" w:cs="仿宋"/>
                <w:spacing w:val="-9"/>
                <w:lang w:bidi="ar"/>
              </w:rPr>
              <w:t>4.4</w:t>
            </w:r>
            <w:r>
              <w:rPr>
                <w:rFonts w:hint="eastAsia" w:ascii="仿宋" w:hAnsi="仿宋" w:eastAsia="仿宋" w:cs="仿宋"/>
                <w:spacing w:val="-43"/>
                <w:lang w:bidi="ar"/>
              </w:rPr>
              <w:t xml:space="preserve"> </w:t>
            </w:r>
            <w:r>
              <w:rPr>
                <w:rFonts w:hint="eastAsia" w:ascii="仿宋" w:hAnsi="仿宋" w:eastAsia="仿宋" w:cs="仿宋"/>
                <w:spacing w:val="-9"/>
                <w:lang w:bidi="ar"/>
              </w:rPr>
              <w:t>事</w:t>
            </w:r>
            <w:r>
              <w:rPr>
                <w:rFonts w:hint="eastAsia" w:ascii="仿宋" w:hAnsi="仿宋" w:eastAsia="仿宋" w:cs="仿宋"/>
                <w:spacing w:val="-6"/>
                <w:lang w:bidi="ar"/>
              </w:rPr>
              <w:t>故事件</w:t>
            </w:r>
            <w:r>
              <w:rPr>
                <w:rFonts w:hint="eastAsia" w:ascii="仿宋" w:hAnsi="仿宋" w:eastAsia="仿宋" w:cs="仿宋"/>
                <w:spacing w:val="51"/>
                <w:lang w:bidi="ar"/>
              </w:rPr>
              <w:t>管理</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17705CC9">
            <w:pPr>
              <w:pStyle w:val="18"/>
              <w:spacing w:before="94"/>
              <w:ind w:left="124" w:right="49"/>
              <w:rPr>
                <w:rFonts w:ascii="仿宋" w:hAnsi="仿宋" w:eastAsia="仿宋" w:cs="仿宋"/>
              </w:rPr>
            </w:pPr>
            <w:r>
              <w:rPr>
                <w:rFonts w:hint="eastAsia" w:ascii="仿宋" w:hAnsi="仿宋" w:eastAsia="仿宋" w:cs="仿宋"/>
                <w:spacing w:val="-6"/>
                <w:lang w:bidi="ar"/>
              </w:rPr>
              <w:t>按规定报告事故事件，严格执行</w:t>
            </w:r>
            <w:r>
              <w:rPr>
                <w:rFonts w:hint="eastAsia" w:ascii="仿宋" w:hAnsi="仿宋" w:eastAsia="仿宋" w:cs="仿宋"/>
                <w:spacing w:val="-73"/>
                <w:lang w:bidi="ar"/>
              </w:rPr>
              <w:t xml:space="preserve"> </w:t>
            </w:r>
            <w:r>
              <w:rPr>
                <w:rFonts w:hint="eastAsia" w:ascii="仿宋" w:hAnsi="仿宋" w:eastAsia="仿宋" w:cs="仿宋"/>
                <w:spacing w:val="-6"/>
                <w:lang w:bidi="ar"/>
              </w:rPr>
              <w:t>“</w:t>
            </w:r>
            <w:r>
              <w:rPr>
                <w:rFonts w:hint="eastAsia" w:ascii="仿宋" w:hAnsi="仿宋" w:eastAsia="仿宋" w:cs="仿宋"/>
                <w:spacing w:val="-83"/>
                <w:lang w:bidi="ar"/>
              </w:rPr>
              <w:t xml:space="preserve"> </w:t>
            </w:r>
            <w:r>
              <w:rPr>
                <w:rFonts w:hint="eastAsia" w:ascii="仿宋" w:hAnsi="仿宋" w:eastAsia="仿宋" w:cs="仿宋"/>
                <w:spacing w:val="-6"/>
                <w:lang w:bidi="ar"/>
              </w:rPr>
              <w:t>四</w:t>
            </w:r>
            <w:r>
              <w:rPr>
                <w:rFonts w:hint="eastAsia" w:ascii="仿宋" w:hAnsi="仿宋" w:eastAsia="仿宋" w:cs="仿宋"/>
                <w:spacing w:val="1"/>
                <w:lang w:bidi="ar"/>
              </w:rPr>
              <w:t>不放过”原则（原因未查清不放过、</w:t>
            </w:r>
            <w:r>
              <w:rPr>
                <w:rFonts w:hint="eastAsia" w:ascii="仿宋" w:hAnsi="仿宋" w:eastAsia="仿宋" w:cs="仿宋"/>
                <w:spacing w:val="-1"/>
                <w:lang w:bidi="ar"/>
              </w:rPr>
              <w:t>责任人未处理不放过、措施未落实不</w:t>
            </w:r>
            <w:r>
              <w:rPr>
                <w:rFonts w:hint="eastAsia" w:ascii="仿宋" w:hAnsi="仿宋" w:eastAsia="仿宋" w:cs="仿宋"/>
                <w:spacing w:val="-6"/>
                <w:lang w:bidi="ar"/>
              </w:rPr>
              <w:t>放过、有关人员未受到教育不放过）。</w:t>
            </w:r>
            <w:r>
              <w:rPr>
                <w:rFonts w:hint="eastAsia" w:ascii="仿宋" w:hAnsi="仿宋" w:eastAsia="仿宋" w:cs="仿宋"/>
                <w:spacing w:val="-1"/>
                <w:lang w:bidi="ar"/>
              </w:rPr>
              <w:t>未按规定报告或处理本项不得分；处</w:t>
            </w:r>
            <w:r>
              <w:rPr>
                <w:rFonts w:hint="eastAsia" w:ascii="仿宋" w:hAnsi="仿宋" w:eastAsia="仿宋" w:cs="仿宋"/>
                <w:spacing w:val="-5"/>
                <w:lang w:bidi="ar"/>
              </w:rPr>
              <w:t>理不完善扣</w:t>
            </w:r>
            <w:r>
              <w:rPr>
                <w:rFonts w:hint="eastAsia" w:ascii="仿宋" w:hAnsi="仿宋" w:eastAsia="仿宋" w:cs="仿宋"/>
                <w:spacing w:val="-32"/>
                <w:lang w:bidi="ar"/>
              </w:rPr>
              <w:t xml:space="preserve"> </w:t>
            </w:r>
            <w:r>
              <w:rPr>
                <w:rFonts w:hint="eastAsia" w:ascii="仿宋" w:hAnsi="仿宋" w:eastAsia="仿宋" w:cs="仿宋"/>
                <w:spacing w:val="-5"/>
                <w:lang w:bidi="ar"/>
              </w:rPr>
              <w:t>3-5</w:t>
            </w:r>
            <w:r>
              <w:rPr>
                <w:rFonts w:hint="eastAsia" w:ascii="仿宋" w:hAnsi="仿宋" w:eastAsia="仿宋" w:cs="仿宋"/>
                <w:spacing w:val="-49"/>
                <w:lang w:bidi="ar"/>
              </w:rPr>
              <w:t xml:space="preserve"> </w:t>
            </w:r>
            <w:r>
              <w:rPr>
                <w:rFonts w:hint="eastAsia" w:ascii="仿宋" w:hAnsi="仿宋" w:eastAsia="仿宋" w:cs="仿宋"/>
                <w:spacing w:val="-5"/>
                <w:lang w:bidi="ar"/>
              </w:rPr>
              <w:t>分。</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3D1E934D">
            <w:pPr>
              <w:spacing w:line="264" w:lineRule="auto"/>
              <w:rPr>
                <w:rFonts w:ascii="Arial" w:hAnsi="Calibri"/>
                <w:szCs w:val="21"/>
              </w:rPr>
            </w:pPr>
          </w:p>
          <w:p w14:paraId="062E2F55">
            <w:pPr>
              <w:spacing w:line="264" w:lineRule="auto"/>
              <w:rPr>
                <w:rFonts w:ascii="Arial" w:hAnsi="Calibri"/>
                <w:szCs w:val="21"/>
              </w:rPr>
            </w:pPr>
          </w:p>
          <w:p w14:paraId="562A2452">
            <w:pPr>
              <w:spacing w:line="264" w:lineRule="auto"/>
              <w:rPr>
                <w:rFonts w:ascii="Arial" w:hAnsi="Calibri"/>
                <w:szCs w:val="21"/>
              </w:rPr>
            </w:pPr>
          </w:p>
          <w:p w14:paraId="32171DB2">
            <w:pPr>
              <w:pStyle w:val="18"/>
              <w:spacing w:before="78"/>
              <w:ind w:left="296"/>
              <w:rPr>
                <w:rFonts w:ascii="仿宋" w:hAnsi="仿宋" w:eastAsia="仿宋" w:cs="仿宋"/>
              </w:rPr>
            </w:pPr>
            <w:r>
              <w:rPr>
                <w:rFonts w:hint="eastAsia" w:ascii="仿宋" w:hAnsi="仿宋" w:eastAsia="仿宋" w:cs="仿宋"/>
                <w:lang w:bidi="ar"/>
              </w:rPr>
              <w:t>5</w:t>
            </w:r>
          </w:p>
        </w:tc>
        <w:tc>
          <w:tcPr>
            <w:tcW w:w="491" w:type="dxa"/>
            <w:tcBorders>
              <w:top w:val="single" w:color="000000" w:sz="2" w:space="0"/>
              <w:left w:val="single" w:color="000000" w:sz="2" w:space="0"/>
              <w:bottom w:val="single" w:color="000000" w:sz="2" w:space="0"/>
              <w:right w:val="single" w:color="000000" w:sz="2" w:space="0"/>
            </w:tcBorders>
            <w:shd w:val="clear" w:color="auto" w:fill="auto"/>
          </w:tcPr>
          <w:p w14:paraId="2F6FF7B7">
            <w:pPr>
              <w:rPr>
                <w:rFonts w:ascii="Arial" w:hAnsi="Calibri"/>
                <w:szCs w:val="21"/>
              </w:rPr>
            </w:pPr>
          </w:p>
        </w:tc>
        <w:tc>
          <w:tcPr>
            <w:tcW w:w="2018" w:type="dxa"/>
            <w:tcBorders>
              <w:top w:val="single" w:color="000000" w:sz="2" w:space="0"/>
              <w:left w:val="single" w:color="000000" w:sz="2" w:space="0"/>
              <w:bottom w:val="single" w:color="000000" w:sz="2" w:space="0"/>
              <w:right w:val="single" w:color="000000" w:sz="2" w:space="0"/>
            </w:tcBorders>
            <w:shd w:val="clear" w:color="auto" w:fill="auto"/>
          </w:tcPr>
          <w:p w14:paraId="3288AA04">
            <w:pPr>
              <w:rPr>
                <w:rFonts w:ascii="Arial" w:hAnsi="Calibri"/>
                <w:szCs w:val="21"/>
              </w:rPr>
            </w:pPr>
          </w:p>
        </w:tc>
      </w:tr>
      <w:tr w14:paraId="4E3B4A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49" w:hRule="atLeast"/>
        </w:trPr>
        <w:tc>
          <w:tcPr>
            <w:tcW w:w="779" w:type="dxa"/>
            <w:vMerge w:val="continue"/>
            <w:tcBorders>
              <w:top w:val="nil"/>
              <w:left w:val="single" w:color="000000" w:sz="2" w:space="0"/>
              <w:bottom w:val="nil"/>
              <w:right w:val="single" w:color="000000" w:sz="2" w:space="0"/>
            </w:tcBorders>
            <w:shd w:val="clear" w:color="auto" w:fill="auto"/>
          </w:tcPr>
          <w:p w14:paraId="4F492C29">
            <w:pPr>
              <w:rPr>
                <w:sz w:val="20"/>
                <w:szCs w:val="20"/>
              </w:rPr>
            </w:pP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4ED6606A">
            <w:pPr>
              <w:spacing w:line="328" w:lineRule="auto"/>
              <w:rPr>
                <w:rFonts w:ascii="Arial" w:hAnsi="Calibri"/>
                <w:szCs w:val="21"/>
              </w:rPr>
            </w:pPr>
          </w:p>
          <w:p w14:paraId="209CAE01">
            <w:pPr>
              <w:pStyle w:val="18"/>
              <w:spacing w:before="78"/>
              <w:ind w:left="165" w:right="155" w:firstLine="35"/>
              <w:rPr>
                <w:rFonts w:ascii="仿宋" w:hAnsi="仿宋" w:eastAsia="仿宋" w:cs="仿宋"/>
              </w:rPr>
            </w:pPr>
            <w:r>
              <w:rPr>
                <w:rFonts w:hint="eastAsia" w:ascii="仿宋" w:hAnsi="仿宋" w:eastAsia="仿宋" w:cs="仿宋"/>
                <w:spacing w:val="-8"/>
                <w:lang w:bidi="ar"/>
              </w:rPr>
              <w:t>4.5</w:t>
            </w:r>
            <w:r>
              <w:rPr>
                <w:rFonts w:hint="eastAsia" w:ascii="仿宋" w:hAnsi="仿宋" w:eastAsia="仿宋" w:cs="仿宋"/>
                <w:spacing w:val="-47"/>
                <w:lang w:bidi="ar"/>
              </w:rPr>
              <w:t xml:space="preserve"> </w:t>
            </w:r>
            <w:r>
              <w:rPr>
                <w:rFonts w:hint="eastAsia" w:ascii="仿宋" w:hAnsi="仿宋" w:eastAsia="仿宋" w:cs="仿宋"/>
                <w:spacing w:val="-8"/>
                <w:lang w:bidi="ar"/>
              </w:rPr>
              <w:t>项</w:t>
            </w:r>
            <w:r>
              <w:rPr>
                <w:rFonts w:hint="eastAsia" w:ascii="仿宋" w:hAnsi="仿宋" w:eastAsia="仿宋" w:cs="仿宋"/>
                <w:spacing w:val="-4"/>
                <w:lang w:bidi="ar"/>
              </w:rPr>
              <w:t>目负责人履职</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46B52694">
            <w:pPr>
              <w:pStyle w:val="18"/>
              <w:spacing w:before="98"/>
              <w:ind w:left="124" w:right="202" w:firstLine="2"/>
              <w:rPr>
                <w:rFonts w:ascii="仿宋" w:hAnsi="仿宋" w:eastAsia="仿宋" w:cs="仿宋"/>
              </w:rPr>
            </w:pPr>
            <w:r>
              <w:rPr>
                <w:rFonts w:hint="eastAsia" w:ascii="仿宋" w:hAnsi="仿宋" w:eastAsia="仿宋" w:cs="仿宋"/>
                <w:spacing w:val="-1"/>
                <w:lang w:bidi="ar"/>
              </w:rPr>
              <w:t>项目（现场）负责人技术能力与安全管理经验匹配，在岗履职，变更需经发包方批准。评价期内擅离岗位或未经批准变更本项不得分；履职不到位</w:t>
            </w:r>
            <w:r>
              <w:rPr>
                <w:rFonts w:hint="eastAsia" w:ascii="仿宋" w:hAnsi="仿宋" w:eastAsia="仿宋" w:cs="仿宋"/>
                <w:spacing w:val="-7"/>
                <w:lang w:bidi="ar"/>
              </w:rPr>
              <w:t>扣</w:t>
            </w:r>
            <w:r>
              <w:rPr>
                <w:rFonts w:hint="eastAsia" w:ascii="仿宋" w:hAnsi="仿宋" w:eastAsia="仿宋" w:cs="仿宋"/>
                <w:spacing w:val="-40"/>
                <w:lang w:bidi="ar"/>
              </w:rPr>
              <w:t xml:space="preserve"> </w:t>
            </w:r>
            <w:r>
              <w:rPr>
                <w:rFonts w:hint="eastAsia" w:ascii="仿宋" w:hAnsi="仿宋" w:eastAsia="仿宋" w:cs="仿宋"/>
                <w:spacing w:val="-7"/>
                <w:lang w:bidi="ar"/>
              </w:rPr>
              <w:t>2-3</w:t>
            </w:r>
            <w:r>
              <w:rPr>
                <w:rFonts w:hint="eastAsia" w:ascii="仿宋" w:hAnsi="仿宋" w:eastAsia="仿宋" w:cs="仿宋"/>
                <w:spacing w:val="-49"/>
                <w:lang w:bidi="ar"/>
              </w:rPr>
              <w:t xml:space="preserve"> </w:t>
            </w:r>
            <w:r>
              <w:rPr>
                <w:rFonts w:hint="eastAsia" w:ascii="仿宋" w:hAnsi="仿宋" w:eastAsia="仿宋" w:cs="仿宋"/>
                <w:spacing w:val="-7"/>
                <w:lang w:bidi="ar"/>
              </w:rPr>
              <w:t>分。</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0C308E97">
            <w:pPr>
              <w:spacing w:line="316" w:lineRule="auto"/>
              <w:rPr>
                <w:rFonts w:ascii="Arial" w:hAnsi="Calibri"/>
                <w:szCs w:val="21"/>
              </w:rPr>
            </w:pPr>
          </w:p>
          <w:p w14:paraId="7A53DEEB">
            <w:pPr>
              <w:spacing w:line="319" w:lineRule="auto"/>
              <w:rPr>
                <w:rFonts w:ascii="Arial" w:hAnsi="Calibri"/>
                <w:szCs w:val="21"/>
              </w:rPr>
            </w:pPr>
          </w:p>
          <w:p w14:paraId="5AC41175">
            <w:pPr>
              <w:pStyle w:val="18"/>
              <w:spacing w:before="78"/>
              <w:ind w:left="296"/>
              <w:rPr>
                <w:rFonts w:ascii="仿宋" w:hAnsi="仿宋" w:eastAsia="仿宋" w:cs="仿宋"/>
              </w:rPr>
            </w:pPr>
            <w:r>
              <w:rPr>
                <w:rFonts w:hint="eastAsia" w:ascii="仿宋" w:hAnsi="仿宋" w:eastAsia="仿宋" w:cs="仿宋"/>
                <w:lang w:bidi="ar"/>
              </w:rPr>
              <w:t>5</w:t>
            </w:r>
          </w:p>
        </w:tc>
        <w:tc>
          <w:tcPr>
            <w:tcW w:w="491" w:type="dxa"/>
            <w:tcBorders>
              <w:top w:val="single" w:color="000000" w:sz="2" w:space="0"/>
              <w:left w:val="single" w:color="000000" w:sz="2" w:space="0"/>
              <w:bottom w:val="single" w:color="000000" w:sz="2" w:space="0"/>
              <w:right w:val="single" w:color="000000" w:sz="2" w:space="0"/>
            </w:tcBorders>
            <w:shd w:val="clear" w:color="auto" w:fill="auto"/>
          </w:tcPr>
          <w:p w14:paraId="77622A60">
            <w:pPr>
              <w:rPr>
                <w:rFonts w:ascii="Arial" w:hAnsi="Calibri"/>
                <w:szCs w:val="21"/>
              </w:rPr>
            </w:pPr>
          </w:p>
        </w:tc>
        <w:tc>
          <w:tcPr>
            <w:tcW w:w="2018" w:type="dxa"/>
            <w:tcBorders>
              <w:top w:val="single" w:color="000000" w:sz="2" w:space="0"/>
              <w:left w:val="single" w:color="000000" w:sz="2" w:space="0"/>
              <w:bottom w:val="single" w:color="000000" w:sz="2" w:space="0"/>
              <w:right w:val="single" w:color="000000" w:sz="2" w:space="0"/>
            </w:tcBorders>
            <w:shd w:val="clear" w:color="auto" w:fill="auto"/>
          </w:tcPr>
          <w:p w14:paraId="4EFCCE13">
            <w:pPr>
              <w:rPr>
                <w:rFonts w:ascii="Arial" w:hAnsi="Calibri"/>
                <w:szCs w:val="21"/>
              </w:rPr>
            </w:pPr>
          </w:p>
        </w:tc>
      </w:tr>
      <w:tr w14:paraId="0B19F2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6" w:hRule="atLeast"/>
        </w:trPr>
        <w:tc>
          <w:tcPr>
            <w:tcW w:w="779" w:type="dxa"/>
            <w:vMerge w:val="restart"/>
            <w:tcBorders>
              <w:top w:val="nil"/>
              <w:left w:val="single" w:color="000000" w:sz="2" w:space="0"/>
              <w:bottom w:val="nil"/>
              <w:right w:val="single" w:color="000000" w:sz="2" w:space="0"/>
            </w:tcBorders>
            <w:shd w:val="clear" w:color="auto" w:fill="auto"/>
          </w:tcPr>
          <w:p w14:paraId="1C7AED85">
            <w:pPr>
              <w:spacing w:line="244" w:lineRule="auto"/>
              <w:rPr>
                <w:rFonts w:ascii="Arial" w:hAnsi="Calibri"/>
                <w:szCs w:val="21"/>
              </w:rPr>
            </w:pPr>
          </w:p>
          <w:p w14:paraId="081586DF">
            <w:pPr>
              <w:spacing w:line="244" w:lineRule="auto"/>
              <w:rPr>
                <w:rFonts w:ascii="Arial" w:hAnsi="Calibri"/>
                <w:szCs w:val="21"/>
              </w:rPr>
            </w:pPr>
          </w:p>
          <w:p w14:paraId="5DCD742B">
            <w:pPr>
              <w:spacing w:line="244" w:lineRule="auto"/>
              <w:rPr>
                <w:rFonts w:ascii="Arial" w:hAnsi="Calibri"/>
                <w:szCs w:val="21"/>
              </w:rPr>
            </w:pPr>
          </w:p>
          <w:p w14:paraId="15BB4915">
            <w:pPr>
              <w:pStyle w:val="18"/>
              <w:spacing w:before="78"/>
              <w:ind w:left="158" w:right="147" w:firstLine="9"/>
              <w:rPr>
                <w:rFonts w:ascii="仿宋" w:hAnsi="仿宋" w:eastAsia="仿宋" w:cs="仿宋"/>
              </w:rPr>
            </w:pPr>
            <w:r>
              <w:rPr>
                <w:rFonts w:hint="eastAsia" w:ascii="仿宋" w:hAnsi="仿宋" w:eastAsia="仿宋" w:cs="仿宋"/>
                <w:spacing w:val="-8"/>
                <w:lang w:bidi="ar"/>
              </w:rPr>
              <w:t>5.综</w:t>
            </w:r>
            <w:r>
              <w:rPr>
                <w:rFonts w:hint="eastAsia" w:ascii="仿宋" w:hAnsi="仿宋" w:eastAsia="仿宋" w:cs="仿宋"/>
                <w:spacing w:val="-7"/>
                <w:lang w:bidi="ar"/>
              </w:rPr>
              <w:t>合管理与文化</w:t>
            </w:r>
            <w:r>
              <w:rPr>
                <w:rFonts w:hint="eastAsia" w:ascii="仿宋" w:hAnsi="仿宋" w:eastAsia="仿宋" w:cs="仿宋"/>
                <w:spacing w:val="15"/>
                <w:lang w:bidi="ar"/>
              </w:rPr>
              <w:t>(15</w:t>
            </w:r>
            <w:r>
              <w:rPr>
                <w:rFonts w:hint="eastAsia" w:ascii="仿宋" w:hAnsi="仿宋" w:eastAsia="仿宋" w:cs="仿宋"/>
                <w:spacing w:val="23"/>
                <w:lang w:bidi="ar"/>
              </w:rPr>
              <w:t>分)</w:t>
            </w: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120B5447">
            <w:pPr>
              <w:pStyle w:val="18"/>
              <w:spacing w:before="99"/>
              <w:ind w:left="166" w:right="155" w:firstLine="38"/>
              <w:rPr>
                <w:rFonts w:ascii="仿宋" w:hAnsi="仿宋" w:eastAsia="仿宋" w:cs="仿宋"/>
              </w:rPr>
            </w:pPr>
            <w:r>
              <w:rPr>
                <w:rFonts w:hint="eastAsia" w:ascii="仿宋" w:hAnsi="仿宋" w:eastAsia="仿宋" w:cs="仿宋"/>
                <w:spacing w:val="-8"/>
                <w:lang w:bidi="ar"/>
              </w:rPr>
              <w:t>5.1</w:t>
            </w:r>
            <w:r>
              <w:rPr>
                <w:rFonts w:hint="eastAsia" w:ascii="仿宋" w:hAnsi="仿宋" w:eastAsia="仿宋" w:cs="仿宋"/>
                <w:spacing w:val="-50"/>
                <w:lang w:bidi="ar"/>
              </w:rPr>
              <w:t xml:space="preserve"> </w:t>
            </w:r>
            <w:r>
              <w:rPr>
                <w:rFonts w:hint="eastAsia" w:ascii="仿宋" w:hAnsi="仿宋" w:eastAsia="仿宋" w:cs="仿宋"/>
                <w:spacing w:val="-8"/>
                <w:lang w:bidi="ar"/>
              </w:rPr>
              <w:t>管</w:t>
            </w:r>
            <w:r>
              <w:rPr>
                <w:rFonts w:hint="eastAsia" w:ascii="仿宋" w:hAnsi="仿宋" w:eastAsia="仿宋" w:cs="仿宋"/>
                <w:spacing w:val="-5"/>
                <w:lang w:bidi="ar"/>
              </w:rPr>
              <w:t>理机构</w:t>
            </w:r>
          </w:p>
          <w:p w14:paraId="0A02183D">
            <w:pPr>
              <w:pStyle w:val="18"/>
              <w:spacing w:before="1"/>
              <w:ind w:left="176"/>
              <w:rPr>
                <w:rFonts w:ascii="仿宋" w:hAnsi="仿宋" w:eastAsia="仿宋" w:cs="仿宋"/>
              </w:rPr>
            </w:pPr>
            <w:r>
              <w:rPr>
                <w:rFonts w:hint="eastAsia" w:ascii="仿宋" w:hAnsi="仿宋" w:eastAsia="仿宋" w:cs="仿宋"/>
                <w:spacing w:val="-8"/>
                <w:lang w:bidi="ar"/>
              </w:rPr>
              <w:t>与责任</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1CBF55A1">
            <w:pPr>
              <w:pStyle w:val="18"/>
              <w:spacing w:before="99"/>
              <w:ind w:left="134" w:right="49" w:hanging="4"/>
              <w:rPr>
                <w:rFonts w:ascii="仿宋" w:hAnsi="仿宋" w:eastAsia="仿宋" w:cs="仿宋"/>
              </w:rPr>
            </w:pPr>
            <w:r>
              <w:rPr>
                <w:rFonts w:hint="eastAsia" w:ascii="仿宋" w:hAnsi="仿宋" w:eastAsia="仿宋" w:cs="仿宋"/>
                <w:spacing w:val="-1"/>
                <w:lang w:bidi="ar"/>
              </w:rPr>
              <w:t>安全管理机构健全，人员配备满足作</w:t>
            </w:r>
            <w:r>
              <w:rPr>
                <w:rFonts w:hint="eastAsia" w:ascii="仿宋" w:hAnsi="仿宋" w:eastAsia="仿宋" w:cs="仿宋"/>
                <w:spacing w:val="-2"/>
                <w:lang w:bidi="ar"/>
              </w:rPr>
              <w:t>业需求，安全生产责任制层层落实至</w:t>
            </w:r>
            <w:r>
              <w:rPr>
                <w:rFonts w:hint="eastAsia" w:ascii="仿宋" w:hAnsi="仿宋" w:eastAsia="仿宋" w:cs="仿宋"/>
                <w:spacing w:val="-9"/>
                <w:lang w:bidi="ar"/>
              </w:rPr>
              <w:t>岗位。一项不符合扣</w:t>
            </w:r>
            <w:r>
              <w:rPr>
                <w:rFonts w:hint="eastAsia" w:ascii="仿宋" w:hAnsi="仿宋" w:eastAsia="仿宋" w:cs="仿宋"/>
                <w:spacing w:val="-27"/>
                <w:lang w:bidi="ar"/>
              </w:rPr>
              <w:t xml:space="preserve"> </w:t>
            </w:r>
            <w:r>
              <w:rPr>
                <w:rFonts w:hint="eastAsia" w:ascii="仿宋" w:hAnsi="仿宋" w:eastAsia="仿宋" w:cs="仿宋"/>
                <w:spacing w:val="-9"/>
                <w:lang w:bidi="ar"/>
              </w:rPr>
              <w:t>2</w:t>
            </w:r>
            <w:r>
              <w:rPr>
                <w:rFonts w:hint="eastAsia" w:ascii="仿宋" w:hAnsi="仿宋" w:eastAsia="仿宋" w:cs="仿宋"/>
                <w:spacing w:val="-49"/>
                <w:lang w:bidi="ar"/>
              </w:rPr>
              <w:t xml:space="preserve"> </w:t>
            </w:r>
            <w:r>
              <w:rPr>
                <w:rFonts w:hint="eastAsia" w:ascii="仿宋" w:hAnsi="仿宋" w:eastAsia="仿宋" w:cs="仿宋"/>
                <w:spacing w:val="-9"/>
                <w:lang w:bidi="ar"/>
              </w:rPr>
              <w:t>分，扣完为止。</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0AD21394">
            <w:pPr>
              <w:spacing w:line="328" w:lineRule="auto"/>
              <w:rPr>
                <w:rFonts w:ascii="Arial" w:hAnsi="Calibri"/>
                <w:szCs w:val="21"/>
              </w:rPr>
            </w:pPr>
          </w:p>
          <w:p w14:paraId="390F2A08">
            <w:pPr>
              <w:pStyle w:val="18"/>
              <w:spacing w:before="78"/>
              <w:ind w:left="296"/>
              <w:rPr>
                <w:rFonts w:ascii="仿宋" w:hAnsi="仿宋" w:eastAsia="仿宋" w:cs="仿宋"/>
              </w:rPr>
            </w:pPr>
            <w:r>
              <w:rPr>
                <w:rFonts w:hint="eastAsia" w:ascii="仿宋" w:hAnsi="仿宋" w:eastAsia="仿宋" w:cs="仿宋"/>
                <w:lang w:bidi="ar"/>
              </w:rPr>
              <w:t>5</w:t>
            </w:r>
          </w:p>
        </w:tc>
        <w:tc>
          <w:tcPr>
            <w:tcW w:w="491" w:type="dxa"/>
            <w:tcBorders>
              <w:top w:val="single" w:color="000000" w:sz="2" w:space="0"/>
              <w:left w:val="single" w:color="000000" w:sz="2" w:space="0"/>
              <w:bottom w:val="single" w:color="000000" w:sz="2" w:space="0"/>
              <w:right w:val="single" w:color="000000" w:sz="2" w:space="0"/>
            </w:tcBorders>
            <w:shd w:val="clear" w:color="auto" w:fill="auto"/>
          </w:tcPr>
          <w:p w14:paraId="147B6F15">
            <w:pPr>
              <w:rPr>
                <w:rFonts w:ascii="Arial" w:hAnsi="Calibri"/>
                <w:szCs w:val="21"/>
              </w:rPr>
            </w:pPr>
          </w:p>
        </w:tc>
        <w:tc>
          <w:tcPr>
            <w:tcW w:w="2018" w:type="dxa"/>
            <w:tcBorders>
              <w:top w:val="single" w:color="000000" w:sz="2" w:space="0"/>
              <w:left w:val="single" w:color="000000" w:sz="2" w:space="0"/>
              <w:bottom w:val="single" w:color="000000" w:sz="2" w:space="0"/>
              <w:right w:val="single" w:color="000000" w:sz="2" w:space="0"/>
            </w:tcBorders>
            <w:shd w:val="clear" w:color="auto" w:fill="auto"/>
          </w:tcPr>
          <w:p w14:paraId="170A4433">
            <w:pPr>
              <w:rPr>
                <w:rFonts w:ascii="Arial" w:hAnsi="Calibri"/>
                <w:szCs w:val="21"/>
              </w:rPr>
            </w:pPr>
          </w:p>
        </w:tc>
      </w:tr>
      <w:tr w14:paraId="07A0B4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37" w:hRule="atLeast"/>
        </w:trPr>
        <w:tc>
          <w:tcPr>
            <w:tcW w:w="779" w:type="dxa"/>
            <w:vMerge w:val="continue"/>
            <w:tcBorders>
              <w:top w:val="nil"/>
              <w:left w:val="single" w:color="000000" w:sz="2" w:space="0"/>
              <w:bottom w:val="nil"/>
              <w:right w:val="single" w:color="000000" w:sz="2" w:space="0"/>
            </w:tcBorders>
            <w:shd w:val="clear" w:color="auto" w:fill="auto"/>
          </w:tcPr>
          <w:p w14:paraId="460EDC20">
            <w:pPr>
              <w:rPr>
                <w:sz w:val="20"/>
                <w:szCs w:val="20"/>
              </w:rPr>
            </w:pP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4611C878">
            <w:pPr>
              <w:pStyle w:val="18"/>
              <w:spacing w:before="100"/>
              <w:ind w:left="162" w:right="155" w:firstLine="41"/>
              <w:rPr>
                <w:rFonts w:ascii="仿宋" w:hAnsi="仿宋" w:eastAsia="仿宋" w:cs="仿宋"/>
              </w:rPr>
            </w:pPr>
            <w:r>
              <w:rPr>
                <w:rFonts w:hint="eastAsia" w:ascii="仿宋" w:hAnsi="仿宋" w:eastAsia="仿宋" w:cs="仿宋"/>
                <w:spacing w:val="-10"/>
                <w:lang w:bidi="ar"/>
              </w:rPr>
              <w:t>5.2</w:t>
            </w:r>
            <w:r>
              <w:rPr>
                <w:rFonts w:hint="eastAsia" w:ascii="仿宋" w:hAnsi="仿宋" w:eastAsia="仿宋" w:cs="仿宋"/>
                <w:spacing w:val="-43"/>
                <w:lang w:bidi="ar"/>
              </w:rPr>
              <w:t xml:space="preserve"> </w:t>
            </w:r>
            <w:r>
              <w:rPr>
                <w:rFonts w:hint="eastAsia" w:ascii="仿宋" w:hAnsi="仿宋" w:eastAsia="仿宋" w:cs="仿宋"/>
                <w:spacing w:val="-10"/>
                <w:lang w:bidi="ar"/>
              </w:rPr>
              <w:t>制</w:t>
            </w:r>
            <w:r>
              <w:rPr>
                <w:rFonts w:hint="eastAsia" w:ascii="仿宋" w:hAnsi="仿宋" w:eastAsia="仿宋" w:cs="仿宋"/>
                <w:spacing w:val="-3"/>
                <w:lang w:bidi="ar"/>
              </w:rPr>
              <w:t>度与文</w:t>
            </w:r>
          </w:p>
          <w:p w14:paraId="52FA0A6E">
            <w:pPr>
              <w:pStyle w:val="18"/>
              <w:spacing w:before="1"/>
              <w:ind w:left="408" w:right="155" w:hanging="236"/>
              <w:rPr>
                <w:rFonts w:ascii="仿宋" w:hAnsi="仿宋" w:eastAsia="仿宋" w:cs="仿宋"/>
              </w:rPr>
            </w:pPr>
            <w:r>
              <w:rPr>
                <w:rFonts w:hint="eastAsia" w:ascii="仿宋" w:hAnsi="仿宋" w:eastAsia="仿宋" w:cs="仿宋"/>
                <w:spacing w:val="-6"/>
                <w:lang w:bidi="ar"/>
              </w:rPr>
              <w:t>化匹配</w:t>
            </w:r>
            <w:r>
              <w:rPr>
                <w:rFonts w:hint="eastAsia" w:ascii="仿宋" w:hAnsi="仿宋" w:eastAsia="仿宋" w:cs="仿宋"/>
                <w:lang w:bidi="ar"/>
              </w:rPr>
              <w:t>性</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79E01F2F">
            <w:pPr>
              <w:pStyle w:val="18"/>
              <w:spacing w:before="99"/>
              <w:ind w:left="132" w:right="49" w:hanging="2"/>
              <w:rPr>
                <w:rFonts w:ascii="仿宋" w:hAnsi="仿宋" w:eastAsia="仿宋" w:cs="仿宋"/>
              </w:rPr>
            </w:pPr>
            <w:r>
              <w:rPr>
                <w:rFonts w:hint="eastAsia" w:ascii="仿宋" w:hAnsi="仿宋" w:eastAsia="仿宋" w:cs="仿宋"/>
                <w:spacing w:val="-1"/>
                <w:lang w:bidi="ar"/>
              </w:rPr>
              <w:t>安全管理制度、操作规程与业务实际</w:t>
            </w:r>
            <w:r>
              <w:rPr>
                <w:rFonts w:hint="eastAsia" w:ascii="仿宋" w:hAnsi="仿宋" w:eastAsia="仿宋" w:cs="仿宋"/>
                <w:spacing w:val="-2"/>
                <w:lang w:bidi="ar"/>
              </w:rPr>
              <w:t>匹配，积极参与发包方组织的安全文</w:t>
            </w:r>
            <w:r>
              <w:rPr>
                <w:rFonts w:hint="eastAsia" w:ascii="仿宋" w:hAnsi="仿宋" w:eastAsia="仿宋" w:cs="仿宋"/>
                <w:spacing w:val="-7"/>
                <w:lang w:bidi="ar"/>
              </w:rPr>
              <w:t>化活动（如安全培训、应急演练等）。</w:t>
            </w:r>
            <w:r>
              <w:rPr>
                <w:rFonts w:hint="eastAsia" w:ascii="仿宋" w:hAnsi="仿宋" w:eastAsia="仿宋" w:cs="仿宋"/>
                <w:spacing w:val="-4"/>
                <w:lang w:bidi="ar"/>
              </w:rPr>
              <w:t>一项不符合扣</w:t>
            </w:r>
            <w:r>
              <w:rPr>
                <w:rFonts w:hint="eastAsia" w:ascii="仿宋" w:hAnsi="仿宋" w:eastAsia="仿宋" w:cs="仿宋"/>
                <w:spacing w:val="-35"/>
                <w:lang w:bidi="ar"/>
              </w:rPr>
              <w:t xml:space="preserve"> </w:t>
            </w:r>
            <w:r>
              <w:rPr>
                <w:rFonts w:hint="eastAsia" w:ascii="仿宋" w:hAnsi="仿宋" w:eastAsia="仿宋" w:cs="仿宋"/>
                <w:spacing w:val="-4"/>
                <w:lang w:bidi="ar"/>
              </w:rPr>
              <w:t>2</w:t>
            </w:r>
            <w:r>
              <w:rPr>
                <w:rFonts w:hint="eastAsia" w:ascii="仿宋" w:hAnsi="仿宋" w:eastAsia="仿宋" w:cs="仿宋"/>
                <w:spacing w:val="-48"/>
                <w:lang w:bidi="ar"/>
              </w:rPr>
              <w:t xml:space="preserve"> </w:t>
            </w:r>
            <w:r>
              <w:rPr>
                <w:rFonts w:hint="eastAsia" w:ascii="仿宋" w:hAnsi="仿宋" w:eastAsia="仿宋" w:cs="仿宋"/>
                <w:spacing w:val="-4"/>
                <w:lang w:bidi="ar"/>
              </w:rPr>
              <w:t>分，扣完为止。</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48AB98BF">
            <w:pPr>
              <w:spacing w:line="242" w:lineRule="auto"/>
              <w:rPr>
                <w:rFonts w:ascii="Arial" w:hAnsi="Calibri"/>
                <w:szCs w:val="21"/>
              </w:rPr>
            </w:pPr>
          </w:p>
          <w:p w14:paraId="289D1469">
            <w:pPr>
              <w:spacing w:line="242" w:lineRule="auto"/>
              <w:rPr>
                <w:rFonts w:ascii="Arial" w:hAnsi="Calibri"/>
                <w:szCs w:val="21"/>
              </w:rPr>
            </w:pPr>
          </w:p>
          <w:p w14:paraId="6AC1A87E">
            <w:pPr>
              <w:pStyle w:val="18"/>
              <w:spacing w:before="78"/>
              <w:ind w:left="296"/>
              <w:rPr>
                <w:rFonts w:ascii="仿宋" w:hAnsi="仿宋" w:eastAsia="仿宋" w:cs="仿宋"/>
              </w:rPr>
            </w:pPr>
            <w:r>
              <w:rPr>
                <w:rFonts w:hint="eastAsia" w:ascii="仿宋" w:hAnsi="仿宋" w:eastAsia="仿宋" w:cs="仿宋"/>
                <w:lang w:bidi="ar"/>
              </w:rPr>
              <w:t>5</w:t>
            </w:r>
          </w:p>
        </w:tc>
        <w:tc>
          <w:tcPr>
            <w:tcW w:w="491" w:type="dxa"/>
            <w:tcBorders>
              <w:top w:val="single" w:color="000000" w:sz="2" w:space="0"/>
              <w:left w:val="single" w:color="000000" w:sz="2" w:space="0"/>
              <w:bottom w:val="single" w:color="000000" w:sz="2" w:space="0"/>
              <w:right w:val="single" w:color="000000" w:sz="2" w:space="0"/>
            </w:tcBorders>
            <w:shd w:val="clear" w:color="auto" w:fill="auto"/>
          </w:tcPr>
          <w:p w14:paraId="469E17BC">
            <w:pPr>
              <w:rPr>
                <w:rFonts w:ascii="Arial" w:hAnsi="Calibri"/>
                <w:szCs w:val="21"/>
              </w:rPr>
            </w:pPr>
          </w:p>
        </w:tc>
        <w:tc>
          <w:tcPr>
            <w:tcW w:w="2018" w:type="dxa"/>
            <w:tcBorders>
              <w:top w:val="single" w:color="000000" w:sz="2" w:space="0"/>
              <w:left w:val="single" w:color="000000" w:sz="2" w:space="0"/>
              <w:bottom w:val="single" w:color="000000" w:sz="2" w:space="0"/>
              <w:right w:val="single" w:color="000000" w:sz="2" w:space="0"/>
            </w:tcBorders>
            <w:shd w:val="clear" w:color="auto" w:fill="auto"/>
          </w:tcPr>
          <w:p w14:paraId="2499CADD">
            <w:pPr>
              <w:rPr>
                <w:rFonts w:ascii="Arial" w:hAnsi="Calibri"/>
                <w:szCs w:val="21"/>
              </w:rPr>
            </w:pPr>
          </w:p>
        </w:tc>
      </w:tr>
      <w:tr w14:paraId="12BEB9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6" w:hRule="atLeast"/>
        </w:trPr>
        <w:tc>
          <w:tcPr>
            <w:tcW w:w="779" w:type="dxa"/>
            <w:vMerge w:val="continue"/>
            <w:tcBorders>
              <w:top w:val="nil"/>
              <w:left w:val="single" w:color="000000" w:sz="2" w:space="0"/>
              <w:bottom w:val="nil"/>
              <w:right w:val="single" w:color="000000" w:sz="2" w:space="0"/>
            </w:tcBorders>
            <w:shd w:val="clear" w:color="auto" w:fill="auto"/>
          </w:tcPr>
          <w:p w14:paraId="13D38017">
            <w:pPr>
              <w:rPr>
                <w:sz w:val="20"/>
                <w:szCs w:val="20"/>
              </w:rPr>
            </w:pP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6FA8E220">
            <w:pPr>
              <w:pStyle w:val="18"/>
              <w:spacing w:before="100"/>
              <w:ind w:left="182" w:right="155" w:firstLine="22"/>
              <w:rPr>
                <w:rFonts w:ascii="仿宋" w:hAnsi="仿宋" w:eastAsia="仿宋" w:cs="仿宋"/>
              </w:rPr>
            </w:pPr>
            <w:r>
              <w:rPr>
                <w:rFonts w:hint="eastAsia" w:ascii="仿宋" w:hAnsi="仿宋" w:eastAsia="仿宋" w:cs="仿宋"/>
                <w:spacing w:val="-8"/>
                <w:lang w:bidi="ar"/>
              </w:rPr>
              <w:t>5.3</w:t>
            </w:r>
            <w:r>
              <w:rPr>
                <w:rFonts w:hint="eastAsia" w:ascii="仿宋" w:hAnsi="仿宋" w:eastAsia="仿宋" w:cs="仿宋"/>
                <w:spacing w:val="-51"/>
                <w:lang w:bidi="ar"/>
              </w:rPr>
              <w:t xml:space="preserve"> </w:t>
            </w:r>
            <w:r>
              <w:rPr>
                <w:rFonts w:hint="eastAsia" w:ascii="仿宋" w:hAnsi="仿宋" w:eastAsia="仿宋" w:cs="仿宋"/>
                <w:spacing w:val="-8"/>
                <w:lang w:bidi="ar"/>
              </w:rPr>
              <w:t>保</w:t>
            </w:r>
            <w:r>
              <w:rPr>
                <w:rFonts w:hint="eastAsia" w:ascii="仿宋" w:hAnsi="仿宋" w:eastAsia="仿宋" w:cs="仿宋"/>
                <w:spacing w:val="-10"/>
                <w:lang w:bidi="ar"/>
              </w:rPr>
              <w:t>险与劳</w:t>
            </w:r>
          </w:p>
          <w:p w14:paraId="320D8597">
            <w:pPr>
              <w:pStyle w:val="18"/>
              <w:ind w:left="176"/>
              <w:rPr>
                <w:rFonts w:ascii="仿宋" w:hAnsi="仿宋" w:eastAsia="仿宋" w:cs="仿宋"/>
              </w:rPr>
            </w:pPr>
            <w:r>
              <w:rPr>
                <w:rFonts w:hint="eastAsia" w:ascii="仿宋" w:hAnsi="仿宋" w:eastAsia="仿宋" w:cs="仿宋"/>
                <w:spacing w:val="-8"/>
                <w:lang w:bidi="ar"/>
              </w:rPr>
              <w:t>动关系</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05705B04">
            <w:pPr>
              <w:pStyle w:val="18"/>
              <w:spacing w:before="99"/>
              <w:ind w:left="120" w:right="202"/>
              <w:rPr>
                <w:rFonts w:ascii="仿宋" w:hAnsi="仿宋" w:eastAsia="仿宋" w:cs="仿宋"/>
              </w:rPr>
            </w:pPr>
            <w:r>
              <w:rPr>
                <w:rFonts w:hint="eastAsia" w:ascii="仿宋" w:hAnsi="仿宋" w:eastAsia="仿宋" w:cs="仿宋"/>
                <w:spacing w:val="-1"/>
                <w:lang w:bidi="ar"/>
              </w:rPr>
              <w:t>依法为从业人员购买工伤保险等法定保险，劳动关系合法清晰，无劳务纠</w:t>
            </w:r>
            <w:r>
              <w:rPr>
                <w:rFonts w:hint="eastAsia" w:ascii="仿宋" w:hAnsi="仿宋" w:eastAsia="仿宋" w:cs="仿宋"/>
                <w:spacing w:val="-3"/>
                <w:lang w:bidi="ar"/>
              </w:rPr>
              <w:t>纷。一项不符合扣</w:t>
            </w:r>
            <w:r>
              <w:rPr>
                <w:rFonts w:hint="eastAsia" w:ascii="仿宋" w:hAnsi="仿宋" w:eastAsia="仿宋" w:cs="仿宋"/>
                <w:spacing w:val="-31"/>
                <w:lang w:bidi="ar"/>
              </w:rPr>
              <w:t xml:space="preserve"> </w:t>
            </w:r>
            <w:r>
              <w:rPr>
                <w:rFonts w:hint="eastAsia" w:ascii="仿宋" w:hAnsi="仿宋" w:eastAsia="仿宋" w:cs="仿宋"/>
                <w:spacing w:val="-3"/>
                <w:lang w:bidi="ar"/>
              </w:rPr>
              <w:t>2</w:t>
            </w:r>
            <w:r>
              <w:rPr>
                <w:rFonts w:hint="eastAsia" w:ascii="仿宋" w:hAnsi="仿宋" w:eastAsia="仿宋" w:cs="仿宋"/>
                <w:spacing w:val="-49"/>
                <w:lang w:bidi="ar"/>
              </w:rPr>
              <w:t xml:space="preserve"> </w:t>
            </w:r>
            <w:r>
              <w:rPr>
                <w:rFonts w:hint="eastAsia" w:ascii="仿宋" w:hAnsi="仿宋" w:eastAsia="仿宋" w:cs="仿宋"/>
                <w:spacing w:val="-3"/>
                <w:lang w:bidi="ar"/>
              </w:rPr>
              <w:t>分，扣完为止。</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32518FB3">
            <w:pPr>
              <w:spacing w:line="331" w:lineRule="auto"/>
              <w:rPr>
                <w:rFonts w:ascii="Arial" w:hAnsi="Calibri"/>
                <w:szCs w:val="21"/>
              </w:rPr>
            </w:pPr>
          </w:p>
          <w:p w14:paraId="398825CF">
            <w:pPr>
              <w:pStyle w:val="18"/>
              <w:spacing w:before="78"/>
              <w:ind w:left="296"/>
              <w:rPr>
                <w:rFonts w:ascii="仿宋" w:hAnsi="仿宋" w:eastAsia="仿宋" w:cs="仿宋"/>
              </w:rPr>
            </w:pPr>
            <w:r>
              <w:rPr>
                <w:rFonts w:hint="eastAsia" w:ascii="仿宋" w:hAnsi="仿宋" w:eastAsia="仿宋" w:cs="仿宋"/>
                <w:lang w:bidi="ar"/>
              </w:rPr>
              <w:t>5</w:t>
            </w:r>
          </w:p>
        </w:tc>
        <w:tc>
          <w:tcPr>
            <w:tcW w:w="491" w:type="dxa"/>
            <w:tcBorders>
              <w:top w:val="single" w:color="000000" w:sz="2" w:space="0"/>
              <w:left w:val="single" w:color="000000" w:sz="2" w:space="0"/>
              <w:bottom w:val="single" w:color="000000" w:sz="2" w:space="0"/>
              <w:right w:val="single" w:color="000000" w:sz="2" w:space="0"/>
            </w:tcBorders>
            <w:shd w:val="clear" w:color="auto" w:fill="auto"/>
          </w:tcPr>
          <w:p w14:paraId="0CA751AC">
            <w:pPr>
              <w:rPr>
                <w:rFonts w:ascii="Arial" w:hAnsi="Calibri"/>
                <w:szCs w:val="21"/>
              </w:rPr>
            </w:pPr>
          </w:p>
        </w:tc>
        <w:tc>
          <w:tcPr>
            <w:tcW w:w="2018" w:type="dxa"/>
            <w:tcBorders>
              <w:top w:val="single" w:color="000000" w:sz="2" w:space="0"/>
              <w:left w:val="single" w:color="000000" w:sz="2" w:space="0"/>
              <w:bottom w:val="single" w:color="000000" w:sz="2" w:space="0"/>
              <w:right w:val="single" w:color="000000" w:sz="2" w:space="0"/>
            </w:tcBorders>
            <w:shd w:val="clear" w:color="auto" w:fill="auto"/>
          </w:tcPr>
          <w:p w14:paraId="58DAF968">
            <w:pPr>
              <w:rPr>
                <w:rFonts w:ascii="Arial" w:hAnsi="Calibri"/>
                <w:szCs w:val="21"/>
              </w:rPr>
            </w:pPr>
          </w:p>
        </w:tc>
      </w:tr>
      <w:tr w14:paraId="57DC37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779" w:type="dxa"/>
            <w:tcBorders>
              <w:top w:val="single" w:color="000000" w:sz="2" w:space="0"/>
              <w:left w:val="single" w:color="000000" w:sz="2" w:space="0"/>
              <w:bottom w:val="single" w:color="000000" w:sz="2" w:space="0"/>
              <w:right w:val="single" w:color="000000" w:sz="2" w:space="0"/>
            </w:tcBorders>
            <w:shd w:val="clear" w:color="auto" w:fill="auto"/>
          </w:tcPr>
          <w:p w14:paraId="35CBDB3F">
            <w:pPr>
              <w:pStyle w:val="18"/>
              <w:spacing w:before="101"/>
              <w:ind w:left="166"/>
              <w:rPr>
                <w:rFonts w:ascii="仿宋" w:hAnsi="仿宋" w:eastAsia="仿宋" w:cs="仿宋"/>
              </w:rPr>
            </w:pPr>
            <w:r>
              <w:rPr>
                <w:rFonts w:hint="eastAsia" w:ascii="仿宋" w:hAnsi="仿宋" w:eastAsia="仿宋" w:cs="仿宋"/>
                <w:spacing w:val="-7"/>
                <w:lang w:bidi="ar"/>
              </w:rPr>
              <w:t>6.加</w:t>
            </w: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1652FBB8">
            <w:pPr>
              <w:pStyle w:val="18"/>
              <w:spacing w:before="101"/>
              <w:ind w:left="203"/>
              <w:rPr>
                <w:rFonts w:ascii="仿宋" w:hAnsi="仿宋" w:eastAsia="仿宋" w:cs="仿宋"/>
              </w:rPr>
            </w:pPr>
            <w:r>
              <w:rPr>
                <w:rFonts w:hint="eastAsia" w:ascii="仿宋" w:hAnsi="仿宋" w:eastAsia="仿宋" w:cs="仿宋"/>
                <w:spacing w:val="-6"/>
                <w:lang w:bidi="ar"/>
              </w:rPr>
              <w:t>6.1</w:t>
            </w:r>
            <w:r>
              <w:rPr>
                <w:rFonts w:hint="eastAsia" w:ascii="仿宋" w:hAnsi="仿宋" w:eastAsia="仿宋" w:cs="仿宋"/>
                <w:spacing w:val="-41"/>
                <w:lang w:bidi="ar"/>
              </w:rPr>
              <w:t xml:space="preserve"> </w:t>
            </w:r>
            <w:r>
              <w:rPr>
                <w:rFonts w:hint="eastAsia" w:ascii="仿宋" w:hAnsi="仿宋" w:eastAsia="仿宋" w:cs="仿宋"/>
                <w:spacing w:val="-6"/>
                <w:lang w:bidi="ar"/>
              </w:rPr>
              <w:t>事</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71623512">
            <w:pPr>
              <w:pStyle w:val="18"/>
              <w:spacing w:before="101"/>
              <w:ind w:left="124"/>
              <w:rPr>
                <w:rFonts w:ascii="仿宋" w:hAnsi="仿宋" w:eastAsia="仿宋" w:cs="仿宋"/>
              </w:rPr>
            </w:pPr>
            <w:r>
              <w:rPr>
                <w:rFonts w:hint="eastAsia" w:ascii="仿宋" w:hAnsi="仿宋" w:eastAsia="仿宋" w:cs="仿宋"/>
                <w:spacing w:val="-1"/>
                <w:lang w:bidi="ar"/>
              </w:rPr>
              <w:t>发生事故后积极配合调查、有效落实</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63842B43">
            <w:pPr>
              <w:pStyle w:val="18"/>
              <w:spacing w:before="100"/>
              <w:ind w:left="296"/>
              <w:rPr>
                <w:rFonts w:ascii="仿宋" w:hAnsi="仿宋" w:eastAsia="仿宋" w:cs="仿宋"/>
              </w:rPr>
            </w:pPr>
            <w:r>
              <w:rPr>
                <w:rFonts w:hint="eastAsia" w:ascii="仿宋" w:hAnsi="仿宋" w:eastAsia="仿宋" w:cs="仿宋"/>
                <w:lang w:bidi="ar"/>
              </w:rPr>
              <w:t>5</w:t>
            </w:r>
          </w:p>
        </w:tc>
        <w:tc>
          <w:tcPr>
            <w:tcW w:w="491" w:type="dxa"/>
            <w:tcBorders>
              <w:top w:val="single" w:color="000000" w:sz="2" w:space="0"/>
              <w:left w:val="single" w:color="000000" w:sz="2" w:space="0"/>
              <w:bottom w:val="single" w:color="000000" w:sz="2" w:space="0"/>
              <w:right w:val="single" w:color="000000" w:sz="2" w:space="0"/>
            </w:tcBorders>
            <w:shd w:val="clear" w:color="auto" w:fill="auto"/>
          </w:tcPr>
          <w:p w14:paraId="0EAA0F2F">
            <w:pPr>
              <w:rPr>
                <w:rFonts w:ascii="Arial" w:hAnsi="Calibri"/>
                <w:szCs w:val="21"/>
              </w:rPr>
            </w:pPr>
          </w:p>
        </w:tc>
        <w:tc>
          <w:tcPr>
            <w:tcW w:w="2018" w:type="dxa"/>
            <w:tcBorders>
              <w:top w:val="single" w:color="000000" w:sz="2" w:space="0"/>
              <w:left w:val="single" w:color="000000" w:sz="2" w:space="0"/>
              <w:bottom w:val="single" w:color="000000" w:sz="2" w:space="0"/>
              <w:right w:val="single" w:color="000000" w:sz="2" w:space="0"/>
            </w:tcBorders>
            <w:shd w:val="clear" w:color="auto" w:fill="auto"/>
          </w:tcPr>
          <w:p w14:paraId="12FA372B">
            <w:pPr>
              <w:rPr>
                <w:rFonts w:ascii="Arial" w:hAnsi="Calibri"/>
                <w:szCs w:val="21"/>
              </w:rPr>
            </w:pPr>
          </w:p>
        </w:tc>
      </w:tr>
    </w:tbl>
    <w:p w14:paraId="26A82A93">
      <w:pPr>
        <w:rPr>
          <w:rFonts w:ascii="Arial" w:hAnsi="Calibri"/>
          <w:szCs w:val="21"/>
        </w:rPr>
      </w:pPr>
      <w:r>
        <w:rPr>
          <w:rFonts w:ascii="Arial" w:hAnsi="Calibri"/>
          <w:kern w:val="0"/>
          <w:szCs w:val="21"/>
          <w:lang w:bidi="ar"/>
        </w:rPr>
        <w:t xml:space="preserve"> </w:t>
      </w:r>
    </w:p>
    <w:p w14:paraId="2D929066">
      <w:pPr>
        <w:rPr>
          <w:rFonts w:ascii="Arial" w:hAnsi="Arial" w:cs="Arial"/>
          <w:szCs w:val="21"/>
        </w:rPr>
        <w:sectPr>
          <w:pgSz w:w="11906" w:h="16839"/>
          <w:pgMar w:top="400" w:right="1065" w:bottom="1223" w:left="1677" w:header="1" w:footer="1061" w:gutter="0"/>
          <w:cols w:space="720" w:num="1"/>
          <w:formProt w:val="0"/>
          <w:docGrid w:type="linesAndChars" w:linePitch="312" w:charSpace="0"/>
        </w:sectPr>
      </w:pPr>
    </w:p>
    <w:p w14:paraId="7BF8BB1B">
      <w:pPr>
        <w:spacing w:before="19"/>
        <w:rPr>
          <w:rFonts w:ascii="Calibri" w:hAnsi="Calibri"/>
          <w:szCs w:val="21"/>
        </w:rPr>
      </w:pPr>
      <w:r>
        <w:rPr>
          <w:rFonts w:ascii="Calibri" w:hAnsi="Calibri"/>
          <w:kern w:val="0"/>
          <w:szCs w:val="21"/>
          <w:lang w:bidi="ar"/>
        </w:rPr>
        <w:t xml:space="preserve"> </w:t>
      </w:r>
    </w:p>
    <w:p w14:paraId="1A7F9230">
      <w:pPr>
        <w:spacing w:before="19"/>
        <w:rPr>
          <w:rFonts w:ascii="Calibri" w:hAnsi="Calibri"/>
          <w:szCs w:val="21"/>
        </w:rPr>
      </w:pPr>
      <w:r>
        <w:rPr>
          <w:rFonts w:ascii="Calibri" w:hAnsi="Calibri"/>
          <w:kern w:val="0"/>
          <w:szCs w:val="21"/>
          <w:lang w:bidi="ar"/>
        </w:rPr>
        <w:t xml:space="preserve"> </w:t>
      </w:r>
    </w:p>
    <w:p w14:paraId="7518E4B4">
      <w:pPr>
        <w:spacing w:before="18"/>
        <w:rPr>
          <w:rFonts w:ascii="Calibri" w:hAnsi="Calibri"/>
          <w:szCs w:val="21"/>
        </w:rPr>
      </w:pPr>
      <w:r>
        <w:rPr>
          <w:rFonts w:ascii="Calibri" w:hAnsi="Calibri"/>
          <w:kern w:val="0"/>
          <w:szCs w:val="21"/>
          <w:lang w:bidi="ar"/>
        </w:rPr>
        <w:t xml:space="preserve"> </w:t>
      </w:r>
    </w:p>
    <w:p w14:paraId="0FE6FCEA">
      <w:pPr>
        <w:spacing w:before="18"/>
        <w:rPr>
          <w:rFonts w:ascii="Calibri" w:hAnsi="Calibri"/>
          <w:szCs w:val="21"/>
        </w:rPr>
      </w:pPr>
      <w:r>
        <w:rPr>
          <w:rFonts w:ascii="Calibri" w:hAnsi="Calibri"/>
          <w:kern w:val="0"/>
          <w:szCs w:val="21"/>
          <w:lang w:bidi="ar"/>
        </w:rPr>
        <w:t xml:space="preserve"> </w:t>
      </w:r>
    </w:p>
    <w:tbl>
      <w:tblPr>
        <w:tblStyle w:val="67"/>
        <w:tblW w:w="9157" w:type="dxa"/>
        <w:tblInd w:w="11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79"/>
        <w:gridCol w:w="1035"/>
        <w:gridCol w:w="4163"/>
        <w:gridCol w:w="671"/>
        <w:gridCol w:w="491"/>
        <w:gridCol w:w="2018"/>
      </w:tblGrid>
      <w:tr w14:paraId="34C3D7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6" w:hRule="atLeast"/>
        </w:trPr>
        <w:tc>
          <w:tcPr>
            <w:tcW w:w="779" w:type="dxa"/>
            <w:vMerge w:val="restart"/>
            <w:tcBorders>
              <w:top w:val="single" w:color="000000" w:sz="2" w:space="0"/>
              <w:left w:val="single" w:color="000000" w:sz="2" w:space="0"/>
              <w:bottom w:val="nil"/>
              <w:right w:val="single" w:color="000000" w:sz="2" w:space="0"/>
            </w:tcBorders>
            <w:shd w:val="clear" w:color="auto" w:fill="auto"/>
          </w:tcPr>
          <w:p w14:paraId="3415A691">
            <w:pPr>
              <w:pStyle w:val="18"/>
              <w:spacing w:before="99"/>
              <w:ind w:left="217" w:right="147" w:hanging="60"/>
              <w:rPr>
                <w:rFonts w:ascii="仿宋" w:hAnsi="仿宋" w:eastAsia="仿宋" w:cs="仿宋"/>
              </w:rPr>
            </w:pPr>
            <w:r>
              <w:rPr>
                <w:rFonts w:hint="eastAsia" w:ascii="仿宋" w:hAnsi="仿宋" w:eastAsia="仿宋" w:cs="仿宋"/>
                <w:spacing w:val="-6"/>
                <w:lang w:bidi="ar"/>
              </w:rPr>
              <w:t>分项</w:t>
            </w:r>
            <w:r>
              <w:rPr>
                <w:rFonts w:hint="eastAsia" w:ascii="仿宋" w:hAnsi="仿宋" w:eastAsia="仿宋" w:cs="仿宋"/>
                <w:spacing w:val="-4"/>
                <w:lang w:bidi="ar"/>
              </w:rPr>
              <w:t>(10</w:t>
            </w:r>
            <w:r>
              <w:rPr>
                <w:rFonts w:hint="eastAsia" w:ascii="仿宋" w:hAnsi="仿宋" w:eastAsia="仿宋" w:cs="仿宋"/>
                <w:spacing w:val="-6"/>
                <w:lang w:bidi="ar"/>
              </w:rPr>
              <w:t>分)</w:t>
            </w: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6050D58B">
            <w:pPr>
              <w:pStyle w:val="18"/>
              <w:spacing w:before="97"/>
              <w:ind w:left="293" w:right="155" w:hanging="122"/>
              <w:rPr>
                <w:rFonts w:ascii="仿宋" w:hAnsi="仿宋" w:eastAsia="仿宋" w:cs="仿宋"/>
              </w:rPr>
            </w:pPr>
            <w:r>
              <w:rPr>
                <w:rFonts w:hint="eastAsia" w:ascii="仿宋" w:hAnsi="仿宋" w:eastAsia="仿宋" w:cs="仿宋"/>
                <w:spacing w:val="-6"/>
                <w:lang w:bidi="ar"/>
              </w:rPr>
              <w:t>故处理</w:t>
            </w:r>
            <w:r>
              <w:rPr>
                <w:rFonts w:hint="eastAsia" w:ascii="仿宋" w:hAnsi="仿宋" w:eastAsia="仿宋" w:cs="仿宋"/>
                <w:spacing w:val="-10"/>
                <w:lang w:bidi="ar"/>
              </w:rPr>
              <w:t>配合</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3F8223EA">
            <w:pPr>
              <w:pStyle w:val="18"/>
              <w:spacing w:before="97"/>
              <w:ind w:left="127" w:right="202"/>
              <w:rPr>
                <w:rFonts w:ascii="仿宋" w:hAnsi="仿宋" w:eastAsia="仿宋" w:cs="仿宋"/>
              </w:rPr>
            </w:pPr>
            <w:r>
              <w:rPr>
                <w:rFonts w:hint="eastAsia" w:ascii="仿宋" w:hAnsi="仿宋" w:eastAsia="仿宋" w:cs="仿宋"/>
                <w:spacing w:val="-1"/>
                <w:lang w:bidi="ar"/>
              </w:rPr>
              <w:t>整改措施并形成案例共享。根据配合</w:t>
            </w:r>
            <w:r>
              <w:rPr>
                <w:rFonts w:hint="eastAsia" w:ascii="仿宋" w:hAnsi="仿宋" w:eastAsia="仿宋" w:cs="仿宋"/>
                <w:spacing w:val="1"/>
                <w:lang w:bidi="ar"/>
              </w:rPr>
              <w:t>程度与整改效果加</w:t>
            </w:r>
            <w:r>
              <w:rPr>
                <w:rFonts w:hint="eastAsia" w:ascii="仿宋" w:hAnsi="仿宋" w:eastAsia="仿宋" w:cs="仿宋"/>
                <w:spacing w:val="-27"/>
                <w:lang w:bidi="ar"/>
              </w:rPr>
              <w:t xml:space="preserve"> </w:t>
            </w:r>
            <w:r>
              <w:rPr>
                <w:rFonts w:hint="eastAsia" w:ascii="仿宋" w:hAnsi="仿宋" w:eastAsia="仿宋" w:cs="仿宋"/>
                <w:spacing w:val="1"/>
                <w:lang w:bidi="ar"/>
              </w:rPr>
              <w:t>3-5分。</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19C88436">
            <w:pPr>
              <w:rPr>
                <w:rFonts w:ascii="Arial" w:hAnsi="Calibri"/>
                <w:szCs w:val="21"/>
              </w:rPr>
            </w:pPr>
          </w:p>
        </w:tc>
        <w:tc>
          <w:tcPr>
            <w:tcW w:w="491" w:type="dxa"/>
            <w:tcBorders>
              <w:top w:val="single" w:color="000000" w:sz="2" w:space="0"/>
              <w:left w:val="single" w:color="000000" w:sz="2" w:space="0"/>
              <w:bottom w:val="single" w:color="000000" w:sz="2" w:space="0"/>
              <w:right w:val="single" w:color="000000" w:sz="2" w:space="0"/>
            </w:tcBorders>
            <w:shd w:val="clear" w:color="auto" w:fill="auto"/>
          </w:tcPr>
          <w:p w14:paraId="727ABCA9">
            <w:pPr>
              <w:rPr>
                <w:rFonts w:ascii="Arial" w:hAnsi="Calibri"/>
                <w:szCs w:val="21"/>
              </w:rPr>
            </w:pPr>
          </w:p>
        </w:tc>
        <w:tc>
          <w:tcPr>
            <w:tcW w:w="2018" w:type="dxa"/>
            <w:tcBorders>
              <w:top w:val="single" w:color="000000" w:sz="2" w:space="0"/>
              <w:left w:val="single" w:color="000000" w:sz="2" w:space="0"/>
              <w:bottom w:val="single" w:color="000000" w:sz="2" w:space="0"/>
              <w:right w:val="single" w:color="000000" w:sz="2" w:space="0"/>
            </w:tcBorders>
            <w:shd w:val="clear" w:color="auto" w:fill="auto"/>
          </w:tcPr>
          <w:p w14:paraId="4EF1D3E3">
            <w:pPr>
              <w:rPr>
                <w:rFonts w:ascii="Arial" w:hAnsi="Calibri"/>
                <w:szCs w:val="21"/>
              </w:rPr>
            </w:pPr>
          </w:p>
        </w:tc>
      </w:tr>
      <w:tr w14:paraId="678891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5" w:hRule="atLeast"/>
        </w:trPr>
        <w:tc>
          <w:tcPr>
            <w:tcW w:w="779" w:type="dxa"/>
            <w:vMerge w:val="continue"/>
            <w:tcBorders>
              <w:top w:val="single" w:color="000000" w:sz="2" w:space="0"/>
              <w:left w:val="single" w:color="000000" w:sz="2" w:space="0"/>
              <w:bottom w:val="nil"/>
              <w:right w:val="single" w:color="000000" w:sz="2" w:space="0"/>
            </w:tcBorders>
            <w:shd w:val="clear" w:color="auto" w:fill="auto"/>
          </w:tcPr>
          <w:p w14:paraId="777171F9">
            <w:pPr>
              <w:rPr>
                <w:sz w:val="20"/>
                <w:szCs w:val="20"/>
              </w:rPr>
            </w:pP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79DAF90B">
            <w:pPr>
              <w:pStyle w:val="18"/>
              <w:spacing w:before="251"/>
              <w:ind w:left="162" w:right="155" w:firstLine="41"/>
              <w:rPr>
                <w:rFonts w:ascii="仿宋" w:hAnsi="仿宋" w:eastAsia="仿宋" w:cs="仿宋"/>
              </w:rPr>
            </w:pPr>
            <w:r>
              <w:rPr>
                <w:rFonts w:hint="eastAsia" w:ascii="仿宋" w:hAnsi="仿宋" w:eastAsia="仿宋" w:cs="仿宋"/>
                <w:spacing w:val="-9"/>
                <w:lang w:bidi="ar"/>
              </w:rPr>
              <w:t>6.2</w:t>
            </w:r>
            <w:r>
              <w:rPr>
                <w:rFonts w:hint="eastAsia" w:ascii="仿宋" w:hAnsi="仿宋" w:eastAsia="仿宋" w:cs="仿宋"/>
                <w:spacing w:val="-45"/>
                <w:lang w:bidi="ar"/>
              </w:rPr>
              <w:t xml:space="preserve"> </w:t>
            </w:r>
            <w:r>
              <w:rPr>
                <w:rFonts w:hint="eastAsia" w:ascii="仿宋" w:hAnsi="仿宋" w:eastAsia="仿宋" w:cs="仿宋"/>
                <w:spacing w:val="-9"/>
                <w:lang w:bidi="ar"/>
              </w:rPr>
              <w:t>安</w:t>
            </w:r>
            <w:r>
              <w:rPr>
                <w:rFonts w:hint="eastAsia" w:ascii="仿宋" w:hAnsi="仿宋" w:eastAsia="仿宋" w:cs="仿宋"/>
                <w:spacing w:val="-3"/>
                <w:lang w:bidi="ar"/>
              </w:rPr>
              <w:t>全创新</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72295B27">
            <w:pPr>
              <w:pStyle w:val="18"/>
              <w:spacing w:before="90"/>
              <w:ind w:left="123" w:right="49" w:hanging="1"/>
              <w:rPr>
                <w:rFonts w:ascii="仿宋" w:hAnsi="仿宋" w:eastAsia="仿宋" w:cs="仿宋"/>
              </w:rPr>
            </w:pPr>
            <w:r>
              <w:rPr>
                <w:rFonts w:hint="eastAsia" w:ascii="仿宋" w:hAnsi="仿宋" w:eastAsia="仿宋" w:cs="仿宋"/>
                <w:spacing w:val="-1"/>
                <w:lang w:bidi="ar"/>
              </w:rPr>
              <w:t>提出安全管理创新建议（如作业方法优化、隐患防控措施改进等）被发包</w:t>
            </w:r>
            <w:r>
              <w:rPr>
                <w:rFonts w:hint="eastAsia" w:ascii="仿宋" w:hAnsi="仿宋" w:eastAsia="仿宋" w:cs="仿宋"/>
                <w:spacing w:val="-10"/>
                <w:lang w:bidi="ar"/>
              </w:rPr>
              <w:t>方采纳。一项加</w:t>
            </w:r>
            <w:r>
              <w:rPr>
                <w:rFonts w:hint="eastAsia" w:ascii="仿宋" w:hAnsi="仿宋" w:eastAsia="仿宋" w:cs="仿宋"/>
                <w:spacing w:val="-29"/>
                <w:lang w:bidi="ar"/>
              </w:rPr>
              <w:t xml:space="preserve"> </w:t>
            </w:r>
            <w:r>
              <w:rPr>
                <w:rFonts w:hint="eastAsia" w:ascii="仿宋" w:hAnsi="仿宋" w:eastAsia="仿宋" w:cs="仿宋"/>
                <w:spacing w:val="-10"/>
                <w:lang w:bidi="ar"/>
              </w:rPr>
              <w:t>2-3</w:t>
            </w:r>
            <w:r>
              <w:rPr>
                <w:rFonts w:hint="eastAsia" w:ascii="仿宋" w:hAnsi="仿宋" w:eastAsia="仿宋" w:cs="仿宋"/>
                <w:spacing w:val="-49"/>
                <w:lang w:bidi="ar"/>
              </w:rPr>
              <w:t xml:space="preserve"> </w:t>
            </w:r>
            <w:r>
              <w:rPr>
                <w:rFonts w:hint="eastAsia" w:ascii="仿宋" w:hAnsi="仿宋" w:eastAsia="仿宋" w:cs="仿宋"/>
                <w:spacing w:val="-10"/>
                <w:lang w:bidi="ar"/>
              </w:rPr>
              <w:t>分，最多加</w:t>
            </w:r>
            <w:r>
              <w:rPr>
                <w:rFonts w:hint="eastAsia" w:ascii="仿宋" w:hAnsi="仿宋" w:eastAsia="仿宋" w:cs="仿宋"/>
                <w:spacing w:val="-31"/>
                <w:lang w:bidi="ar"/>
              </w:rPr>
              <w:t xml:space="preserve"> </w:t>
            </w:r>
            <w:r>
              <w:rPr>
                <w:rFonts w:hint="eastAsia" w:ascii="仿宋" w:hAnsi="仿宋" w:eastAsia="仿宋" w:cs="仿宋"/>
                <w:spacing w:val="-10"/>
                <w:lang w:bidi="ar"/>
              </w:rPr>
              <w:t>3</w:t>
            </w:r>
            <w:r>
              <w:rPr>
                <w:rFonts w:hint="eastAsia" w:ascii="仿宋" w:hAnsi="仿宋" w:eastAsia="仿宋" w:cs="仿宋"/>
                <w:spacing w:val="-49"/>
                <w:lang w:bidi="ar"/>
              </w:rPr>
              <w:t xml:space="preserve"> </w:t>
            </w:r>
            <w:r>
              <w:rPr>
                <w:rFonts w:hint="eastAsia" w:ascii="仿宋" w:hAnsi="仿宋" w:eastAsia="仿宋" w:cs="仿宋"/>
                <w:spacing w:val="-10"/>
                <w:lang w:bidi="ar"/>
              </w:rPr>
              <w:t>分。</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3DCB2A3F">
            <w:pPr>
              <w:spacing w:line="324" w:lineRule="auto"/>
              <w:rPr>
                <w:rFonts w:ascii="Arial" w:hAnsi="Calibri"/>
                <w:szCs w:val="21"/>
              </w:rPr>
            </w:pPr>
          </w:p>
          <w:p w14:paraId="269A0ECB">
            <w:pPr>
              <w:pStyle w:val="18"/>
              <w:spacing w:before="78"/>
              <w:ind w:left="302"/>
              <w:rPr>
                <w:rFonts w:ascii="仿宋" w:hAnsi="仿宋" w:eastAsia="仿宋" w:cs="仿宋"/>
              </w:rPr>
            </w:pPr>
            <w:r>
              <w:rPr>
                <w:rFonts w:hint="eastAsia" w:ascii="仿宋" w:hAnsi="仿宋" w:eastAsia="仿宋" w:cs="仿宋"/>
                <w:lang w:bidi="ar"/>
              </w:rPr>
              <w:t>3</w:t>
            </w:r>
          </w:p>
        </w:tc>
        <w:tc>
          <w:tcPr>
            <w:tcW w:w="491" w:type="dxa"/>
            <w:tcBorders>
              <w:top w:val="single" w:color="000000" w:sz="2" w:space="0"/>
              <w:left w:val="single" w:color="000000" w:sz="2" w:space="0"/>
              <w:bottom w:val="single" w:color="000000" w:sz="2" w:space="0"/>
              <w:right w:val="single" w:color="000000" w:sz="2" w:space="0"/>
            </w:tcBorders>
            <w:shd w:val="clear" w:color="auto" w:fill="auto"/>
          </w:tcPr>
          <w:p w14:paraId="2993E145">
            <w:pPr>
              <w:rPr>
                <w:rFonts w:ascii="Arial" w:hAnsi="Calibri"/>
                <w:szCs w:val="21"/>
              </w:rPr>
            </w:pPr>
          </w:p>
        </w:tc>
        <w:tc>
          <w:tcPr>
            <w:tcW w:w="2018" w:type="dxa"/>
            <w:tcBorders>
              <w:top w:val="single" w:color="000000" w:sz="2" w:space="0"/>
              <w:left w:val="single" w:color="000000" w:sz="2" w:space="0"/>
              <w:bottom w:val="single" w:color="000000" w:sz="2" w:space="0"/>
              <w:right w:val="single" w:color="000000" w:sz="2" w:space="0"/>
            </w:tcBorders>
            <w:shd w:val="clear" w:color="auto" w:fill="auto"/>
          </w:tcPr>
          <w:p w14:paraId="0DCB194C">
            <w:pPr>
              <w:rPr>
                <w:rFonts w:ascii="Arial" w:hAnsi="Calibri"/>
                <w:szCs w:val="21"/>
              </w:rPr>
            </w:pPr>
          </w:p>
        </w:tc>
      </w:tr>
      <w:tr w14:paraId="3FBD3B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5" w:hRule="atLeast"/>
        </w:trPr>
        <w:tc>
          <w:tcPr>
            <w:tcW w:w="779" w:type="dxa"/>
            <w:vMerge w:val="continue"/>
            <w:tcBorders>
              <w:top w:val="single" w:color="000000" w:sz="2" w:space="0"/>
              <w:left w:val="single" w:color="000000" w:sz="2" w:space="0"/>
              <w:bottom w:val="nil"/>
              <w:right w:val="single" w:color="000000" w:sz="2" w:space="0"/>
            </w:tcBorders>
            <w:shd w:val="clear" w:color="auto" w:fill="auto"/>
          </w:tcPr>
          <w:p w14:paraId="79FD804B">
            <w:pPr>
              <w:rPr>
                <w:sz w:val="20"/>
                <w:szCs w:val="20"/>
              </w:rPr>
            </w:pP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34413F42">
            <w:pPr>
              <w:pStyle w:val="18"/>
              <w:spacing w:before="253"/>
              <w:ind w:left="177" w:right="155" w:firstLine="25"/>
              <w:rPr>
                <w:rFonts w:ascii="仿宋" w:hAnsi="仿宋" w:eastAsia="仿宋" w:cs="仿宋"/>
              </w:rPr>
            </w:pPr>
            <w:r>
              <w:rPr>
                <w:rFonts w:hint="eastAsia" w:ascii="仿宋" w:hAnsi="仿宋" w:eastAsia="仿宋" w:cs="仿宋"/>
                <w:spacing w:val="-13"/>
                <w:lang w:bidi="ar"/>
              </w:rPr>
              <w:t>6.3</w:t>
            </w:r>
            <w:r>
              <w:rPr>
                <w:rFonts w:hint="eastAsia" w:ascii="仿宋" w:hAnsi="仿宋" w:eastAsia="仿宋" w:cs="仿宋"/>
                <w:spacing w:val="-30"/>
                <w:lang w:bidi="ar"/>
              </w:rPr>
              <w:t xml:space="preserve"> </w:t>
            </w:r>
            <w:r>
              <w:rPr>
                <w:rFonts w:hint="eastAsia" w:ascii="仿宋" w:hAnsi="仿宋" w:eastAsia="仿宋" w:cs="仿宋"/>
                <w:spacing w:val="-13"/>
                <w:lang w:bidi="ar"/>
              </w:rPr>
              <w:t>隐</w:t>
            </w:r>
            <w:r>
              <w:rPr>
                <w:rFonts w:hint="eastAsia" w:ascii="仿宋" w:hAnsi="仿宋" w:eastAsia="仿宋" w:cs="仿宋"/>
                <w:spacing w:val="-8"/>
                <w:lang w:bidi="ar"/>
              </w:rPr>
              <w:t>患上报</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7196C1A7">
            <w:pPr>
              <w:pStyle w:val="18"/>
              <w:spacing w:before="98"/>
              <w:ind w:left="122" w:right="116" w:firstLine="22"/>
              <w:rPr>
                <w:rFonts w:ascii="仿宋" w:hAnsi="仿宋" w:eastAsia="仿宋" w:cs="仿宋"/>
              </w:rPr>
            </w:pPr>
            <w:r>
              <w:rPr>
                <w:rFonts w:hint="eastAsia" w:ascii="仿宋" w:hAnsi="仿宋" w:eastAsia="仿宋" w:cs="仿宋"/>
                <w:spacing w:val="-2"/>
                <w:lang w:bidi="ar"/>
              </w:rPr>
              <w:t>“吹哨人”主动上报重大安全隐患并</w:t>
            </w:r>
            <w:r>
              <w:rPr>
                <w:rFonts w:hint="eastAsia" w:ascii="仿宋" w:hAnsi="仿宋" w:eastAsia="仿宋" w:cs="仿宋"/>
                <w:spacing w:val="-9"/>
                <w:lang w:bidi="ar"/>
              </w:rPr>
              <w:t>避免事故发生。一次加</w:t>
            </w:r>
            <w:r>
              <w:rPr>
                <w:rFonts w:hint="eastAsia" w:ascii="仿宋" w:hAnsi="仿宋" w:eastAsia="仿宋" w:cs="仿宋"/>
                <w:spacing w:val="-40"/>
                <w:lang w:bidi="ar"/>
              </w:rPr>
              <w:t xml:space="preserve"> </w:t>
            </w:r>
            <w:r>
              <w:rPr>
                <w:rFonts w:hint="eastAsia" w:ascii="仿宋" w:hAnsi="仿宋" w:eastAsia="仿宋" w:cs="仿宋"/>
                <w:spacing w:val="-9"/>
                <w:lang w:bidi="ar"/>
              </w:rPr>
              <w:t>2</w:t>
            </w:r>
            <w:r>
              <w:rPr>
                <w:rFonts w:hint="eastAsia" w:ascii="仿宋" w:hAnsi="仿宋" w:eastAsia="仿宋" w:cs="仿宋"/>
                <w:spacing w:val="-48"/>
                <w:lang w:bidi="ar"/>
              </w:rPr>
              <w:t xml:space="preserve"> </w:t>
            </w:r>
            <w:r>
              <w:rPr>
                <w:rFonts w:hint="eastAsia" w:ascii="仿宋" w:hAnsi="仿宋" w:eastAsia="仿宋" w:cs="仿宋"/>
                <w:spacing w:val="-9"/>
                <w:lang w:bidi="ar"/>
              </w:rPr>
              <w:t>分，最多加</w:t>
            </w:r>
            <w:r>
              <w:rPr>
                <w:rFonts w:hint="eastAsia" w:ascii="仿宋" w:hAnsi="仿宋" w:eastAsia="仿宋" w:cs="仿宋"/>
                <w:spacing w:val="-42"/>
                <w:lang w:bidi="ar"/>
              </w:rPr>
              <w:t xml:space="preserve"> </w:t>
            </w:r>
            <w:r>
              <w:rPr>
                <w:rFonts w:hint="eastAsia" w:ascii="仿宋" w:hAnsi="仿宋" w:eastAsia="仿宋" w:cs="仿宋"/>
                <w:spacing w:val="-9"/>
                <w:lang w:bidi="ar"/>
              </w:rPr>
              <w:t>2</w:t>
            </w:r>
            <w:r>
              <w:rPr>
                <w:rFonts w:hint="eastAsia" w:ascii="仿宋" w:hAnsi="仿宋" w:eastAsia="仿宋" w:cs="仿宋"/>
                <w:spacing w:val="-4"/>
                <w:lang w:bidi="ar"/>
              </w:rPr>
              <w:t>分。</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52E981AA">
            <w:pPr>
              <w:spacing w:line="328" w:lineRule="auto"/>
              <w:rPr>
                <w:rFonts w:ascii="Arial" w:hAnsi="Calibri"/>
                <w:szCs w:val="21"/>
              </w:rPr>
            </w:pPr>
          </w:p>
          <w:p w14:paraId="5827D7E8">
            <w:pPr>
              <w:pStyle w:val="18"/>
              <w:spacing w:before="78"/>
              <w:ind w:left="293"/>
              <w:rPr>
                <w:rFonts w:ascii="仿宋" w:hAnsi="仿宋" w:eastAsia="仿宋" w:cs="仿宋"/>
              </w:rPr>
            </w:pPr>
            <w:r>
              <w:rPr>
                <w:rFonts w:hint="eastAsia" w:ascii="仿宋" w:hAnsi="仿宋" w:eastAsia="仿宋" w:cs="仿宋"/>
                <w:lang w:bidi="ar"/>
              </w:rPr>
              <w:t>2</w:t>
            </w:r>
          </w:p>
        </w:tc>
        <w:tc>
          <w:tcPr>
            <w:tcW w:w="491" w:type="dxa"/>
            <w:tcBorders>
              <w:top w:val="single" w:color="000000" w:sz="2" w:space="0"/>
              <w:left w:val="single" w:color="000000" w:sz="2" w:space="0"/>
              <w:bottom w:val="single" w:color="000000" w:sz="2" w:space="0"/>
              <w:right w:val="single" w:color="000000" w:sz="2" w:space="0"/>
            </w:tcBorders>
            <w:shd w:val="clear" w:color="auto" w:fill="auto"/>
          </w:tcPr>
          <w:p w14:paraId="58F8C165">
            <w:pPr>
              <w:rPr>
                <w:rFonts w:ascii="Arial" w:hAnsi="Calibri"/>
                <w:szCs w:val="21"/>
              </w:rPr>
            </w:pPr>
          </w:p>
        </w:tc>
        <w:tc>
          <w:tcPr>
            <w:tcW w:w="2018" w:type="dxa"/>
            <w:tcBorders>
              <w:top w:val="single" w:color="000000" w:sz="2" w:space="0"/>
              <w:left w:val="single" w:color="000000" w:sz="2" w:space="0"/>
              <w:bottom w:val="single" w:color="000000" w:sz="2" w:space="0"/>
              <w:right w:val="single" w:color="000000" w:sz="2" w:space="0"/>
            </w:tcBorders>
            <w:shd w:val="clear" w:color="auto" w:fill="auto"/>
          </w:tcPr>
          <w:p w14:paraId="2026D696">
            <w:pPr>
              <w:rPr>
                <w:rFonts w:ascii="Arial" w:hAnsi="Calibri"/>
                <w:szCs w:val="21"/>
              </w:rPr>
            </w:pPr>
          </w:p>
        </w:tc>
      </w:tr>
      <w:tr w14:paraId="6A8050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3" w:hRule="atLeast"/>
        </w:trPr>
        <w:tc>
          <w:tcPr>
            <w:tcW w:w="779" w:type="dxa"/>
            <w:vMerge w:val="continue"/>
            <w:tcBorders>
              <w:top w:val="single" w:color="000000" w:sz="2" w:space="0"/>
              <w:left w:val="single" w:color="000000" w:sz="2" w:space="0"/>
              <w:bottom w:val="nil"/>
              <w:right w:val="single" w:color="000000" w:sz="2" w:space="0"/>
            </w:tcBorders>
            <w:shd w:val="clear" w:color="auto" w:fill="auto"/>
          </w:tcPr>
          <w:p w14:paraId="78C8D05C">
            <w:pPr>
              <w:rPr>
                <w:sz w:val="20"/>
                <w:szCs w:val="20"/>
              </w:rPr>
            </w:pP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5F91C2FE">
            <w:pPr>
              <w:pStyle w:val="18"/>
              <w:spacing w:before="99"/>
              <w:ind w:left="408" w:right="155" w:hanging="245"/>
              <w:rPr>
                <w:rFonts w:ascii="仿宋" w:hAnsi="仿宋" w:eastAsia="仿宋" w:cs="仿宋"/>
              </w:rPr>
            </w:pPr>
            <w:r>
              <w:rPr>
                <w:rFonts w:hint="eastAsia" w:ascii="仿宋" w:hAnsi="仿宋" w:eastAsia="仿宋" w:cs="仿宋"/>
                <w:spacing w:val="-4"/>
                <w:lang w:bidi="ar"/>
              </w:rPr>
              <w:t>加分小</w:t>
            </w:r>
            <w:r>
              <w:rPr>
                <w:rFonts w:hint="eastAsia" w:ascii="仿宋" w:hAnsi="仿宋" w:eastAsia="仿宋" w:cs="仿宋"/>
                <w:lang w:bidi="ar"/>
              </w:rPr>
              <w:t>计</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46FD71BA">
            <w:pPr>
              <w:pStyle w:val="18"/>
              <w:spacing w:before="254"/>
              <w:ind w:left="137"/>
              <w:rPr>
                <w:rFonts w:ascii="仿宋" w:hAnsi="仿宋" w:eastAsia="仿宋" w:cs="仿宋"/>
              </w:rPr>
            </w:pPr>
            <w:r>
              <w:rPr>
                <w:rFonts w:hint="eastAsia" w:ascii="仿宋" w:hAnsi="仿宋" w:eastAsia="仿宋" w:cs="仿宋"/>
                <w:spacing w:val="-5"/>
                <w:lang w:bidi="ar"/>
              </w:rPr>
              <w:t>累计加分不超过</w:t>
            </w:r>
            <w:r>
              <w:rPr>
                <w:rFonts w:hint="eastAsia" w:ascii="仿宋" w:hAnsi="仿宋" w:eastAsia="仿宋" w:cs="仿宋"/>
                <w:spacing w:val="-33"/>
                <w:lang w:bidi="ar"/>
              </w:rPr>
              <w:t xml:space="preserve"> </w:t>
            </w:r>
            <w:r>
              <w:rPr>
                <w:rFonts w:hint="eastAsia" w:ascii="仿宋" w:hAnsi="仿宋" w:eastAsia="仿宋" w:cs="仿宋"/>
                <w:spacing w:val="-5"/>
                <w:lang w:bidi="ar"/>
              </w:rPr>
              <w:t>10</w:t>
            </w:r>
            <w:r>
              <w:rPr>
                <w:rFonts w:hint="eastAsia" w:ascii="仿宋" w:hAnsi="仿宋" w:eastAsia="仿宋" w:cs="仿宋"/>
                <w:spacing w:val="-49"/>
                <w:lang w:bidi="ar"/>
              </w:rPr>
              <w:t xml:space="preserve"> </w:t>
            </w:r>
            <w:r>
              <w:rPr>
                <w:rFonts w:hint="eastAsia" w:ascii="仿宋" w:hAnsi="仿宋" w:eastAsia="仿宋" w:cs="仿宋"/>
                <w:spacing w:val="-5"/>
                <w:lang w:bidi="ar"/>
              </w:rPr>
              <w:t>分</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3F046176">
            <w:pPr>
              <w:pStyle w:val="18"/>
              <w:spacing w:before="254"/>
              <w:ind w:left="239"/>
              <w:rPr>
                <w:rFonts w:ascii="仿宋" w:hAnsi="仿宋" w:eastAsia="仿宋" w:cs="仿宋"/>
              </w:rPr>
            </w:pPr>
            <w:r>
              <w:rPr>
                <w:rFonts w:hint="eastAsia" w:ascii="仿宋" w:hAnsi="仿宋" w:eastAsia="仿宋" w:cs="仿宋"/>
                <w:spacing w:val="-13"/>
                <w:lang w:bidi="ar"/>
              </w:rPr>
              <w:t>10</w:t>
            </w:r>
          </w:p>
        </w:tc>
        <w:tc>
          <w:tcPr>
            <w:tcW w:w="2509" w:type="dxa"/>
            <w:gridSpan w:val="2"/>
            <w:tcBorders>
              <w:top w:val="single" w:color="000000" w:sz="2" w:space="0"/>
              <w:left w:val="single" w:color="000000" w:sz="2" w:space="0"/>
              <w:bottom w:val="single" w:color="000000" w:sz="2" w:space="0"/>
              <w:right w:val="single" w:color="000000" w:sz="2" w:space="0"/>
            </w:tcBorders>
            <w:shd w:val="clear" w:color="auto" w:fill="auto"/>
          </w:tcPr>
          <w:p w14:paraId="0EC16EED">
            <w:pPr>
              <w:rPr>
                <w:rFonts w:ascii="Arial" w:hAnsi="Calibri"/>
                <w:szCs w:val="21"/>
              </w:rPr>
            </w:pPr>
          </w:p>
        </w:tc>
      </w:tr>
      <w:tr w14:paraId="2D2FEE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trPr>
        <w:tc>
          <w:tcPr>
            <w:tcW w:w="5977" w:type="dxa"/>
            <w:gridSpan w:val="3"/>
            <w:tcBorders>
              <w:top w:val="single" w:color="000000" w:sz="2" w:space="0"/>
              <w:left w:val="single" w:color="000000" w:sz="2" w:space="0"/>
              <w:bottom w:val="single" w:color="000000" w:sz="2" w:space="0"/>
              <w:right w:val="single" w:color="000000" w:sz="2" w:space="0"/>
            </w:tcBorders>
            <w:shd w:val="clear" w:color="auto" w:fill="auto"/>
          </w:tcPr>
          <w:p w14:paraId="7765B45C">
            <w:pPr>
              <w:pStyle w:val="18"/>
              <w:spacing w:before="98"/>
              <w:ind w:left="1870"/>
              <w:rPr>
                <w:rFonts w:ascii="仿宋" w:hAnsi="仿宋" w:eastAsia="仿宋" w:cs="仿宋"/>
              </w:rPr>
            </w:pPr>
            <w:r>
              <w:rPr>
                <w:rFonts w:hint="eastAsia" w:ascii="仿宋" w:hAnsi="仿宋" w:eastAsia="仿宋" w:cs="仿宋"/>
                <w:spacing w:val="-3"/>
                <w:lang w:bidi="ar"/>
              </w:rPr>
              <w:t>总分（标准分+加分）</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744730B1">
            <w:pPr>
              <w:pStyle w:val="18"/>
              <w:spacing w:before="98"/>
              <w:ind w:left="179"/>
              <w:rPr>
                <w:rFonts w:ascii="仿宋" w:hAnsi="仿宋" w:eastAsia="仿宋" w:cs="仿宋"/>
              </w:rPr>
            </w:pPr>
            <w:r>
              <w:rPr>
                <w:rFonts w:hint="eastAsia" w:ascii="仿宋" w:hAnsi="仿宋" w:eastAsia="仿宋" w:cs="仿宋"/>
                <w:spacing w:val="-9"/>
                <w:lang w:bidi="ar"/>
              </w:rPr>
              <w:t>110</w:t>
            </w:r>
          </w:p>
        </w:tc>
        <w:tc>
          <w:tcPr>
            <w:tcW w:w="2509" w:type="dxa"/>
            <w:gridSpan w:val="2"/>
            <w:tcBorders>
              <w:top w:val="single" w:color="000000" w:sz="2" w:space="0"/>
              <w:left w:val="single" w:color="000000" w:sz="2" w:space="0"/>
              <w:bottom w:val="single" w:color="000000" w:sz="2" w:space="0"/>
              <w:right w:val="single" w:color="000000" w:sz="2" w:space="0"/>
            </w:tcBorders>
            <w:shd w:val="clear" w:color="auto" w:fill="auto"/>
          </w:tcPr>
          <w:p w14:paraId="361385D8">
            <w:pPr>
              <w:rPr>
                <w:rFonts w:ascii="Arial" w:hAnsi="Calibri"/>
                <w:szCs w:val="21"/>
              </w:rPr>
            </w:pPr>
          </w:p>
        </w:tc>
      </w:tr>
      <w:tr w14:paraId="35673A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39" w:hRule="atLeast"/>
        </w:trPr>
        <w:tc>
          <w:tcPr>
            <w:tcW w:w="9157" w:type="dxa"/>
            <w:gridSpan w:val="6"/>
            <w:tcBorders>
              <w:top w:val="single" w:color="000000" w:sz="2" w:space="0"/>
              <w:left w:val="single" w:color="000000" w:sz="2" w:space="0"/>
              <w:bottom w:val="single" w:color="000000" w:sz="2" w:space="0"/>
              <w:right w:val="single" w:color="000000" w:sz="2" w:space="0"/>
            </w:tcBorders>
            <w:shd w:val="clear" w:color="auto" w:fill="auto"/>
          </w:tcPr>
          <w:p w14:paraId="39D179CD">
            <w:pPr>
              <w:pStyle w:val="18"/>
              <w:spacing w:before="100"/>
              <w:ind w:left="126"/>
              <w:rPr>
                <w:rFonts w:ascii="仿宋" w:hAnsi="仿宋" w:eastAsia="仿宋" w:cs="仿宋"/>
              </w:rPr>
            </w:pPr>
            <w:r>
              <w:rPr>
                <w:rFonts w:hint="eastAsia" w:ascii="仿宋" w:hAnsi="仿宋" w:eastAsia="仿宋" w:cs="仿宋"/>
                <w:b/>
                <w:bCs/>
                <w:spacing w:val="-7"/>
                <w:lang w:bidi="ar"/>
              </w:rPr>
              <w:t>评价等级：</w:t>
            </w:r>
            <w:r>
              <w:rPr>
                <w:rFonts w:hint="eastAsia" w:ascii="微软雅黑" w:hAnsi="微软雅黑" w:eastAsia="微软雅黑" w:cs="微软雅黑"/>
                <w:spacing w:val="-7"/>
                <w:lang w:bidi="ar"/>
              </w:rPr>
              <w:t>□</w:t>
            </w:r>
            <w:r>
              <w:rPr>
                <w:rFonts w:hint="eastAsia" w:ascii="仿宋" w:hAnsi="仿宋" w:eastAsia="仿宋" w:cs="仿宋"/>
                <w:spacing w:val="-7"/>
                <w:lang w:bidi="ar"/>
              </w:rPr>
              <w:t>A</w:t>
            </w:r>
            <w:r>
              <w:rPr>
                <w:rFonts w:hint="eastAsia" w:ascii="仿宋" w:hAnsi="仿宋" w:eastAsia="仿宋" w:cs="仿宋"/>
                <w:spacing w:val="-41"/>
                <w:lang w:bidi="ar"/>
              </w:rPr>
              <w:t xml:space="preserve"> </w:t>
            </w:r>
            <w:r>
              <w:rPr>
                <w:rFonts w:hint="eastAsia" w:ascii="仿宋" w:hAnsi="仿宋" w:eastAsia="仿宋" w:cs="仿宋"/>
                <w:spacing w:val="-7"/>
                <w:lang w:bidi="ar"/>
              </w:rPr>
              <w:t>级（得分≥90</w:t>
            </w:r>
            <w:r>
              <w:rPr>
                <w:rFonts w:hint="eastAsia" w:ascii="仿宋" w:hAnsi="仿宋" w:eastAsia="仿宋" w:cs="仿宋"/>
                <w:spacing w:val="-49"/>
                <w:lang w:bidi="ar"/>
              </w:rPr>
              <w:t xml:space="preserve"> </w:t>
            </w:r>
            <w:r>
              <w:rPr>
                <w:rFonts w:hint="eastAsia" w:ascii="仿宋" w:hAnsi="仿宋" w:eastAsia="仿宋" w:cs="仿宋"/>
                <w:spacing w:val="-7"/>
                <w:lang w:bidi="ar"/>
              </w:rPr>
              <w:t>分）□B</w:t>
            </w:r>
            <w:r>
              <w:rPr>
                <w:rFonts w:hint="eastAsia" w:ascii="仿宋" w:hAnsi="仿宋" w:eastAsia="仿宋" w:cs="仿宋"/>
                <w:spacing w:val="-41"/>
                <w:lang w:bidi="ar"/>
              </w:rPr>
              <w:t xml:space="preserve"> </w:t>
            </w:r>
            <w:r>
              <w:rPr>
                <w:rFonts w:hint="eastAsia" w:ascii="仿宋" w:hAnsi="仿宋" w:eastAsia="仿宋" w:cs="仿宋"/>
                <w:spacing w:val="-7"/>
                <w:lang w:bidi="ar"/>
              </w:rPr>
              <w:t>级（70</w:t>
            </w:r>
            <w:r>
              <w:rPr>
                <w:rFonts w:hint="eastAsia" w:ascii="仿宋" w:hAnsi="仿宋" w:eastAsia="仿宋" w:cs="仿宋"/>
                <w:spacing w:val="-49"/>
                <w:lang w:bidi="ar"/>
              </w:rPr>
              <w:t xml:space="preserve"> </w:t>
            </w:r>
            <w:r>
              <w:rPr>
                <w:rFonts w:hint="eastAsia" w:ascii="仿宋" w:hAnsi="仿宋" w:eastAsia="仿宋" w:cs="仿宋"/>
                <w:spacing w:val="-7"/>
                <w:lang w:bidi="ar"/>
              </w:rPr>
              <w:t>分≤得分＜90</w:t>
            </w:r>
            <w:r>
              <w:rPr>
                <w:rFonts w:hint="eastAsia" w:ascii="仿宋" w:hAnsi="仿宋" w:eastAsia="仿宋" w:cs="仿宋"/>
                <w:spacing w:val="-49"/>
                <w:lang w:bidi="ar"/>
              </w:rPr>
              <w:t xml:space="preserve"> </w:t>
            </w:r>
            <w:r>
              <w:rPr>
                <w:rFonts w:hint="eastAsia" w:ascii="仿宋" w:hAnsi="仿宋" w:eastAsia="仿宋" w:cs="仿宋"/>
                <w:spacing w:val="-7"/>
                <w:lang w:bidi="ar"/>
              </w:rPr>
              <w:t>分）□C</w:t>
            </w:r>
            <w:r>
              <w:rPr>
                <w:rFonts w:hint="eastAsia" w:ascii="仿宋" w:hAnsi="仿宋" w:eastAsia="仿宋" w:cs="仿宋"/>
                <w:spacing w:val="-41"/>
                <w:lang w:bidi="ar"/>
              </w:rPr>
              <w:t xml:space="preserve"> </w:t>
            </w:r>
            <w:r>
              <w:rPr>
                <w:rFonts w:hint="eastAsia" w:ascii="仿宋" w:hAnsi="仿宋" w:eastAsia="仿宋" w:cs="仿宋"/>
                <w:spacing w:val="-7"/>
                <w:lang w:bidi="ar"/>
              </w:rPr>
              <w:t>级（得分&lt;</w:t>
            </w:r>
            <w:r>
              <w:rPr>
                <w:rFonts w:hint="eastAsia" w:ascii="仿宋" w:hAnsi="仿宋" w:eastAsia="仿宋" w:cs="仿宋"/>
                <w:spacing w:val="-8"/>
                <w:lang w:bidi="ar"/>
              </w:rPr>
              <w:t>70</w:t>
            </w:r>
            <w:r>
              <w:rPr>
                <w:rFonts w:hint="eastAsia" w:ascii="仿宋" w:hAnsi="仿宋" w:eastAsia="仿宋" w:cs="仿宋"/>
                <w:spacing w:val="-49"/>
                <w:lang w:bidi="ar"/>
              </w:rPr>
              <w:t xml:space="preserve"> </w:t>
            </w:r>
            <w:r>
              <w:rPr>
                <w:rFonts w:hint="eastAsia" w:ascii="仿宋" w:hAnsi="仿宋" w:eastAsia="仿宋" w:cs="仿宋"/>
                <w:spacing w:val="-8"/>
                <w:lang w:bidi="ar"/>
              </w:rPr>
              <w:t>分）。</w:t>
            </w:r>
            <w:r>
              <w:rPr>
                <w:rFonts w:hint="eastAsia" w:ascii="仿宋" w:hAnsi="仿宋" w:eastAsia="仿宋" w:cs="仿宋"/>
                <w:spacing w:val="-1"/>
                <w:lang w:bidi="ar"/>
              </w:rPr>
              <w:t>连续两次评价为C</w:t>
            </w:r>
            <w:r>
              <w:rPr>
                <w:rFonts w:hint="eastAsia" w:ascii="仿宋" w:hAnsi="仿宋" w:eastAsia="仿宋" w:cs="仿宋"/>
                <w:spacing w:val="-26"/>
                <w:lang w:bidi="ar"/>
              </w:rPr>
              <w:t xml:space="preserve"> </w:t>
            </w:r>
            <w:r>
              <w:rPr>
                <w:rFonts w:hint="eastAsia" w:ascii="仿宋" w:hAnsi="仿宋" w:eastAsia="仿宋" w:cs="仿宋"/>
                <w:spacing w:val="-1"/>
                <w:lang w:bidi="ar"/>
              </w:rPr>
              <w:t>级的承包商纳入黑名单管理。</w:t>
            </w:r>
          </w:p>
          <w:p w14:paraId="078A6E3F">
            <w:pPr>
              <w:pStyle w:val="18"/>
              <w:spacing w:before="11"/>
              <w:ind w:left="126"/>
              <w:rPr>
                <w:rFonts w:ascii="仿宋" w:hAnsi="仿宋" w:eastAsia="仿宋" w:cs="仿宋"/>
              </w:rPr>
            </w:pPr>
            <w:r>
              <w:rPr>
                <w:rFonts w:hint="eastAsia" w:ascii="仿宋" w:hAnsi="仿宋" w:eastAsia="仿宋" w:cs="仿宋"/>
                <w:b/>
                <w:bCs/>
                <w:spacing w:val="-4"/>
                <w:lang w:bidi="ar"/>
              </w:rPr>
              <w:t>评价人员签字：</w:t>
            </w:r>
          </w:p>
          <w:p w14:paraId="71CCE340">
            <w:pPr>
              <w:pStyle w:val="18"/>
              <w:spacing w:before="29"/>
              <w:ind w:left="126"/>
              <w:rPr>
                <w:rFonts w:ascii="仿宋" w:hAnsi="仿宋" w:eastAsia="仿宋" w:cs="仿宋"/>
              </w:rPr>
            </w:pPr>
            <w:r>
              <w:rPr>
                <w:rFonts w:hint="eastAsia" w:ascii="仿宋" w:hAnsi="仿宋" w:eastAsia="仿宋" w:cs="仿宋"/>
                <w:b/>
                <w:bCs/>
                <w:spacing w:val="-8"/>
                <w:lang w:bidi="ar"/>
              </w:rPr>
              <w:t>评价日期：</w:t>
            </w:r>
            <w:r>
              <w:rPr>
                <w:rFonts w:hint="eastAsia" w:ascii="仿宋" w:hAnsi="仿宋" w:eastAsia="仿宋" w:cs="仿宋"/>
                <w:spacing w:val="6"/>
                <w:lang w:bidi="ar"/>
              </w:rPr>
              <w:t xml:space="preserve">    </w:t>
            </w:r>
            <w:r>
              <w:rPr>
                <w:rFonts w:hint="eastAsia" w:ascii="仿宋" w:hAnsi="仿宋" w:eastAsia="仿宋" w:cs="仿宋"/>
                <w:spacing w:val="-8"/>
                <w:lang w:bidi="ar"/>
              </w:rPr>
              <w:t>年</w:t>
            </w:r>
            <w:r>
              <w:rPr>
                <w:rFonts w:hint="eastAsia" w:ascii="仿宋" w:hAnsi="仿宋" w:eastAsia="仿宋" w:cs="仿宋"/>
                <w:spacing w:val="10"/>
                <w:lang w:bidi="ar"/>
              </w:rPr>
              <w:t xml:space="preserve">  </w:t>
            </w:r>
            <w:r>
              <w:rPr>
                <w:rFonts w:hint="eastAsia" w:ascii="仿宋" w:hAnsi="仿宋" w:eastAsia="仿宋" w:cs="仿宋"/>
                <w:spacing w:val="-8"/>
                <w:lang w:bidi="ar"/>
              </w:rPr>
              <w:t>月</w:t>
            </w:r>
            <w:r>
              <w:rPr>
                <w:rFonts w:hint="eastAsia" w:ascii="仿宋" w:hAnsi="仿宋" w:eastAsia="仿宋" w:cs="仿宋"/>
                <w:spacing w:val="28"/>
                <w:lang w:bidi="ar"/>
              </w:rPr>
              <w:t xml:space="preserve">  </w:t>
            </w:r>
            <w:r>
              <w:rPr>
                <w:rFonts w:hint="eastAsia" w:ascii="仿宋" w:hAnsi="仿宋" w:eastAsia="仿宋" w:cs="仿宋"/>
                <w:spacing w:val="-8"/>
                <w:lang w:bidi="ar"/>
              </w:rPr>
              <w:t>日</w:t>
            </w:r>
          </w:p>
        </w:tc>
      </w:tr>
    </w:tbl>
    <w:p w14:paraId="73CCCBFB">
      <w:pPr>
        <w:rPr>
          <w:rFonts w:ascii="Arial" w:hAnsi="Calibri"/>
          <w:szCs w:val="21"/>
        </w:rPr>
      </w:pPr>
      <w:r>
        <w:rPr>
          <w:rFonts w:ascii="Arial" w:hAnsi="Calibri"/>
          <w:kern w:val="0"/>
          <w:szCs w:val="21"/>
          <w:lang w:bidi="ar"/>
        </w:rPr>
        <w:t xml:space="preserve"> </w:t>
      </w:r>
    </w:p>
    <w:p w14:paraId="46F0CD2F">
      <w:pPr>
        <w:rPr>
          <w:rFonts w:ascii="Arial" w:hAnsi="Arial" w:cs="Arial"/>
          <w:szCs w:val="21"/>
        </w:rPr>
        <w:sectPr>
          <w:pgSz w:w="11906" w:h="16839"/>
          <w:pgMar w:top="400" w:right="1065" w:bottom="1223" w:left="1677" w:header="1" w:footer="1061" w:gutter="0"/>
          <w:cols w:space="720" w:num="1"/>
          <w:formProt w:val="0"/>
          <w:docGrid w:type="linesAndChars" w:linePitch="312" w:charSpace="0"/>
        </w:sectPr>
      </w:pPr>
    </w:p>
    <w:p w14:paraId="26CE1463">
      <w:pPr>
        <w:pStyle w:val="18"/>
        <w:autoSpaceDE w:val="0"/>
        <w:spacing w:line="360" w:lineRule="auto"/>
        <w:jc w:val="center"/>
        <w:rPr>
          <w:rFonts w:ascii="微软雅黑" w:hAnsi="微软雅黑" w:eastAsia="微软雅黑" w:cs="微软雅黑"/>
          <w:b/>
          <w:bCs/>
          <w:spacing w:val="25"/>
          <w:position w:val="-1"/>
          <w:sz w:val="35"/>
          <w:szCs w:val="35"/>
        </w:rPr>
      </w:pPr>
      <w:r>
        <w:rPr>
          <w:rFonts w:hint="eastAsia" w:ascii="宋体" w:hAnsi="宋体" w:cs="宋体"/>
          <w:b/>
          <w:bCs/>
          <w:lang w:bidi="ar"/>
        </w:rPr>
        <w:t>附件4：承包商安全生产 “吹哨人” 和隐患内部报告奖励统计表</w:t>
      </w:r>
    </w:p>
    <w:p w14:paraId="22F9E001">
      <w:pPr>
        <w:spacing w:before="207" w:line="354" w:lineRule="exact"/>
        <w:jc w:val="center"/>
        <w:outlineLvl w:val="1"/>
        <w:rPr>
          <w:rFonts w:ascii="微软雅黑" w:hAnsi="微软雅黑" w:eastAsia="微软雅黑" w:cs="微软雅黑"/>
          <w:sz w:val="35"/>
          <w:szCs w:val="35"/>
        </w:rPr>
      </w:pPr>
      <w:r>
        <w:rPr>
          <w:rFonts w:hint="eastAsia" w:ascii="微软雅黑" w:hAnsi="微软雅黑" w:eastAsia="微软雅黑" w:cs="微软雅黑"/>
          <w:spacing w:val="17"/>
          <w:kern w:val="0"/>
          <w:position w:val="-1"/>
          <w:sz w:val="35"/>
          <w:szCs w:val="35"/>
          <w:lang w:bidi="ar"/>
        </w:rPr>
        <w:t>承包商安全生产</w:t>
      </w:r>
      <w:r>
        <w:rPr>
          <w:rFonts w:hint="eastAsia" w:ascii="微软雅黑" w:hAnsi="微软雅黑" w:eastAsia="微软雅黑" w:cs="微软雅黑"/>
          <w:spacing w:val="86"/>
          <w:kern w:val="0"/>
          <w:position w:val="-1"/>
          <w:sz w:val="35"/>
          <w:szCs w:val="35"/>
          <w:lang w:bidi="ar"/>
        </w:rPr>
        <w:t xml:space="preserve"> </w:t>
      </w:r>
      <w:r>
        <w:rPr>
          <w:rFonts w:ascii="Calibri" w:hAnsi="Calibri"/>
          <w:kern w:val="0"/>
          <w:szCs w:val="21"/>
        </w:rPr>
        <w:drawing>
          <wp:inline distT="0" distB="0" distL="114300" distR="114300">
            <wp:extent cx="104775" cy="76200"/>
            <wp:effectExtent l="0" t="0" r="1905" b="0"/>
            <wp:docPr id="5" name="图片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IMG_256"/>
                    <pic:cNvPicPr>
                      <a:picLocks noChangeAspect="1"/>
                    </pic:cNvPicPr>
                  </pic:nvPicPr>
                  <pic:blipFill>
                    <a:blip r:embed="rId16"/>
                    <a:stretch>
                      <a:fillRect/>
                    </a:stretch>
                  </pic:blipFill>
                  <pic:spPr>
                    <a:xfrm>
                      <a:off x="0" y="0"/>
                      <a:ext cx="104775" cy="76200"/>
                    </a:xfrm>
                    <a:prstGeom prst="rect">
                      <a:avLst/>
                    </a:prstGeom>
                    <a:noFill/>
                    <a:ln w="9525">
                      <a:noFill/>
                    </a:ln>
                  </pic:spPr>
                </pic:pic>
              </a:graphicData>
            </a:graphic>
          </wp:inline>
        </w:drawing>
      </w:r>
      <w:r>
        <w:rPr>
          <w:rFonts w:hint="eastAsia" w:ascii="微软雅黑" w:hAnsi="微软雅黑" w:eastAsia="微软雅黑" w:cs="微软雅黑"/>
          <w:spacing w:val="17"/>
          <w:kern w:val="0"/>
          <w:position w:val="-1"/>
          <w:sz w:val="35"/>
          <w:szCs w:val="35"/>
          <w:lang w:bidi="ar"/>
        </w:rPr>
        <w:t>吹哨人</w:t>
      </w:r>
      <w:r>
        <w:rPr>
          <w:rFonts w:ascii="Calibri" w:hAnsi="Calibri"/>
          <w:kern w:val="0"/>
          <w:szCs w:val="21"/>
        </w:rPr>
        <w:drawing>
          <wp:inline distT="0" distB="0" distL="114300" distR="114300">
            <wp:extent cx="104775" cy="76200"/>
            <wp:effectExtent l="0" t="0" r="1905" b="0"/>
            <wp:docPr id="6" name="图片 5"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descr="IMG_257"/>
                    <pic:cNvPicPr>
                      <a:picLocks noChangeAspect="1"/>
                    </pic:cNvPicPr>
                  </pic:nvPicPr>
                  <pic:blipFill>
                    <a:blip r:embed="rId17"/>
                    <a:stretch>
                      <a:fillRect/>
                    </a:stretch>
                  </pic:blipFill>
                  <pic:spPr>
                    <a:xfrm>
                      <a:off x="0" y="0"/>
                      <a:ext cx="104775" cy="76200"/>
                    </a:xfrm>
                    <a:prstGeom prst="rect">
                      <a:avLst/>
                    </a:prstGeom>
                    <a:noFill/>
                    <a:ln w="9525">
                      <a:noFill/>
                    </a:ln>
                  </pic:spPr>
                </pic:pic>
              </a:graphicData>
            </a:graphic>
          </wp:inline>
        </w:drawing>
      </w:r>
      <w:r>
        <w:rPr>
          <w:rFonts w:hint="eastAsia" w:ascii="微软雅黑" w:hAnsi="微软雅黑" w:eastAsia="微软雅黑" w:cs="微软雅黑"/>
          <w:spacing w:val="86"/>
          <w:kern w:val="0"/>
          <w:position w:val="-1"/>
          <w:sz w:val="35"/>
          <w:szCs w:val="35"/>
          <w:lang w:bidi="ar"/>
        </w:rPr>
        <w:t xml:space="preserve"> </w:t>
      </w:r>
      <w:r>
        <w:rPr>
          <w:rFonts w:hint="eastAsia" w:ascii="微软雅黑" w:hAnsi="微软雅黑" w:eastAsia="微软雅黑" w:cs="微软雅黑"/>
          <w:spacing w:val="17"/>
          <w:kern w:val="0"/>
          <w:position w:val="-1"/>
          <w:sz w:val="35"/>
          <w:szCs w:val="35"/>
          <w:lang w:bidi="ar"/>
        </w:rPr>
        <w:t>和隐患内部报告奖励统计</w:t>
      </w:r>
      <w:r>
        <w:rPr>
          <w:rFonts w:hint="eastAsia" w:ascii="微软雅黑" w:hAnsi="微软雅黑" w:eastAsia="微软雅黑" w:cs="微软雅黑"/>
          <w:spacing w:val="16"/>
          <w:kern w:val="0"/>
          <w:position w:val="-1"/>
          <w:sz w:val="35"/>
          <w:szCs w:val="35"/>
          <w:lang w:bidi="ar"/>
        </w:rPr>
        <w:t>表</w:t>
      </w:r>
    </w:p>
    <w:p w14:paraId="753211BB">
      <w:pPr>
        <w:spacing w:line="319" w:lineRule="auto"/>
        <w:rPr>
          <w:rFonts w:ascii="Arial" w:hAnsi="Calibri"/>
          <w:szCs w:val="21"/>
        </w:rPr>
      </w:pPr>
      <w:r>
        <w:rPr>
          <w:rFonts w:ascii="Arial" w:hAnsi="Calibri"/>
          <w:kern w:val="0"/>
          <w:szCs w:val="21"/>
          <w:lang w:bidi="ar"/>
        </w:rPr>
        <w:t xml:space="preserve"> </w:t>
      </w:r>
    </w:p>
    <w:p w14:paraId="7F21B9D2">
      <w:pPr>
        <w:pStyle w:val="18"/>
        <w:spacing w:before="78"/>
        <w:ind w:left="515"/>
        <w:rPr>
          <w:rFonts w:ascii="仿宋" w:hAnsi="仿宋" w:eastAsia="仿宋" w:cs="仿宋"/>
        </w:rPr>
      </w:pPr>
      <w:r>
        <w:rPr>
          <w:rFonts w:hint="eastAsia" w:ascii="仿宋" w:hAnsi="仿宋" w:eastAsia="仿宋" w:cs="仿宋"/>
          <w:spacing w:val="-13"/>
          <w:lang w:bidi="ar"/>
        </w:rPr>
        <w:t>统计期间：</w:t>
      </w:r>
      <w:r>
        <w:rPr>
          <w:rFonts w:hint="eastAsia" w:ascii="仿宋" w:hAnsi="仿宋" w:eastAsia="仿宋" w:cs="仿宋"/>
          <w:spacing w:val="6"/>
          <w:lang w:bidi="ar"/>
        </w:rPr>
        <w:t xml:space="preserve">    </w:t>
      </w:r>
      <w:r>
        <w:rPr>
          <w:rFonts w:hint="eastAsia" w:ascii="仿宋" w:hAnsi="仿宋" w:eastAsia="仿宋" w:cs="仿宋"/>
          <w:spacing w:val="-13"/>
          <w:lang w:bidi="ar"/>
        </w:rPr>
        <w:t>年</w:t>
      </w:r>
      <w:r>
        <w:rPr>
          <w:rFonts w:hint="eastAsia" w:ascii="仿宋" w:hAnsi="仿宋" w:eastAsia="仿宋" w:cs="仿宋"/>
          <w:spacing w:val="7"/>
          <w:lang w:bidi="ar"/>
        </w:rPr>
        <w:t xml:space="preserve">   </w:t>
      </w:r>
      <w:r>
        <w:rPr>
          <w:rFonts w:hint="eastAsia" w:ascii="仿宋" w:hAnsi="仿宋" w:eastAsia="仿宋" w:cs="仿宋"/>
          <w:spacing w:val="-13"/>
          <w:lang w:bidi="ar"/>
        </w:rPr>
        <w:t>月</w:t>
      </w:r>
      <w:r>
        <w:rPr>
          <w:rFonts w:hint="eastAsia" w:ascii="仿宋" w:hAnsi="仿宋" w:eastAsia="仿宋" w:cs="仿宋"/>
          <w:spacing w:val="27"/>
          <w:lang w:bidi="ar"/>
        </w:rPr>
        <w:t xml:space="preserve">  </w:t>
      </w:r>
      <w:r>
        <w:rPr>
          <w:rFonts w:hint="eastAsia" w:ascii="仿宋" w:hAnsi="仿宋" w:eastAsia="仿宋" w:cs="仿宋"/>
          <w:spacing w:val="-13"/>
          <w:lang w:bidi="ar"/>
        </w:rPr>
        <w:t>日至</w:t>
      </w:r>
      <w:r>
        <w:rPr>
          <w:rFonts w:hint="eastAsia" w:ascii="仿宋" w:hAnsi="仿宋" w:eastAsia="仿宋" w:cs="仿宋"/>
          <w:spacing w:val="3"/>
          <w:lang w:bidi="ar"/>
        </w:rPr>
        <w:t xml:space="preserve">    </w:t>
      </w:r>
      <w:r>
        <w:rPr>
          <w:rFonts w:hint="eastAsia" w:ascii="仿宋" w:hAnsi="仿宋" w:eastAsia="仿宋" w:cs="仿宋"/>
          <w:spacing w:val="-13"/>
          <w:lang w:bidi="ar"/>
        </w:rPr>
        <w:t>年</w:t>
      </w:r>
      <w:r>
        <w:rPr>
          <w:rFonts w:hint="eastAsia" w:ascii="仿宋" w:hAnsi="仿宋" w:eastAsia="仿宋" w:cs="仿宋"/>
          <w:spacing w:val="11"/>
          <w:lang w:bidi="ar"/>
        </w:rPr>
        <w:t xml:space="preserve">  </w:t>
      </w:r>
      <w:r>
        <w:rPr>
          <w:rFonts w:hint="eastAsia" w:ascii="仿宋" w:hAnsi="仿宋" w:eastAsia="仿宋" w:cs="仿宋"/>
          <w:spacing w:val="-13"/>
          <w:lang w:bidi="ar"/>
        </w:rPr>
        <w:t>月</w:t>
      </w:r>
      <w:r>
        <w:rPr>
          <w:rFonts w:hint="eastAsia" w:ascii="仿宋" w:hAnsi="仿宋" w:eastAsia="仿宋" w:cs="仿宋"/>
          <w:spacing w:val="27"/>
          <w:lang w:bidi="ar"/>
        </w:rPr>
        <w:t xml:space="preserve">  </w:t>
      </w:r>
      <w:r>
        <w:rPr>
          <w:rFonts w:hint="eastAsia" w:ascii="仿宋" w:hAnsi="仿宋" w:eastAsia="仿宋" w:cs="仿宋"/>
          <w:spacing w:val="-13"/>
          <w:lang w:bidi="ar"/>
        </w:rPr>
        <w:t>日</w:t>
      </w:r>
    </w:p>
    <w:p w14:paraId="053A8B0A">
      <w:pPr>
        <w:spacing w:line="33" w:lineRule="exact"/>
        <w:rPr>
          <w:rFonts w:ascii="Calibri" w:hAnsi="Calibri"/>
          <w:szCs w:val="21"/>
        </w:rPr>
      </w:pPr>
      <w:r>
        <w:rPr>
          <w:rFonts w:ascii="Calibri" w:hAnsi="Calibri"/>
          <w:kern w:val="0"/>
          <w:szCs w:val="21"/>
          <w:lang w:bidi="ar"/>
        </w:rPr>
        <w:t xml:space="preserve"> </w:t>
      </w:r>
    </w:p>
    <w:tbl>
      <w:tblPr>
        <w:tblStyle w:val="67"/>
        <w:tblW w:w="9604" w:type="dxa"/>
        <w:tblInd w:w="11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04"/>
        <w:gridCol w:w="1411"/>
        <w:gridCol w:w="702"/>
        <w:gridCol w:w="702"/>
        <w:gridCol w:w="910"/>
        <w:gridCol w:w="907"/>
        <w:gridCol w:w="753"/>
        <w:gridCol w:w="702"/>
        <w:gridCol w:w="702"/>
        <w:gridCol w:w="704"/>
        <w:gridCol w:w="702"/>
        <w:gridCol w:w="705"/>
      </w:tblGrid>
      <w:tr w14:paraId="0D47A4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25" w:hRule="atLeast"/>
        </w:trPr>
        <w:tc>
          <w:tcPr>
            <w:tcW w:w="705" w:type="dxa"/>
            <w:vMerge w:val="restart"/>
            <w:tcBorders>
              <w:top w:val="single" w:color="000000" w:sz="2" w:space="0"/>
              <w:left w:val="single" w:color="000000" w:sz="2" w:space="0"/>
              <w:bottom w:val="nil"/>
              <w:right w:val="single" w:color="000000" w:sz="2" w:space="0"/>
            </w:tcBorders>
            <w:shd w:val="clear" w:color="auto" w:fill="auto"/>
          </w:tcPr>
          <w:p w14:paraId="2785F27E">
            <w:pPr>
              <w:spacing w:line="302" w:lineRule="auto"/>
              <w:rPr>
                <w:rFonts w:ascii="Arial" w:hAnsi="Calibri"/>
                <w:szCs w:val="21"/>
              </w:rPr>
            </w:pPr>
          </w:p>
          <w:p w14:paraId="04E1F814">
            <w:pPr>
              <w:spacing w:line="302" w:lineRule="auto"/>
              <w:rPr>
                <w:rFonts w:ascii="Arial" w:hAnsi="Calibri"/>
                <w:szCs w:val="21"/>
              </w:rPr>
            </w:pPr>
          </w:p>
          <w:p w14:paraId="1289BA83">
            <w:pPr>
              <w:pStyle w:val="18"/>
              <w:spacing w:before="78"/>
              <w:ind w:left="113" w:right="106" w:firstLine="5"/>
              <w:rPr>
                <w:rFonts w:ascii="仿宋" w:hAnsi="仿宋" w:eastAsia="仿宋" w:cs="仿宋"/>
              </w:rPr>
            </w:pPr>
            <w:r>
              <w:rPr>
                <w:rFonts w:hint="eastAsia" w:ascii="仿宋" w:hAnsi="仿宋" w:eastAsia="仿宋" w:cs="仿宋"/>
                <w:spacing w:val="4"/>
                <w:lang w:bidi="ar"/>
              </w:rPr>
              <w:t>承包商</w:t>
            </w:r>
            <w:r>
              <w:rPr>
                <w:rFonts w:hint="eastAsia" w:ascii="仿宋" w:hAnsi="仿宋" w:eastAsia="仿宋" w:cs="仿宋"/>
                <w:spacing w:val="-3"/>
                <w:lang w:bidi="ar"/>
              </w:rPr>
              <w:t>名称</w:t>
            </w:r>
          </w:p>
        </w:tc>
        <w:tc>
          <w:tcPr>
            <w:tcW w:w="1412" w:type="dxa"/>
            <w:vMerge w:val="restart"/>
            <w:tcBorders>
              <w:top w:val="single" w:color="000000" w:sz="2" w:space="0"/>
              <w:left w:val="single" w:color="000000" w:sz="2" w:space="0"/>
              <w:bottom w:val="nil"/>
              <w:right w:val="single" w:color="000000" w:sz="2" w:space="0"/>
            </w:tcBorders>
            <w:shd w:val="clear" w:color="auto" w:fill="auto"/>
          </w:tcPr>
          <w:p w14:paraId="7857471B">
            <w:pPr>
              <w:spacing w:line="295" w:lineRule="auto"/>
              <w:rPr>
                <w:rFonts w:ascii="Arial" w:hAnsi="Calibri"/>
                <w:szCs w:val="21"/>
              </w:rPr>
            </w:pPr>
          </w:p>
          <w:p w14:paraId="33F8C138">
            <w:pPr>
              <w:pStyle w:val="18"/>
              <w:spacing w:before="78"/>
              <w:ind w:left="126"/>
              <w:rPr>
                <w:rFonts w:ascii="仿宋" w:hAnsi="仿宋" w:eastAsia="仿宋" w:cs="仿宋"/>
              </w:rPr>
            </w:pPr>
            <w:r>
              <w:rPr>
                <w:rFonts w:hint="eastAsia" w:ascii="仿宋" w:hAnsi="仿宋" w:eastAsia="仿宋" w:cs="仿宋"/>
                <w:spacing w:val="-1"/>
                <w:lang w:bidi="ar"/>
              </w:rPr>
              <w:t>是否建立安全生</w:t>
            </w:r>
          </w:p>
          <w:p w14:paraId="163BAD97">
            <w:pPr>
              <w:pStyle w:val="18"/>
              <w:spacing w:before="28"/>
              <w:ind w:left="130"/>
              <w:rPr>
                <w:rFonts w:ascii="仿宋" w:hAnsi="仿宋" w:eastAsia="仿宋" w:cs="仿宋"/>
              </w:rPr>
            </w:pPr>
            <w:r>
              <w:rPr>
                <w:rFonts w:hint="eastAsia" w:ascii="仿宋" w:hAnsi="仿宋" w:eastAsia="仿宋" w:cs="仿宋"/>
                <w:spacing w:val="-7"/>
                <w:lang w:bidi="ar"/>
              </w:rPr>
              <w:t>产</w:t>
            </w:r>
            <w:r>
              <w:rPr>
                <w:rFonts w:hint="eastAsia" w:ascii="仿宋" w:hAnsi="仿宋" w:eastAsia="仿宋" w:cs="仿宋"/>
                <w:spacing w:val="-82"/>
                <w:lang w:bidi="ar"/>
              </w:rPr>
              <w:t xml:space="preserve"> </w:t>
            </w:r>
            <w:r>
              <w:rPr>
                <w:rFonts w:hint="eastAsia" w:ascii="仿宋" w:hAnsi="仿宋" w:eastAsia="仿宋" w:cs="仿宋"/>
                <w:spacing w:val="-7"/>
                <w:lang w:bidi="ar"/>
              </w:rPr>
              <w:t>“吹哨人”或</w:t>
            </w:r>
          </w:p>
          <w:p w14:paraId="68F0FDF8">
            <w:pPr>
              <w:pStyle w:val="18"/>
              <w:spacing w:before="29"/>
              <w:ind w:left="149"/>
              <w:rPr>
                <w:rFonts w:ascii="仿宋" w:hAnsi="仿宋" w:eastAsia="仿宋" w:cs="仿宋"/>
              </w:rPr>
            </w:pPr>
            <w:r>
              <w:rPr>
                <w:rFonts w:hint="eastAsia" w:ascii="仿宋" w:hAnsi="仿宋" w:eastAsia="仿宋" w:cs="仿宋"/>
                <w:spacing w:val="-5"/>
                <w:lang w:bidi="ar"/>
              </w:rPr>
              <w:t>隐患内部报告奖</w:t>
            </w:r>
          </w:p>
          <w:p w14:paraId="4F9BFCEE">
            <w:pPr>
              <w:pStyle w:val="18"/>
              <w:spacing w:before="30"/>
              <w:ind w:left="608"/>
              <w:rPr>
                <w:rFonts w:ascii="仿宋" w:hAnsi="仿宋" w:eastAsia="仿宋" w:cs="仿宋"/>
              </w:rPr>
            </w:pPr>
            <w:r>
              <w:rPr>
                <w:rFonts w:hint="eastAsia" w:ascii="仿宋" w:hAnsi="仿宋" w:eastAsia="仿宋" w:cs="仿宋"/>
                <w:spacing w:val="-3"/>
                <w:lang w:bidi="ar"/>
              </w:rPr>
              <w:t>励制度</w:t>
            </w:r>
          </w:p>
        </w:tc>
        <w:tc>
          <w:tcPr>
            <w:tcW w:w="702" w:type="dxa"/>
            <w:vMerge w:val="restart"/>
            <w:tcBorders>
              <w:top w:val="single" w:color="000000" w:sz="2" w:space="0"/>
              <w:left w:val="single" w:color="000000" w:sz="2" w:space="0"/>
              <w:bottom w:val="nil"/>
              <w:right w:val="single" w:color="000000" w:sz="2" w:space="0"/>
            </w:tcBorders>
            <w:shd w:val="clear" w:color="auto" w:fill="auto"/>
          </w:tcPr>
          <w:p w14:paraId="2BCB0F51">
            <w:pPr>
              <w:spacing w:line="302" w:lineRule="auto"/>
              <w:rPr>
                <w:rFonts w:ascii="Arial" w:hAnsi="Calibri"/>
                <w:szCs w:val="21"/>
              </w:rPr>
            </w:pPr>
          </w:p>
          <w:p w14:paraId="2AF09EDD">
            <w:pPr>
              <w:spacing w:line="302" w:lineRule="auto"/>
              <w:rPr>
                <w:rFonts w:ascii="Arial" w:hAnsi="Calibri"/>
                <w:szCs w:val="21"/>
              </w:rPr>
            </w:pPr>
          </w:p>
          <w:p w14:paraId="45AAA3E5">
            <w:pPr>
              <w:pStyle w:val="18"/>
              <w:spacing w:before="78"/>
              <w:ind w:left="368" w:right="118" w:hanging="235"/>
              <w:rPr>
                <w:rFonts w:ascii="仿宋" w:hAnsi="仿宋" w:eastAsia="仿宋" w:cs="仿宋"/>
              </w:rPr>
            </w:pPr>
            <w:r>
              <w:rPr>
                <w:rFonts w:hint="eastAsia" w:ascii="仿宋" w:hAnsi="仿宋" w:eastAsia="仿宋" w:cs="仿宋"/>
                <w:spacing w:val="-6"/>
                <w:lang w:bidi="ar"/>
              </w:rPr>
              <w:t>制度名</w:t>
            </w:r>
            <w:r>
              <w:rPr>
                <w:rFonts w:hint="eastAsia" w:ascii="仿宋" w:hAnsi="仿宋" w:eastAsia="仿宋" w:cs="仿宋"/>
                <w:lang w:bidi="ar"/>
              </w:rPr>
              <w:t>称</w:t>
            </w:r>
          </w:p>
        </w:tc>
        <w:tc>
          <w:tcPr>
            <w:tcW w:w="702" w:type="dxa"/>
            <w:vMerge w:val="restart"/>
            <w:tcBorders>
              <w:top w:val="single" w:color="000000" w:sz="2" w:space="0"/>
              <w:left w:val="single" w:color="000000" w:sz="2" w:space="0"/>
              <w:bottom w:val="nil"/>
              <w:right w:val="single" w:color="000000" w:sz="2" w:space="0"/>
            </w:tcBorders>
            <w:shd w:val="clear" w:color="auto" w:fill="auto"/>
          </w:tcPr>
          <w:p w14:paraId="39911366">
            <w:pPr>
              <w:spacing w:line="451" w:lineRule="auto"/>
              <w:rPr>
                <w:rFonts w:ascii="Arial" w:hAnsi="Calibri"/>
                <w:szCs w:val="21"/>
              </w:rPr>
            </w:pPr>
          </w:p>
          <w:p w14:paraId="7AAB05EB">
            <w:pPr>
              <w:pStyle w:val="18"/>
              <w:spacing w:before="78"/>
              <w:ind w:left="144"/>
              <w:rPr>
                <w:rFonts w:ascii="仿宋" w:hAnsi="仿宋" w:eastAsia="仿宋" w:cs="仿宋"/>
              </w:rPr>
            </w:pPr>
            <w:r>
              <w:rPr>
                <w:rFonts w:hint="eastAsia" w:ascii="仿宋" w:hAnsi="仿宋" w:eastAsia="仿宋" w:cs="仿宋"/>
                <w:spacing w:val="-10"/>
                <w:lang w:bidi="ar"/>
              </w:rPr>
              <w:t>隐患是</w:t>
            </w:r>
          </w:p>
          <w:p w14:paraId="7CCA2940">
            <w:pPr>
              <w:pStyle w:val="18"/>
              <w:spacing w:before="27"/>
              <w:ind w:left="135"/>
              <w:rPr>
                <w:rFonts w:ascii="仿宋" w:hAnsi="仿宋" w:eastAsia="仿宋" w:cs="仿宋"/>
              </w:rPr>
            </w:pPr>
            <w:r>
              <w:rPr>
                <w:rFonts w:hint="eastAsia" w:ascii="仿宋" w:hAnsi="仿宋" w:eastAsia="仿宋" w:cs="仿宋"/>
                <w:spacing w:val="-7"/>
                <w:lang w:bidi="ar"/>
              </w:rPr>
              <w:t>否分级</w:t>
            </w:r>
          </w:p>
          <w:p w14:paraId="2007CDAC">
            <w:pPr>
              <w:pStyle w:val="18"/>
              <w:spacing w:before="28"/>
              <w:ind w:left="261"/>
              <w:rPr>
                <w:rFonts w:ascii="仿宋" w:hAnsi="仿宋" w:eastAsia="仿宋" w:cs="仿宋"/>
              </w:rPr>
            </w:pPr>
            <w:r>
              <w:rPr>
                <w:rFonts w:hint="eastAsia" w:ascii="仿宋" w:hAnsi="仿宋" w:eastAsia="仿宋" w:cs="仿宋"/>
                <w:spacing w:val="-13"/>
                <w:lang w:bidi="ar"/>
              </w:rPr>
              <w:t>奖励</w:t>
            </w:r>
          </w:p>
        </w:tc>
        <w:tc>
          <w:tcPr>
            <w:tcW w:w="2567" w:type="dxa"/>
            <w:gridSpan w:val="3"/>
            <w:tcBorders>
              <w:top w:val="single" w:color="000000" w:sz="2" w:space="0"/>
              <w:left w:val="single" w:color="000000" w:sz="2" w:space="0"/>
              <w:bottom w:val="single" w:color="000000" w:sz="2" w:space="0"/>
              <w:right w:val="single" w:color="000000" w:sz="2" w:space="0"/>
            </w:tcBorders>
            <w:shd w:val="clear" w:color="auto" w:fill="auto"/>
          </w:tcPr>
          <w:p w14:paraId="099DBEC1">
            <w:pPr>
              <w:pStyle w:val="18"/>
              <w:spacing w:before="315"/>
              <w:ind w:left="1295"/>
              <w:rPr>
                <w:rFonts w:ascii="仿宋" w:hAnsi="仿宋" w:eastAsia="仿宋" w:cs="仿宋"/>
              </w:rPr>
            </w:pPr>
            <w:r>
              <w:rPr>
                <w:rFonts w:hint="eastAsia" w:ascii="仿宋" w:hAnsi="仿宋" w:eastAsia="仿宋" w:cs="仿宋"/>
                <w:spacing w:val="-7"/>
                <w:lang w:bidi="ar"/>
              </w:rPr>
              <w:t>一般隐患</w:t>
            </w:r>
          </w:p>
        </w:tc>
        <w:tc>
          <w:tcPr>
            <w:tcW w:w="2108" w:type="dxa"/>
            <w:gridSpan w:val="3"/>
            <w:tcBorders>
              <w:top w:val="single" w:color="000000" w:sz="2" w:space="0"/>
              <w:left w:val="single" w:color="000000" w:sz="2" w:space="0"/>
              <w:bottom w:val="single" w:color="000000" w:sz="2" w:space="0"/>
              <w:right w:val="single" w:color="000000" w:sz="2" w:space="0"/>
            </w:tcBorders>
            <w:shd w:val="clear" w:color="auto" w:fill="auto"/>
          </w:tcPr>
          <w:p w14:paraId="3EBA8D2A">
            <w:pPr>
              <w:pStyle w:val="18"/>
              <w:spacing w:before="315"/>
              <w:ind w:left="978"/>
              <w:rPr>
                <w:rFonts w:ascii="仿宋" w:hAnsi="仿宋" w:eastAsia="仿宋" w:cs="仿宋"/>
              </w:rPr>
            </w:pPr>
            <w:r>
              <w:rPr>
                <w:rFonts w:hint="eastAsia" w:ascii="仿宋" w:hAnsi="仿宋" w:eastAsia="仿宋" w:cs="仿宋"/>
                <w:spacing w:val="-5"/>
                <w:lang w:bidi="ar"/>
              </w:rPr>
              <w:t>重大隐患</w:t>
            </w:r>
          </w:p>
        </w:tc>
        <w:tc>
          <w:tcPr>
            <w:tcW w:w="702" w:type="dxa"/>
            <w:vMerge w:val="restart"/>
            <w:tcBorders>
              <w:top w:val="single" w:color="000000" w:sz="2" w:space="0"/>
              <w:left w:val="single" w:color="000000" w:sz="2" w:space="0"/>
              <w:bottom w:val="nil"/>
              <w:right w:val="single" w:color="000000" w:sz="2" w:space="0"/>
            </w:tcBorders>
            <w:shd w:val="clear" w:color="auto" w:fill="auto"/>
          </w:tcPr>
          <w:p w14:paraId="7A1A92A1">
            <w:pPr>
              <w:spacing w:line="302" w:lineRule="auto"/>
              <w:rPr>
                <w:rFonts w:ascii="Arial" w:hAnsi="Calibri"/>
                <w:szCs w:val="21"/>
              </w:rPr>
            </w:pPr>
          </w:p>
          <w:p w14:paraId="2F9239C7">
            <w:pPr>
              <w:spacing w:line="302" w:lineRule="auto"/>
              <w:rPr>
                <w:rFonts w:ascii="Arial" w:hAnsi="Calibri"/>
                <w:szCs w:val="21"/>
              </w:rPr>
            </w:pPr>
          </w:p>
          <w:p w14:paraId="61775F53">
            <w:pPr>
              <w:pStyle w:val="18"/>
              <w:spacing w:before="78"/>
              <w:ind w:left="127" w:right="116" w:firstLine="15"/>
              <w:rPr>
                <w:rFonts w:ascii="仿宋" w:hAnsi="仿宋" w:eastAsia="仿宋" w:cs="仿宋"/>
              </w:rPr>
            </w:pPr>
            <w:r>
              <w:rPr>
                <w:rFonts w:hint="eastAsia" w:ascii="仿宋" w:hAnsi="仿宋" w:eastAsia="仿宋" w:cs="仿宋"/>
                <w:spacing w:val="-9"/>
                <w:lang w:bidi="ar"/>
              </w:rPr>
              <w:t>奖励费</w:t>
            </w:r>
            <w:r>
              <w:rPr>
                <w:rFonts w:hint="eastAsia" w:ascii="仿宋" w:hAnsi="仿宋" w:eastAsia="仿宋" w:cs="仿宋"/>
                <w:spacing w:val="-4"/>
                <w:lang w:bidi="ar"/>
              </w:rPr>
              <w:t>用出处</w:t>
            </w:r>
          </w:p>
        </w:tc>
        <w:tc>
          <w:tcPr>
            <w:tcW w:w="705" w:type="dxa"/>
            <w:vMerge w:val="restart"/>
            <w:tcBorders>
              <w:top w:val="single" w:color="000000" w:sz="2" w:space="0"/>
              <w:left w:val="single" w:color="000000" w:sz="2" w:space="0"/>
              <w:bottom w:val="nil"/>
              <w:right w:val="single" w:color="000000" w:sz="2" w:space="0"/>
            </w:tcBorders>
            <w:shd w:val="clear" w:color="auto" w:fill="auto"/>
          </w:tcPr>
          <w:p w14:paraId="164855B5">
            <w:pPr>
              <w:spacing w:line="252" w:lineRule="auto"/>
              <w:rPr>
                <w:rFonts w:ascii="Arial" w:hAnsi="Calibri"/>
                <w:szCs w:val="21"/>
              </w:rPr>
            </w:pPr>
          </w:p>
          <w:p w14:paraId="3DA6796C">
            <w:pPr>
              <w:spacing w:line="252" w:lineRule="auto"/>
              <w:rPr>
                <w:rFonts w:ascii="Arial" w:hAnsi="Calibri"/>
                <w:szCs w:val="21"/>
              </w:rPr>
            </w:pPr>
          </w:p>
          <w:p w14:paraId="2AD76BEB">
            <w:pPr>
              <w:spacing w:line="254" w:lineRule="auto"/>
              <w:rPr>
                <w:rFonts w:ascii="Arial" w:hAnsi="Calibri"/>
                <w:szCs w:val="21"/>
              </w:rPr>
            </w:pPr>
          </w:p>
          <w:p w14:paraId="76851E05">
            <w:pPr>
              <w:pStyle w:val="18"/>
              <w:spacing w:before="78"/>
              <w:ind w:left="250"/>
              <w:rPr>
                <w:rFonts w:ascii="仿宋" w:hAnsi="仿宋" w:eastAsia="仿宋" w:cs="仿宋"/>
              </w:rPr>
            </w:pPr>
            <w:r>
              <w:rPr>
                <w:rFonts w:hint="eastAsia" w:ascii="仿宋" w:hAnsi="仿宋" w:eastAsia="仿宋" w:cs="仿宋"/>
                <w:spacing w:val="-7"/>
                <w:lang w:bidi="ar"/>
              </w:rPr>
              <w:t>备注</w:t>
            </w:r>
          </w:p>
        </w:tc>
      </w:tr>
      <w:tr w14:paraId="346AA5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22" w:hRule="atLeast"/>
        </w:trPr>
        <w:tc>
          <w:tcPr>
            <w:tcW w:w="705" w:type="dxa"/>
            <w:vMerge w:val="continue"/>
            <w:tcBorders>
              <w:top w:val="single" w:color="000000" w:sz="2" w:space="0"/>
              <w:left w:val="single" w:color="000000" w:sz="2" w:space="0"/>
              <w:bottom w:val="nil"/>
              <w:right w:val="single" w:color="000000" w:sz="2" w:space="0"/>
            </w:tcBorders>
            <w:shd w:val="clear" w:color="auto" w:fill="auto"/>
          </w:tcPr>
          <w:p w14:paraId="0DDADD4A">
            <w:pPr>
              <w:rPr>
                <w:sz w:val="20"/>
                <w:szCs w:val="20"/>
              </w:rPr>
            </w:pPr>
          </w:p>
        </w:tc>
        <w:tc>
          <w:tcPr>
            <w:tcW w:w="1412" w:type="dxa"/>
            <w:vMerge w:val="continue"/>
            <w:tcBorders>
              <w:top w:val="single" w:color="000000" w:sz="2" w:space="0"/>
              <w:left w:val="single" w:color="000000" w:sz="2" w:space="0"/>
              <w:bottom w:val="nil"/>
              <w:right w:val="single" w:color="000000" w:sz="2" w:space="0"/>
            </w:tcBorders>
            <w:shd w:val="clear" w:color="auto" w:fill="auto"/>
          </w:tcPr>
          <w:p w14:paraId="1FA017C8">
            <w:pPr>
              <w:rPr>
                <w:sz w:val="20"/>
                <w:szCs w:val="20"/>
              </w:rPr>
            </w:pPr>
          </w:p>
        </w:tc>
        <w:tc>
          <w:tcPr>
            <w:tcW w:w="702" w:type="dxa"/>
            <w:vMerge w:val="continue"/>
            <w:tcBorders>
              <w:top w:val="single" w:color="000000" w:sz="2" w:space="0"/>
              <w:left w:val="single" w:color="000000" w:sz="2" w:space="0"/>
              <w:bottom w:val="nil"/>
              <w:right w:val="single" w:color="000000" w:sz="2" w:space="0"/>
            </w:tcBorders>
            <w:shd w:val="clear" w:color="auto" w:fill="auto"/>
          </w:tcPr>
          <w:p w14:paraId="74108453">
            <w:pPr>
              <w:rPr>
                <w:sz w:val="20"/>
                <w:szCs w:val="20"/>
              </w:rPr>
            </w:pPr>
          </w:p>
        </w:tc>
        <w:tc>
          <w:tcPr>
            <w:tcW w:w="702" w:type="dxa"/>
            <w:vMerge w:val="continue"/>
            <w:tcBorders>
              <w:top w:val="single" w:color="000000" w:sz="2" w:space="0"/>
              <w:left w:val="single" w:color="000000" w:sz="2" w:space="0"/>
              <w:bottom w:val="nil"/>
              <w:right w:val="single" w:color="000000" w:sz="2" w:space="0"/>
            </w:tcBorders>
            <w:shd w:val="clear" w:color="auto" w:fill="auto"/>
          </w:tcPr>
          <w:p w14:paraId="16E9F2E1">
            <w:pPr>
              <w:rPr>
                <w:sz w:val="20"/>
                <w:szCs w:val="20"/>
              </w:rPr>
            </w:pPr>
          </w:p>
        </w:tc>
        <w:tc>
          <w:tcPr>
            <w:tcW w:w="907" w:type="dxa"/>
            <w:tcBorders>
              <w:top w:val="single" w:color="000000" w:sz="2" w:space="0"/>
              <w:left w:val="single" w:color="000000" w:sz="2" w:space="0"/>
              <w:bottom w:val="single" w:color="000000" w:sz="2" w:space="0"/>
              <w:right w:val="single" w:color="000000" w:sz="2" w:space="0"/>
            </w:tcBorders>
            <w:shd w:val="clear" w:color="auto" w:fill="auto"/>
          </w:tcPr>
          <w:p w14:paraId="58750F8A">
            <w:pPr>
              <w:pStyle w:val="18"/>
              <w:spacing w:before="251" w:line="242" w:lineRule="auto"/>
              <w:ind w:left="260" w:right="138" w:hanging="100"/>
              <w:rPr>
                <w:rFonts w:ascii="仿宋" w:hAnsi="仿宋" w:eastAsia="仿宋" w:cs="仿宋"/>
              </w:rPr>
            </w:pPr>
            <w:r>
              <w:rPr>
                <w:rFonts w:hint="eastAsia" w:ascii="仿宋" w:hAnsi="仿宋" w:eastAsia="仿宋" w:cs="仿宋"/>
                <w:spacing w:val="-7"/>
                <w:lang w:bidi="ar"/>
              </w:rPr>
              <w:t>奖励标准</w:t>
            </w:r>
            <w:r>
              <w:rPr>
                <w:rFonts w:hint="eastAsia" w:ascii="仿宋" w:hAnsi="仿宋" w:eastAsia="仿宋" w:cs="仿宋"/>
                <w:spacing w:val="-8"/>
                <w:lang w:bidi="ar"/>
              </w:rPr>
              <w:t>（</w:t>
            </w:r>
            <w:r>
              <w:rPr>
                <w:rFonts w:hint="eastAsia" w:ascii="仿宋" w:hAnsi="仿宋" w:eastAsia="仿宋" w:cs="仿宋"/>
                <w:spacing w:val="-71"/>
                <w:lang w:bidi="ar"/>
              </w:rPr>
              <w:t xml:space="preserve"> </w:t>
            </w:r>
            <w:r>
              <w:rPr>
                <w:rFonts w:hint="eastAsia" w:ascii="仿宋" w:hAnsi="仿宋" w:eastAsia="仿宋" w:cs="仿宋"/>
                <w:spacing w:val="-8"/>
                <w:lang w:bidi="ar"/>
              </w:rPr>
              <w:t>元）</w:t>
            </w:r>
          </w:p>
        </w:tc>
        <w:tc>
          <w:tcPr>
            <w:tcW w:w="907" w:type="dxa"/>
            <w:tcBorders>
              <w:top w:val="single" w:color="000000" w:sz="2" w:space="0"/>
              <w:left w:val="single" w:color="000000" w:sz="2" w:space="0"/>
              <w:bottom w:val="single" w:color="000000" w:sz="2" w:space="0"/>
              <w:right w:val="single" w:color="000000" w:sz="2" w:space="0"/>
            </w:tcBorders>
            <w:shd w:val="clear" w:color="auto" w:fill="auto"/>
          </w:tcPr>
          <w:p w14:paraId="15107A29">
            <w:pPr>
              <w:pStyle w:val="18"/>
              <w:spacing w:before="253"/>
              <w:ind w:left="262" w:right="136" w:hanging="100"/>
              <w:rPr>
                <w:rFonts w:ascii="仿宋" w:hAnsi="仿宋" w:eastAsia="仿宋" w:cs="仿宋"/>
              </w:rPr>
            </w:pPr>
            <w:r>
              <w:rPr>
                <w:rFonts w:hint="eastAsia" w:ascii="仿宋" w:hAnsi="仿宋" w:eastAsia="仿宋" w:cs="仿宋"/>
                <w:spacing w:val="-7"/>
                <w:lang w:bidi="ar"/>
              </w:rPr>
              <w:t>奖励数量</w:t>
            </w:r>
            <w:r>
              <w:rPr>
                <w:rFonts w:hint="eastAsia" w:ascii="仿宋" w:hAnsi="仿宋" w:eastAsia="仿宋" w:cs="仿宋"/>
                <w:spacing w:val="8"/>
                <w:lang w:bidi="ar"/>
              </w:rPr>
              <w:t>（项）</w:t>
            </w:r>
          </w:p>
        </w:tc>
        <w:tc>
          <w:tcPr>
            <w:tcW w:w="753" w:type="dxa"/>
            <w:tcBorders>
              <w:top w:val="single" w:color="000000" w:sz="2" w:space="0"/>
              <w:left w:val="single" w:color="000000" w:sz="2" w:space="0"/>
              <w:bottom w:val="single" w:color="000000" w:sz="2" w:space="0"/>
              <w:right w:val="single" w:color="000000" w:sz="2" w:space="0"/>
            </w:tcBorders>
            <w:shd w:val="clear" w:color="auto" w:fill="auto"/>
          </w:tcPr>
          <w:p w14:paraId="32228992">
            <w:pPr>
              <w:pStyle w:val="18"/>
              <w:spacing w:before="252"/>
              <w:ind w:left="121" w:firstLine="56"/>
              <w:rPr>
                <w:rFonts w:ascii="仿宋" w:hAnsi="仿宋" w:eastAsia="仿宋" w:cs="仿宋"/>
              </w:rPr>
            </w:pPr>
            <w:r>
              <w:rPr>
                <w:rFonts w:hint="eastAsia" w:ascii="仿宋" w:hAnsi="仿宋" w:eastAsia="仿宋" w:cs="仿宋"/>
                <w:spacing w:val="-11"/>
                <w:lang w:bidi="ar"/>
              </w:rPr>
              <w:t>奖励金</w:t>
            </w:r>
            <w:r>
              <w:rPr>
                <w:rFonts w:hint="eastAsia" w:ascii="仿宋" w:hAnsi="仿宋" w:eastAsia="仿宋" w:cs="仿宋"/>
                <w:spacing w:val="-27"/>
                <w:lang w:bidi="ar"/>
              </w:rPr>
              <w:t>额（</w:t>
            </w:r>
            <w:r>
              <w:rPr>
                <w:rFonts w:hint="eastAsia" w:ascii="仿宋" w:hAnsi="仿宋" w:eastAsia="仿宋" w:cs="仿宋"/>
                <w:spacing w:val="-71"/>
                <w:lang w:bidi="ar"/>
              </w:rPr>
              <w:t xml:space="preserve"> </w:t>
            </w:r>
            <w:r>
              <w:rPr>
                <w:rFonts w:hint="eastAsia" w:ascii="仿宋" w:hAnsi="仿宋" w:eastAsia="仿宋" w:cs="仿宋"/>
                <w:spacing w:val="-27"/>
                <w:lang w:bidi="ar"/>
              </w:rPr>
              <w:t>元）</w:t>
            </w:r>
          </w:p>
        </w:tc>
        <w:tc>
          <w:tcPr>
            <w:tcW w:w="702" w:type="dxa"/>
            <w:tcBorders>
              <w:top w:val="single" w:color="000000" w:sz="2" w:space="0"/>
              <w:left w:val="single" w:color="000000" w:sz="2" w:space="0"/>
              <w:bottom w:val="single" w:color="000000" w:sz="2" w:space="0"/>
              <w:right w:val="single" w:color="000000" w:sz="2" w:space="0"/>
            </w:tcBorders>
            <w:shd w:val="clear" w:color="auto" w:fill="auto"/>
          </w:tcPr>
          <w:p w14:paraId="5E3C5ADB">
            <w:pPr>
              <w:pStyle w:val="18"/>
              <w:spacing w:before="253"/>
              <w:ind w:left="120" w:firstLine="22"/>
              <w:rPr>
                <w:rFonts w:ascii="仿宋" w:hAnsi="仿宋" w:eastAsia="仿宋" w:cs="仿宋"/>
              </w:rPr>
            </w:pPr>
            <w:r>
              <w:rPr>
                <w:rFonts w:hint="eastAsia" w:ascii="仿宋" w:hAnsi="仿宋" w:eastAsia="仿宋" w:cs="仿宋"/>
                <w:spacing w:val="-12"/>
                <w:lang w:bidi="ar"/>
              </w:rPr>
              <w:t>奖励标</w:t>
            </w:r>
            <w:r>
              <w:rPr>
                <w:rFonts w:hint="eastAsia" w:ascii="仿宋" w:hAnsi="仿宋" w:eastAsia="仿宋" w:cs="仿宋"/>
                <w:spacing w:val="-44"/>
                <w:lang w:bidi="ar"/>
              </w:rPr>
              <w:t>准（</w:t>
            </w:r>
            <w:r>
              <w:rPr>
                <w:rFonts w:hint="eastAsia" w:ascii="仿宋" w:hAnsi="仿宋" w:eastAsia="仿宋" w:cs="仿宋"/>
                <w:spacing w:val="-71"/>
                <w:lang w:bidi="ar"/>
              </w:rPr>
              <w:t xml:space="preserve"> </w:t>
            </w:r>
            <w:r>
              <w:rPr>
                <w:rFonts w:hint="eastAsia" w:ascii="仿宋" w:hAnsi="仿宋" w:eastAsia="仿宋" w:cs="仿宋"/>
                <w:spacing w:val="-44"/>
                <w:lang w:bidi="ar"/>
              </w:rPr>
              <w:t>元）</w:t>
            </w:r>
          </w:p>
        </w:tc>
        <w:tc>
          <w:tcPr>
            <w:tcW w:w="702" w:type="dxa"/>
            <w:tcBorders>
              <w:top w:val="single" w:color="000000" w:sz="2" w:space="0"/>
              <w:left w:val="single" w:color="000000" w:sz="2" w:space="0"/>
              <w:bottom w:val="single" w:color="000000" w:sz="2" w:space="0"/>
              <w:right w:val="single" w:color="000000" w:sz="2" w:space="0"/>
            </w:tcBorders>
            <w:shd w:val="clear" w:color="auto" w:fill="auto"/>
          </w:tcPr>
          <w:p w14:paraId="7F6AAFB1">
            <w:pPr>
              <w:pStyle w:val="18"/>
              <w:spacing w:before="253"/>
              <w:ind w:left="121" w:firstLine="21"/>
              <w:rPr>
                <w:rFonts w:ascii="仿宋" w:hAnsi="仿宋" w:eastAsia="仿宋" w:cs="仿宋"/>
              </w:rPr>
            </w:pPr>
            <w:r>
              <w:rPr>
                <w:rFonts w:hint="eastAsia" w:ascii="仿宋" w:hAnsi="仿宋" w:eastAsia="仿宋" w:cs="仿宋"/>
                <w:spacing w:val="-12"/>
                <w:lang w:bidi="ar"/>
              </w:rPr>
              <w:t>奖励数</w:t>
            </w:r>
            <w:r>
              <w:rPr>
                <w:rFonts w:hint="eastAsia" w:ascii="仿宋" w:hAnsi="仿宋" w:eastAsia="仿宋" w:cs="仿宋"/>
                <w:spacing w:val="-32"/>
                <w:lang w:bidi="ar"/>
              </w:rPr>
              <w:t>量（项）</w:t>
            </w:r>
          </w:p>
        </w:tc>
        <w:tc>
          <w:tcPr>
            <w:tcW w:w="702" w:type="dxa"/>
            <w:tcBorders>
              <w:top w:val="single" w:color="000000" w:sz="2" w:space="0"/>
              <w:left w:val="single" w:color="000000" w:sz="2" w:space="0"/>
              <w:bottom w:val="single" w:color="000000" w:sz="2" w:space="0"/>
              <w:right w:val="single" w:color="000000" w:sz="2" w:space="0"/>
            </w:tcBorders>
            <w:shd w:val="clear" w:color="auto" w:fill="auto"/>
          </w:tcPr>
          <w:p w14:paraId="6A47860A">
            <w:pPr>
              <w:pStyle w:val="18"/>
              <w:spacing w:before="252"/>
              <w:ind w:left="121" w:firstLine="21"/>
              <w:rPr>
                <w:rFonts w:ascii="仿宋" w:hAnsi="仿宋" w:eastAsia="仿宋" w:cs="仿宋"/>
              </w:rPr>
            </w:pPr>
            <w:r>
              <w:rPr>
                <w:rFonts w:hint="eastAsia" w:ascii="仿宋" w:hAnsi="仿宋" w:eastAsia="仿宋" w:cs="仿宋"/>
                <w:spacing w:val="-12"/>
                <w:lang w:bidi="ar"/>
              </w:rPr>
              <w:t>奖励金</w:t>
            </w:r>
            <w:r>
              <w:rPr>
                <w:rFonts w:hint="eastAsia" w:ascii="仿宋" w:hAnsi="仿宋" w:eastAsia="仿宋" w:cs="仿宋"/>
                <w:spacing w:val="-44"/>
                <w:lang w:bidi="ar"/>
              </w:rPr>
              <w:t>额（</w:t>
            </w:r>
            <w:r>
              <w:rPr>
                <w:rFonts w:hint="eastAsia" w:ascii="仿宋" w:hAnsi="仿宋" w:eastAsia="仿宋" w:cs="仿宋"/>
                <w:spacing w:val="-72"/>
                <w:lang w:bidi="ar"/>
              </w:rPr>
              <w:t xml:space="preserve"> </w:t>
            </w:r>
            <w:r>
              <w:rPr>
                <w:rFonts w:hint="eastAsia" w:ascii="仿宋" w:hAnsi="仿宋" w:eastAsia="仿宋" w:cs="仿宋"/>
                <w:spacing w:val="-44"/>
                <w:lang w:bidi="ar"/>
              </w:rPr>
              <w:t>元）</w:t>
            </w:r>
          </w:p>
        </w:tc>
        <w:tc>
          <w:tcPr>
            <w:tcW w:w="702" w:type="dxa"/>
            <w:vMerge w:val="continue"/>
            <w:tcBorders>
              <w:top w:val="single" w:color="000000" w:sz="2" w:space="0"/>
              <w:left w:val="single" w:color="000000" w:sz="2" w:space="0"/>
              <w:bottom w:val="nil"/>
              <w:right w:val="single" w:color="000000" w:sz="2" w:space="0"/>
            </w:tcBorders>
            <w:shd w:val="clear" w:color="auto" w:fill="auto"/>
          </w:tcPr>
          <w:p w14:paraId="23E6D30D">
            <w:pPr>
              <w:rPr>
                <w:sz w:val="20"/>
                <w:szCs w:val="20"/>
              </w:rPr>
            </w:pPr>
          </w:p>
        </w:tc>
        <w:tc>
          <w:tcPr>
            <w:tcW w:w="705" w:type="dxa"/>
            <w:vMerge w:val="continue"/>
            <w:tcBorders>
              <w:top w:val="single" w:color="000000" w:sz="2" w:space="0"/>
              <w:left w:val="single" w:color="000000" w:sz="2" w:space="0"/>
              <w:bottom w:val="nil"/>
              <w:right w:val="single" w:color="000000" w:sz="2" w:space="0"/>
            </w:tcBorders>
            <w:shd w:val="clear" w:color="auto" w:fill="auto"/>
          </w:tcPr>
          <w:p w14:paraId="68A295F9">
            <w:pPr>
              <w:rPr>
                <w:sz w:val="20"/>
                <w:szCs w:val="20"/>
              </w:rPr>
            </w:pPr>
          </w:p>
        </w:tc>
      </w:tr>
      <w:tr w14:paraId="4E2859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6" w:hRule="atLeast"/>
        </w:trPr>
        <w:tc>
          <w:tcPr>
            <w:tcW w:w="705" w:type="dxa"/>
            <w:tcBorders>
              <w:top w:val="single" w:color="000000" w:sz="2" w:space="0"/>
              <w:left w:val="single" w:color="000000" w:sz="2" w:space="0"/>
              <w:bottom w:val="single" w:color="000000" w:sz="2" w:space="0"/>
              <w:right w:val="single" w:color="000000" w:sz="2" w:space="0"/>
            </w:tcBorders>
            <w:shd w:val="clear" w:color="auto" w:fill="auto"/>
          </w:tcPr>
          <w:p w14:paraId="01955F16">
            <w:pPr>
              <w:rPr>
                <w:rFonts w:ascii="Arial" w:hAnsi="Calibri"/>
                <w:szCs w:val="21"/>
              </w:rPr>
            </w:pPr>
          </w:p>
        </w:tc>
        <w:tc>
          <w:tcPr>
            <w:tcW w:w="1412" w:type="dxa"/>
            <w:tcBorders>
              <w:top w:val="single" w:color="000000" w:sz="2" w:space="0"/>
              <w:left w:val="single" w:color="000000" w:sz="2" w:space="0"/>
              <w:bottom w:val="single" w:color="000000" w:sz="2" w:space="0"/>
              <w:right w:val="single" w:color="000000" w:sz="2" w:space="0"/>
            </w:tcBorders>
            <w:shd w:val="clear" w:color="auto" w:fill="auto"/>
          </w:tcPr>
          <w:p w14:paraId="337815A7">
            <w:pPr>
              <w:rPr>
                <w:rFonts w:ascii="Arial" w:hAnsi="Calibri"/>
                <w:szCs w:val="21"/>
              </w:rPr>
            </w:pPr>
          </w:p>
        </w:tc>
        <w:tc>
          <w:tcPr>
            <w:tcW w:w="702" w:type="dxa"/>
            <w:tcBorders>
              <w:top w:val="single" w:color="000000" w:sz="2" w:space="0"/>
              <w:left w:val="single" w:color="000000" w:sz="2" w:space="0"/>
              <w:bottom w:val="single" w:color="000000" w:sz="2" w:space="0"/>
              <w:right w:val="single" w:color="000000" w:sz="2" w:space="0"/>
            </w:tcBorders>
            <w:shd w:val="clear" w:color="auto" w:fill="auto"/>
          </w:tcPr>
          <w:p w14:paraId="43DB7915">
            <w:pPr>
              <w:rPr>
                <w:rFonts w:ascii="Arial" w:hAnsi="Calibri"/>
                <w:szCs w:val="21"/>
              </w:rPr>
            </w:pPr>
          </w:p>
        </w:tc>
        <w:tc>
          <w:tcPr>
            <w:tcW w:w="702" w:type="dxa"/>
            <w:tcBorders>
              <w:top w:val="single" w:color="000000" w:sz="2" w:space="0"/>
              <w:left w:val="single" w:color="000000" w:sz="2" w:space="0"/>
              <w:bottom w:val="single" w:color="000000" w:sz="2" w:space="0"/>
              <w:right w:val="single" w:color="000000" w:sz="2" w:space="0"/>
            </w:tcBorders>
            <w:shd w:val="clear" w:color="auto" w:fill="auto"/>
          </w:tcPr>
          <w:p w14:paraId="4AD8B322">
            <w:pPr>
              <w:rPr>
                <w:rFonts w:ascii="Arial" w:hAnsi="Calibri"/>
                <w:szCs w:val="21"/>
              </w:rPr>
            </w:pPr>
          </w:p>
        </w:tc>
        <w:tc>
          <w:tcPr>
            <w:tcW w:w="907" w:type="dxa"/>
            <w:tcBorders>
              <w:top w:val="single" w:color="000000" w:sz="2" w:space="0"/>
              <w:left w:val="single" w:color="000000" w:sz="2" w:space="0"/>
              <w:bottom w:val="single" w:color="000000" w:sz="2" w:space="0"/>
              <w:right w:val="single" w:color="000000" w:sz="2" w:space="0"/>
            </w:tcBorders>
            <w:shd w:val="clear" w:color="auto" w:fill="auto"/>
          </w:tcPr>
          <w:p w14:paraId="3B29D5CE">
            <w:pPr>
              <w:rPr>
                <w:rFonts w:ascii="Arial" w:hAnsi="Calibri"/>
                <w:szCs w:val="21"/>
              </w:rPr>
            </w:pPr>
          </w:p>
        </w:tc>
        <w:tc>
          <w:tcPr>
            <w:tcW w:w="907" w:type="dxa"/>
            <w:tcBorders>
              <w:top w:val="single" w:color="000000" w:sz="2" w:space="0"/>
              <w:left w:val="single" w:color="000000" w:sz="2" w:space="0"/>
              <w:bottom w:val="single" w:color="000000" w:sz="2" w:space="0"/>
              <w:right w:val="single" w:color="000000" w:sz="2" w:space="0"/>
            </w:tcBorders>
            <w:shd w:val="clear" w:color="auto" w:fill="auto"/>
          </w:tcPr>
          <w:p w14:paraId="2FFBCA97">
            <w:pPr>
              <w:rPr>
                <w:rFonts w:ascii="Arial" w:hAnsi="Calibri"/>
                <w:szCs w:val="21"/>
              </w:rPr>
            </w:pPr>
          </w:p>
        </w:tc>
        <w:tc>
          <w:tcPr>
            <w:tcW w:w="753" w:type="dxa"/>
            <w:tcBorders>
              <w:top w:val="single" w:color="000000" w:sz="2" w:space="0"/>
              <w:left w:val="single" w:color="000000" w:sz="2" w:space="0"/>
              <w:bottom w:val="single" w:color="000000" w:sz="2" w:space="0"/>
              <w:right w:val="single" w:color="000000" w:sz="2" w:space="0"/>
            </w:tcBorders>
            <w:shd w:val="clear" w:color="auto" w:fill="auto"/>
          </w:tcPr>
          <w:p w14:paraId="0CD12A9F">
            <w:pPr>
              <w:rPr>
                <w:rFonts w:ascii="Arial" w:hAnsi="Calibri"/>
                <w:szCs w:val="21"/>
              </w:rPr>
            </w:pPr>
          </w:p>
        </w:tc>
        <w:tc>
          <w:tcPr>
            <w:tcW w:w="702" w:type="dxa"/>
            <w:tcBorders>
              <w:top w:val="single" w:color="000000" w:sz="2" w:space="0"/>
              <w:left w:val="single" w:color="000000" w:sz="2" w:space="0"/>
              <w:bottom w:val="single" w:color="000000" w:sz="2" w:space="0"/>
              <w:right w:val="single" w:color="000000" w:sz="2" w:space="0"/>
            </w:tcBorders>
            <w:shd w:val="clear" w:color="auto" w:fill="auto"/>
          </w:tcPr>
          <w:p w14:paraId="6E421A18">
            <w:pPr>
              <w:rPr>
                <w:rFonts w:ascii="Arial" w:hAnsi="Calibri"/>
                <w:szCs w:val="21"/>
              </w:rPr>
            </w:pPr>
          </w:p>
        </w:tc>
        <w:tc>
          <w:tcPr>
            <w:tcW w:w="702" w:type="dxa"/>
            <w:tcBorders>
              <w:top w:val="single" w:color="000000" w:sz="2" w:space="0"/>
              <w:left w:val="single" w:color="000000" w:sz="2" w:space="0"/>
              <w:bottom w:val="single" w:color="000000" w:sz="2" w:space="0"/>
              <w:right w:val="single" w:color="000000" w:sz="2" w:space="0"/>
            </w:tcBorders>
            <w:shd w:val="clear" w:color="auto" w:fill="auto"/>
          </w:tcPr>
          <w:p w14:paraId="15DC3B81">
            <w:pPr>
              <w:rPr>
                <w:rFonts w:ascii="Arial" w:hAnsi="Calibri"/>
                <w:szCs w:val="21"/>
              </w:rPr>
            </w:pPr>
          </w:p>
        </w:tc>
        <w:tc>
          <w:tcPr>
            <w:tcW w:w="702" w:type="dxa"/>
            <w:tcBorders>
              <w:top w:val="single" w:color="000000" w:sz="2" w:space="0"/>
              <w:left w:val="single" w:color="000000" w:sz="2" w:space="0"/>
              <w:bottom w:val="single" w:color="000000" w:sz="2" w:space="0"/>
              <w:right w:val="single" w:color="000000" w:sz="2" w:space="0"/>
            </w:tcBorders>
            <w:shd w:val="clear" w:color="auto" w:fill="auto"/>
          </w:tcPr>
          <w:p w14:paraId="0A9D2ECE">
            <w:pPr>
              <w:rPr>
                <w:rFonts w:ascii="Arial" w:hAnsi="Calibri"/>
                <w:szCs w:val="21"/>
              </w:rPr>
            </w:pPr>
          </w:p>
        </w:tc>
        <w:tc>
          <w:tcPr>
            <w:tcW w:w="702" w:type="dxa"/>
            <w:tcBorders>
              <w:top w:val="single" w:color="000000" w:sz="2" w:space="0"/>
              <w:left w:val="single" w:color="000000" w:sz="2" w:space="0"/>
              <w:bottom w:val="single" w:color="000000" w:sz="2" w:space="0"/>
              <w:right w:val="single" w:color="000000" w:sz="2" w:space="0"/>
            </w:tcBorders>
            <w:shd w:val="clear" w:color="auto" w:fill="auto"/>
          </w:tcPr>
          <w:p w14:paraId="68A45F02">
            <w:pPr>
              <w:rPr>
                <w:rFonts w:ascii="Arial" w:hAnsi="Calibri"/>
                <w:szCs w:val="21"/>
              </w:rPr>
            </w:pPr>
          </w:p>
        </w:tc>
        <w:tc>
          <w:tcPr>
            <w:tcW w:w="705" w:type="dxa"/>
            <w:tcBorders>
              <w:top w:val="single" w:color="000000" w:sz="2" w:space="0"/>
              <w:left w:val="single" w:color="000000" w:sz="2" w:space="0"/>
              <w:bottom w:val="single" w:color="000000" w:sz="2" w:space="0"/>
              <w:right w:val="single" w:color="000000" w:sz="2" w:space="0"/>
            </w:tcBorders>
            <w:shd w:val="clear" w:color="auto" w:fill="auto"/>
          </w:tcPr>
          <w:p w14:paraId="6B44530B">
            <w:pPr>
              <w:rPr>
                <w:rFonts w:ascii="Arial" w:hAnsi="Calibri"/>
                <w:szCs w:val="21"/>
              </w:rPr>
            </w:pPr>
          </w:p>
        </w:tc>
      </w:tr>
      <w:tr w14:paraId="639824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6" w:hRule="atLeast"/>
        </w:trPr>
        <w:tc>
          <w:tcPr>
            <w:tcW w:w="705" w:type="dxa"/>
            <w:tcBorders>
              <w:top w:val="single" w:color="000000" w:sz="2" w:space="0"/>
              <w:left w:val="single" w:color="000000" w:sz="2" w:space="0"/>
              <w:bottom w:val="single" w:color="000000" w:sz="2" w:space="0"/>
              <w:right w:val="single" w:color="000000" w:sz="2" w:space="0"/>
            </w:tcBorders>
            <w:shd w:val="clear" w:color="auto" w:fill="auto"/>
          </w:tcPr>
          <w:p w14:paraId="22B9066D">
            <w:pPr>
              <w:rPr>
                <w:rFonts w:ascii="Arial" w:hAnsi="Calibri"/>
                <w:szCs w:val="21"/>
              </w:rPr>
            </w:pPr>
          </w:p>
        </w:tc>
        <w:tc>
          <w:tcPr>
            <w:tcW w:w="1412" w:type="dxa"/>
            <w:tcBorders>
              <w:top w:val="single" w:color="000000" w:sz="2" w:space="0"/>
              <w:left w:val="single" w:color="000000" w:sz="2" w:space="0"/>
              <w:bottom w:val="single" w:color="000000" w:sz="2" w:space="0"/>
              <w:right w:val="single" w:color="000000" w:sz="2" w:space="0"/>
            </w:tcBorders>
            <w:shd w:val="clear" w:color="auto" w:fill="auto"/>
          </w:tcPr>
          <w:p w14:paraId="0E94A7F4">
            <w:pPr>
              <w:rPr>
                <w:rFonts w:ascii="Arial" w:hAnsi="Calibri"/>
                <w:szCs w:val="21"/>
              </w:rPr>
            </w:pPr>
          </w:p>
        </w:tc>
        <w:tc>
          <w:tcPr>
            <w:tcW w:w="702" w:type="dxa"/>
            <w:tcBorders>
              <w:top w:val="single" w:color="000000" w:sz="2" w:space="0"/>
              <w:left w:val="single" w:color="000000" w:sz="2" w:space="0"/>
              <w:bottom w:val="single" w:color="000000" w:sz="2" w:space="0"/>
              <w:right w:val="single" w:color="000000" w:sz="2" w:space="0"/>
            </w:tcBorders>
            <w:shd w:val="clear" w:color="auto" w:fill="auto"/>
          </w:tcPr>
          <w:p w14:paraId="11D77CB4">
            <w:pPr>
              <w:rPr>
                <w:rFonts w:ascii="Arial" w:hAnsi="Calibri"/>
                <w:szCs w:val="21"/>
              </w:rPr>
            </w:pPr>
          </w:p>
        </w:tc>
        <w:tc>
          <w:tcPr>
            <w:tcW w:w="702" w:type="dxa"/>
            <w:tcBorders>
              <w:top w:val="single" w:color="000000" w:sz="2" w:space="0"/>
              <w:left w:val="single" w:color="000000" w:sz="2" w:space="0"/>
              <w:bottom w:val="single" w:color="000000" w:sz="2" w:space="0"/>
              <w:right w:val="single" w:color="000000" w:sz="2" w:space="0"/>
            </w:tcBorders>
            <w:shd w:val="clear" w:color="auto" w:fill="auto"/>
          </w:tcPr>
          <w:p w14:paraId="2D96A7DF">
            <w:pPr>
              <w:rPr>
                <w:rFonts w:ascii="Arial" w:hAnsi="Calibri"/>
                <w:szCs w:val="21"/>
              </w:rPr>
            </w:pPr>
          </w:p>
        </w:tc>
        <w:tc>
          <w:tcPr>
            <w:tcW w:w="907" w:type="dxa"/>
            <w:tcBorders>
              <w:top w:val="single" w:color="000000" w:sz="2" w:space="0"/>
              <w:left w:val="single" w:color="000000" w:sz="2" w:space="0"/>
              <w:bottom w:val="single" w:color="000000" w:sz="2" w:space="0"/>
              <w:right w:val="single" w:color="000000" w:sz="2" w:space="0"/>
            </w:tcBorders>
            <w:shd w:val="clear" w:color="auto" w:fill="auto"/>
          </w:tcPr>
          <w:p w14:paraId="356E7A44">
            <w:pPr>
              <w:rPr>
                <w:rFonts w:ascii="Arial" w:hAnsi="Calibri"/>
                <w:szCs w:val="21"/>
              </w:rPr>
            </w:pPr>
          </w:p>
        </w:tc>
        <w:tc>
          <w:tcPr>
            <w:tcW w:w="907" w:type="dxa"/>
            <w:tcBorders>
              <w:top w:val="single" w:color="000000" w:sz="2" w:space="0"/>
              <w:left w:val="single" w:color="000000" w:sz="2" w:space="0"/>
              <w:bottom w:val="single" w:color="000000" w:sz="2" w:space="0"/>
              <w:right w:val="single" w:color="000000" w:sz="2" w:space="0"/>
            </w:tcBorders>
            <w:shd w:val="clear" w:color="auto" w:fill="auto"/>
          </w:tcPr>
          <w:p w14:paraId="3B8E4CD1">
            <w:pPr>
              <w:rPr>
                <w:rFonts w:ascii="Arial" w:hAnsi="Calibri"/>
                <w:szCs w:val="21"/>
              </w:rPr>
            </w:pPr>
          </w:p>
        </w:tc>
        <w:tc>
          <w:tcPr>
            <w:tcW w:w="753" w:type="dxa"/>
            <w:tcBorders>
              <w:top w:val="single" w:color="000000" w:sz="2" w:space="0"/>
              <w:left w:val="single" w:color="000000" w:sz="2" w:space="0"/>
              <w:bottom w:val="single" w:color="000000" w:sz="2" w:space="0"/>
              <w:right w:val="single" w:color="000000" w:sz="2" w:space="0"/>
            </w:tcBorders>
            <w:shd w:val="clear" w:color="auto" w:fill="auto"/>
          </w:tcPr>
          <w:p w14:paraId="3088A8DA">
            <w:pPr>
              <w:rPr>
                <w:rFonts w:ascii="Arial" w:hAnsi="Calibri"/>
                <w:szCs w:val="21"/>
              </w:rPr>
            </w:pPr>
          </w:p>
        </w:tc>
        <w:tc>
          <w:tcPr>
            <w:tcW w:w="702" w:type="dxa"/>
            <w:tcBorders>
              <w:top w:val="single" w:color="000000" w:sz="2" w:space="0"/>
              <w:left w:val="single" w:color="000000" w:sz="2" w:space="0"/>
              <w:bottom w:val="single" w:color="000000" w:sz="2" w:space="0"/>
              <w:right w:val="single" w:color="000000" w:sz="2" w:space="0"/>
            </w:tcBorders>
            <w:shd w:val="clear" w:color="auto" w:fill="auto"/>
          </w:tcPr>
          <w:p w14:paraId="734A5BF8">
            <w:pPr>
              <w:rPr>
                <w:rFonts w:ascii="Arial" w:hAnsi="Calibri"/>
                <w:szCs w:val="21"/>
              </w:rPr>
            </w:pPr>
          </w:p>
        </w:tc>
        <w:tc>
          <w:tcPr>
            <w:tcW w:w="702" w:type="dxa"/>
            <w:tcBorders>
              <w:top w:val="single" w:color="000000" w:sz="2" w:space="0"/>
              <w:left w:val="single" w:color="000000" w:sz="2" w:space="0"/>
              <w:bottom w:val="single" w:color="000000" w:sz="2" w:space="0"/>
              <w:right w:val="single" w:color="000000" w:sz="2" w:space="0"/>
            </w:tcBorders>
            <w:shd w:val="clear" w:color="auto" w:fill="auto"/>
          </w:tcPr>
          <w:p w14:paraId="1D48DB52">
            <w:pPr>
              <w:rPr>
                <w:rFonts w:ascii="Arial" w:hAnsi="Calibri"/>
                <w:szCs w:val="21"/>
              </w:rPr>
            </w:pPr>
          </w:p>
        </w:tc>
        <w:tc>
          <w:tcPr>
            <w:tcW w:w="702" w:type="dxa"/>
            <w:tcBorders>
              <w:top w:val="single" w:color="000000" w:sz="2" w:space="0"/>
              <w:left w:val="single" w:color="000000" w:sz="2" w:space="0"/>
              <w:bottom w:val="single" w:color="000000" w:sz="2" w:space="0"/>
              <w:right w:val="single" w:color="000000" w:sz="2" w:space="0"/>
            </w:tcBorders>
            <w:shd w:val="clear" w:color="auto" w:fill="auto"/>
          </w:tcPr>
          <w:p w14:paraId="662057BF">
            <w:pPr>
              <w:rPr>
                <w:rFonts w:ascii="Arial" w:hAnsi="Calibri"/>
                <w:szCs w:val="21"/>
              </w:rPr>
            </w:pPr>
          </w:p>
        </w:tc>
        <w:tc>
          <w:tcPr>
            <w:tcW w:w="702" w:type="dxa"/>
            <w:tcBorders>
              <w:top w:val="single" w:color="000000" w:sz="2" w:space="0"/>
              <w:left w:val="single" w:color="000000" w:sz="2" w:space="0"/>
              <w:bottom w:val="single" w:color="000000" w:sz="2" w:space="0"/>
              <w:right w:val="single" w:color="000000" w:sz="2" w:space="0"/>
            </w:tcBorders>
            <w:shd w:val="clear" w:color="auto" w:fill="auto"/>
          </w:tcPr>
          <w:p w14:paraId="4F4C6448">
            <w:pPr>
              <w:rPr>
                <w:rFonts w:ascii="Arial" w:hAnsi="Calibri"/>
                <w:szCs w:val="21"/>
              </w:rPr>
            </w:pPr>
          </w:p>
        </w:tc>
        <w:tc>
          <w:tcPr>
            <w:tcW w:w="705" w:type="dxa"/>
            <w:tcBorders>
              <w:top w:val="single" w:color="000000" w:sz="2" w:space="0"/>
              <w:left w:val="single" w:color="000000" w:sz="2" w:space="0"/>
              <w:bottom w:val="single" w:color="000000" w:sz="2" w:space="0"/>
              <w:right w:val="single" w:color="000000" w:sz="2" w:space="0"/>
            </w:tcBorders>
            <w:shd w:val="clear" w:color="auto" w:fill="auto"/>
          </w:tcPr>
          <w:p w14:paraId="0FCE2950">
            <w:pPr>
              <w:rPr>
                <w:rFonts w:ascii="Arial" w:hAnsi="Calibri"/>
                <w:szCs w:val="21"/>
              </w:rPr>
            </w:pPr>
          </w:p>
        </w:tc>
      </w:tr>
      <w:tr w14:paraId="2C1668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7" w:hRule="atLeast"/>
        </w:trPr>
        <w:tc>
          <w:tcPr>
            <w:tcW w:w="705" w:type="dxa"/>
            <w:tcBorders>
              <w:top w:val="single" w:color="000000" w:sz="2" w:space="0"/>
              <w:left w:val="single" w:color="000000" w:sz="2" w:space="0"/>
              <w:bottom w:val="single" w:color="000000" w:sz="2" w:space="0"/>
              <w:right w:val="single" w:color="000000" w:sz="2" w:space="0"/>
            </w:tcBorders>
            <w:shd w:val="clear" w:color="auto" w:fill="auto"/>
          </w:tcPr>
          <w:p w14:paraId="6CFBEBD7">
            <w:pPr>
              <w:rPr>
                <w:rFonts w:ascii="Arial" w:hAnsi="Calibri"/>
                <w:szCs w:val="21"/>
              </w:rPr>
            </w:pPr>
          </w:p>
        </w:tc>
        <w:tc>
          <w:tcPr>
            <w:tcW w:w="1412" w:type="dxa"/>
            <w:tcBorders>
              <w:top w:val="single" w:color="000000" w:sz="2" w:space="0"/>
              <w:left w:val="single" w:color="000000" w:sz="2" w:space="0"/>
              <w:bottom w:val="single" w:color="000000" w:sz="2" w:space="0"/>
              <w:right w:val="single" w:color="000000" w:sz="2" w:space="0"/>
            </w:tcBorders>
            <w:shd w:val="clear" w:color="auto" w:fill="auto"/>
          </w:tcPr>
          <w:p w14:paraId="2C67C93A">
            <w:pPr>
              <w:rPr>
                <w:rFonts w:ascii="Arial" w:hAnsi="Calibri"/>
                <w:szCs w:val="21"/>
              </w:rPr>
            </w:pPr>
          </w:p>
        </w:tc>
        <w:tc>
          <w:tcPr>
            <w:tcW w:w="702" w:type="dxa"/>
            <w:tcBorders>
              <w:top w:val="single" w:color="000000" w:sz="2" w:space="0"/>
              <w:left w:val="single" w:color="000000" w:sz="2" w:space="0"/>
              <w:bottom w:val="single" w:color="000000" w:sz="2" w:space="0"/>
              <w:right w:val="single" w:color="000000" w:sz="2" w:space="0"/>
            </w:tcBorders>
            <w:shd w:val="clear" w:color="auto" w:fill="auto"/>
          </w:tcPr>
          <w:p w14:paraId="34ECF1E9">
            <w:pPr>
              <w:rPr>
                <w:rFonts w:ascii="Arial" w:hAnsi="Calibri"/>
                <w:szCs w:val="21"/>
              </w:rPr>
            </w:pPr>
          </w:p>
        </w:tc>
        <w:tc>
          <w:tcPr>
            <w:tcW w:w="702" w:type="dxa"/>
            <w:tcBorders>
              <w:top w:val="single" w:color="000000" w:sz="2" w:space="0"/>
              <w:left w:val="single" w:color="000000" w:sz="2" w:space="0"/>
              <w:bottom w:val="single" w:color="000000" w:sz="2" w:space="0"/>
              <w:right w:val="single" w:color="000000" w:sz="2" w:space="0"/>
            </w:tcBorders>
            <w:shd w:val="clear" w:color="auto" w:fill="auto"/>
          </w:tcPr>
          <w:p w14:paraId="69A231A8">
            <w:pPr>
              <w:rPr>
                <w:rFonts w:ascii="Arial" w:hAnsi="Calibri"/>
                <w:szCs w:val="21"/>
              </w:rPr>
            </w:pPr>
          </w:p>
        </w:tc>
        <w:tc>
          <w:tcPr>
            <w:tcW w:w="907" w:type="dxa"/>
            <w:tcBorders>
              <w:top w:val="single" w:color="000000" w:sz="2" w:space="0"/>
              <w:left w:val="single" w:color="000000" w:sz="2" w:space="0"/>
              <w:bottom w:val="single" w:color="000000" w:sz="2" w:space="0"/>
              <w:right w:val="single" w:color="000000" w:sz="2" w:space="0"/>
            </w:tcBorders>
            <w:shd w:val="clear" w:color="auto" w:fill="auto"/>
          </w:tcPr>
          <w:p w14:paraId="0DD06FB7">
            <w:pPr>
              <w:rPr>
                <w:rFonts w:ascii="Arial" w:hAnsi="Calibri"/>
                <w:szCs w:val="21"/>
              </w:rPr>
            </w:pPr>
          </w:p>
        </w:tc>
        <w:tc>
          <w:tcPr>
            <w:tcW w:w="907" w:type="dxa"/>
            <w:tcBorders>
              <w:top w:val="single" w:color="000000" w:sz="2" w:space="0"/>
              <w:left w:val="single" w:color="000000" w:sz="2" w:space="0"/>
              <w:bottom w:val="single" w:color="000000" w:sz="2" w:space="0"/>
              <w:right w:val="single" w:color="000000" w:sz="2" w:space="0"/>
            </w:tcBorders>
            <w:shd w:val="clear" w:color="auto" w:fill="auto"/>
          </w:tcPr>
          <w:p w14:paraId="408029B8">
            <w:pPr>
              <w:rPr>
                <w:rFonts w:ascii="Arial" w:hAnsi="Calibri"/>
                <w:szCs w:val="21"/>
              </w:rPr>
            </w:pPr>
          </w:p>
        </w:tc>
        <w:tc>
          <w:tcPr>
            <w:tcW w:w="753" w:type="dxa"/>
            <w:tcBorders>
              <w:top w:val="single" w:color="000000" w:sz="2" w:space="0"/>
              <w:left w:val="single" w:color="000000" w:sz="2" w:space="0"/>
              <w:bottom w:val="single" w:color="000000" w:sz="2" w:space="0"/>
              <w:right w:val="single" w:color="000000" w:sz="2" w:space="0"/>
            </w:tcBorders>
            <w:shd w:val="clear" w:color="auto" w:fill="auto"/>
          </w:tcPr>
          <w:p w14:paraId="3BF6C237">
            <w:pPr>
              <w:rPr>
                <w:rFonts w:ascii="Arial" w:hAnsi="Calibri"/>
                <w:szCs w:val="21"/>
              </w:rPr>
            </w:pPr>
          </w:p>
        </w:tc>
        <w:tc>
          <w:tcPr>
            <w:tcW w:w="702" w:type="dxa"/>
            <w:tcBorders>
              <w:top w:val="single" w:color="000000" w:sz="2" w:space="0"/>
              <w:left w:val="single" w:color="000000" w:sz="2" w:space="0"/>
              <w:bottom w:val="single" w:color="000000" w:sz="2" w:space="0"/>
              <w:right w:val="single" w:color="000000" w:sz="2" w:space="0"/>
            </w:tcBorders>
            <w:shd w:val="clear" w:color="auto" w:fill="auto"/>
          </w:tcPr>
          <w:p w14:paraId="16B3ABF3">
            <w:pPr>
              <w:rPr>
                <w:rFonts w:ascii="Arial" w:hAnsi="Calibri"/>
                <w:szCs w:val="21"/>
              </w:rPr>
            </w:pPr>
          </w:p>
        </w:tc>
        <w:tc>
          <w:tcPr>
            <w:tcW w:w="702" w:type="dxa"/>
            <w:tcBorders>
              <w:top w:val="single" w:color="000000" w:sz="2" w:space="0"/>
              <w:left w:val="single" w:color="000000" w:sz="2" w:space="0"/>
              <w:bottom w:val="single" w:color="000000" w:sz="2" w:space="0"/>
              <w:right w:val="single" w:color="000000" w:sz="2" w:space="0"/>
            </w:tcBorders>
            <w:shd w:val="clear" w:color="auto" w:fill="auto"/>
          </w:tcPr>
          <w:p w14:paraId="0184BF37">
            <w:pPr>
              <w:rPr>
                <w:rFonts w:ascii="Arial" w:hAnsi="Calibri"/>
                <w:szCs w:val="21"/>
              </w:rPr>
            </w:pPr>
          </w:p>
        </w:tc>
        <w:tc>
          <w:tcPr>
            <w:tcW w:w="702" w:type="dxa"/>
            <w:tcBorders>
              <w:top w:val="single" w:color="000000" w:sz="2" w:space="0"/>
              <w:left w:val="single" w:color="000000" w:sz="2" w:space="0"/>
              <w:bottom w:val="single" w:color="000000" w:sz="2" w:space="0"/>
              <w:right w:val="single" w:color="000000" w:sz="2" w:space="0"/>
            </w:tcBorders>
            <w:shd w:val="clear" w:color="auto" w:fill="auto"/>
          </w:tcPr>
          <w:p w14:paraId="7BCBC39B">
            <w:pPr>
              <w:rPr>
                <w:rFonts w:ascii="Arial" w:hAnsi="Calibri"/>
                <w:szCs w:val="21"/>
              </w:rPr>
            </w:pPr>
          </w:p>
        </w:tc>
        <w:tc>
          <w:tcPr>
            <w:tcW w:w="702" w:type="dxa"/>
            <w:tcBorders>
              <w:top w:val="single" w:color="000000" w:sz="2" w:space="0"/>
              <w:left w:val="single" w:color="000000" w:sz="2" w:space="0"/>
              <w:bottom w:val="single" w:color="000000" w:sz="2" w:space="0"/>
              <w:right w:val="single" w:color="000000" w:sz="2" w:space="0"/>
            </w:tcBorders>
            <w:shd w:val="clear" w:color="auto" w:fill="auto"/>
          </w:tcPr>
          <w:p w14:paraId="20FDFEE1">
            <w:pPr>
              <w:rPr>
                <w:rFonts w:ascii="Arial" w:hAnsi="Calibri"/>
                <w:szCs w:val="21"/>
              </w:rPr>
            </w:pPr>
          </w:p>
        </w:tc>
        <w:tc>
          <w:tcPr>
            <w:tcW w:w="705" w:type="dxa"/>
            <w:tcBorders>
              <w:top w:val="single" w:color="000000" w:sz="2" w:space="0"/>
              <w:left w:val="single" w:color="000000" w:sz="2" w:space="0"/>
              <w:bottom w:val="single" w:color="000000" w:sz="2" w:space="0"/>
              <w:right w:val="single" w:color="000000" w:sz="2" w:space="0"/>
            </w:tcBorders>
            <w:shd w:val="clear" w:color="auto" w:fill="auto"/>
          </w:tcPr>
          <w:p w14:paraId="11B1E511">
            <w:pPr>
              <w:rPr>
                <w:rFonts w:ascii="Arial" w:hAnsi="Calibri"/>
                <w:szCs w:val="21"/>
              </w:rPr>
            </w:pPr>
          </w:p>
        </w:tc>
      </w:tr>
      <w:tr w14:paraId="0B2CCF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31" w:hRule="atLeast"/>
        </w:trPr>
        <w:tc>
          <w:tcPr>
            <w:tcW w:w="4431" w:type="dxa"/>
            <w:gridSpan w:val="5"/>
            <w:tcBorders>
              <w:top w:val="single" w:color="000000" w:sz="2" w:space="0"/>
              <w:left w:val="single" w:color="000000" w:sz="2" w:space="0"/>
              <w:bottom w:val="single" w:color="000000" w:sz="2" w:space="0"/>
              <w:right w:val="single" w:color="000000" w:sz="2" w:space="0"/>
            </w:tcBorders>
            <w:shd w:val="clear" w:color="auto" w:fill="auto"/>
          </w:tcPr>
          <w:p w14:paraId="1F8FF2CE">
            <w:pPr>
              <w:spacing w:line="285" w:lineRule="auto"/>
              <w:rPr>
                <w:rFonts w:ascii="Arial" w:hAnsi="Calibri"/>
                <w:szCs w:val="21"/>
              </w:rPr>
            </w:pPr>
          </w:p>
          <w:p w14:paraId="0690E797">
            <w:pPr>
              <w:pStyle w:val="18"/>
              <w:spacing w:before="78"/>
              <w:ind w:left="2796"/>
              <w:rPr>
                <w:rFonts w:ascii="仿宋" w:hAnsi="仿宋" w:eastAsia="仿宋" w:cs="仿宋"/>
              </w:rPr>
            </w:pPr>
            <w:r>
              <w:rPr>
                <w:rFonts w:hint="eastAsia" w:ascii="仿宋" w:hAnsi="仿宋" w:eastAsia="仿宋" w:cs="仿宋"/>
                <w:spacing w:val="-7"/>
                <w:lang w:bidi="ar"/>
              </w:rPr>
              <w:t>合计</w:t>
            </w:r>
          </w:p>
        </w:tc>
        <w:tc>
          <w:tcPr>
            <w:tcW w:w="907" w:type="dxa"/>
            <w:tcBorders>
              <w:top w:val="single" w:color="000000" w:sz="2" w:space="0"/>
              <w:left w:val="single" w:color="000000" w:sz="2" w:space="0"/>
              <w:bottom w:val="single" w:color="000000" w:sz="2" w:space="0"/>
              <w:right w:val="single" w:color="000000" w:sz="2" w:space="0"/>
            </w:tcBorders>
            <w:shd w:val="clear" w:color="auto" w:fill="auto"/>
          </w:tcPr>
          <w:p w14:paraId="76062FEF">
            <w:pPr>
              <w:rPr>
                <w:rFonts w:ascii="Arial" w:hAnsi="Calibri"/>
                <w:szCs w:val="21"/>
              </w:rPr>
            </w:pPr>
          </w:p>
        </w:tc>
        <w:tc>
          <w:tcPr>
            <w:tcW w:w="753" w:type="dxa"/>
            <w:tcBorders>
              <w:top w:val="single" w:color="000000" w:sz="2" w:space="0"/>
              <w:left w:val="single" w:color="000000" w:sz="2" w:space="0"/>
              <w:bottom w:val="single" w:color="000000" w:sz="2" w:space="0"/>
              <w:right w:val="single" w:color="000000" w:sz="2" w:space="0"/>
            </w:tcBorders>
            <w:shd w:val="clear" w:color="auto" w:fill="auto"/>
          </w:tcPr>
          <w:p w14:paraId="345525AC">
            <w:pPr>
              <w:rPr>
                <w:rFonts w:ascii="Arial" w:hAnsi="Calibri"/>
                <w:szCs w:val="21"/>
              </w:rPr>
            </w:pPr>
          </w:p>
        </w:tc>
        <w:tc>
          <w:tcPr>
            <w:tcW w:w="702" w:type="dxa"/>
            <w:tcBorders>
              <w:top w:val="single" w:color="000000" w:sz="2" w:space="0"/>
              <w:left w:val="single" w:color="000000" w:sz="2" w:space="0"/>
              <w:bottom w:val="single" w:color="000000" w:sz="2" w:space="0"/>
              <w:right w:val="single" w:color="000000" w:sz="2" w:space="0"/>
            </w:tcBorders>
            <w:shd w:val="clear" w:color="auto" w:fill="auto"/>
          </w:tcPr>
          <w:p w14:paraId="6E49C352">
            <w:pPr>
              <w:rPr>
                <w:rFonts w:ascii="Arial" w:hAnsi="Calibri"/>
                <w:szCs w:val="21"/>
              </w:rPr>
            </w:pPr>
          </w:p>
        </w:tc>
        <w:tc>
          <w:tcPr>
            <w:tcW w:w="702" w:type="dxa"/>
            <w:tcBorders>
              <w:top w:val="single" w:color="000000" w:sz="2" w:space="0"/>
              <w:left w:val="single" w:color="000000" w:sz="2" w:space="0"/>
              <w:bottom w:val="single" w:color="000000" w:sz="2" w:space="0"/>
              <w:right w:val="single" w:color="000000" w:sz="2" w:space="0"/>
            </w:tcBorders>
            <w:shd w:val="clear" w:color="auto" w:fill="auto"/>
          </w:tcPr>
          <w:p w14:paraId="1636616B">
            <w:pPr>
              <w:rPr>
                <w:rFonts w:ascii="Arial" w:hAnsi="Calibri"/>
                <w:szCs w:val="21"/>
              </w:rPr>
            </w:pPr>
          </w:p>
        </w:tc>
        <w:tc>
          <w:tcPr>
            <w:tcW w:w="702" w:type="dxa"/>
            <w:tcBorders>
              <w:top w:val="single" w:color="000000" w:sz="2" w:space="0"/>
              <w:left w:val="single" w:color="000000" w:sz="2" w:space="0"/>
              <w:bottom w:val="single" w:color="000000" w:sz="2" w:space="0"/>
              <w:right w:val="single" w:color="000000" w:sz="2" w:space="0"/>
            </w:tcBorders>
            <w:shd w:val="clear" w:color="auto" w:fill="auto"/>
          </w:tcPr>
          <w:p w14:paraId="017CE171">
            <w:pPr>
              <w:rPr>
                <w:rFonts w:ascii="Arial" w:hAnsi="Calibri"/>
                <w:szCs w:val="21"/>
              </w:rPr>
            </w:pPr>
          </w:p>
        </w:tc>
        <w:tc>
          <w:tcPr>
            <w:tcW w:w="702" w:type="dxa"/>
            <w:tcBorders>
              <w:top w:val="single" w:color="000000" w:sz="2" w:space="0"/>
              <w:left w:val="single" w:color="000000" w:sz="2" w:space="0"/>
              <w:bottom w:val="single" w:color="000000" w:sz="2" w:space="0"/>
              <w:right w:val="single" w:color="000000" w:sz="2" w:space="0"/>
            </w:tcBorders>
            <w:shd w:val="clear" w:color="auto" w:fill="auto"/>
          </w:tcPr>
          <w:p w14:paraId="7572D961">
            <w:pPr>
              <w:rPr>
                <w:rFonts w:ascii="Arial" w:hAnsi="Calibri"/>
                <w:szCs w:val="21"/>
              </w:rPr>
            </w:pPr>
          </w:p>
        </w:tc>
        <w:tc>
          <w:tcPr>
            <w:tcW w:w="705" w:type="dxa"/>
            <w:tcBorders>
              <w:top w:val="single" w:color="000000" w:sz="2" w:space="0"/>
              <w:left w:val="single" w:color="000000" w:sz="2" w:space="0"/>
              <w:bottom w:val="single" w:color="000000" w:sz="2" w:space="0"/>
              <w:right w:val="single" w:color="000000" w:sz="2" w:space="0"/>
            </w:tcBorders>
            <w:shd w:val="clear" w:color="auto" w:fill="auto"/>
          </w:tcPr>
          <w:p w14:paraId="124C436E">
            <w:pPr>
              <w:rPr>
                <w:rFonts w:ascii="Arial" w:hAnsi="Calibri"/>
                <w:szCs w:val="21"/>
              </w:rPr>
            </w:pPr>
          </w:p>
        </w:tc>
      </w:tr>
    </w:tbl>
    <w:p w14:paraId="151A5D0D">
      <w:pPr>
        <w:pStyle w:val="18"/>
        <w:spacing w:before="38"/>
        <w:ind w:left="504"/>
        <w:rPr>
          <w:rFonts w:ascii="仿宋" w:hAnsi="仿宋" w:eastAsia="仿宋" w:cs="仿宋"/>
        </w:rPr>
      </w:pPr>
      <w:r>
        <w:rPr>
          <w:rFonts w:hint="eastAsia" w:ascii="仿宋" w:hAnsi="仿宋" w:eastAsia="仿宋" w:cs="仿宋"/>
          <w:spacing w:val="-2"/>
          <w:lang w:bidi="ar"/>
        </w:rPr>
        <w:t>填表说明：</w:t>
      </w:r>
    </w:p>
    <w:p w14:paraId="3909B922">
      <w:pPr>
        <w:pStyle w:val="18"/>
        <w:spacing w:before="29"/>
        <w:ind w:left="519"/>
        <w:rPr>
          <w:rFonts w:ascii="仿宋" w:hAnsi="仿宋" w:eastAsia="仿宋" w:cs="仿宋"/>
        </w:rPr>
      </w:pPr>
      <w:r>
        <w:rPr>
          <w:rFonts w:hint="eastAsia" w:ascii="仿宋" w:hAnsi="仿宋" w:eastAsia="仿宋" w:cs="仿宋"/>
          <w:spacing w:val="-2"/>
          <w:lang w:bidi="ar"/>
        </w:rPr>
        <w:t>1.本表用于统计承包商在其自身内部执行</w:t>
      </w:r>
      <w:r>
        <w:rPr>
          <w:rFonts w:hint="eastAsia" w:ascii="仿宋" w:hAnsi="仿宋" w:eastAsia="仿宋" w:cs="仿宋"/>
          <w:spacing w:val="-72"/>
          <w:lang w:bidi="ar"/>
        </w:rPr>
        <w:t xml:space="preserve"> </w:t>
      </w:r>
      <w:r>
        <w:rPr>
          <w:rFonts w:hint="eastAsia" w:ascii="仿宋" w:hAnsi="仿宋" w:eastAsia="仿宋" w:cs="仿宋"/>
          <w:spacing w:val="-2"/>
          <w:lang w:bidi="ar"/>
        </w:rPr>
        <w:t>“吹哨人”及隐患报告奖励制度的情况。</w:t>
      </w:r>
    </w:p>
    <w:p w14:paraId="488AB796">
      <w:pPr>
        <w:pStyle w:val="18"/>
        <w:spacing w:before="33"/>
        <w:ind w:left="513"/>
        <w:rPr>
          <w:rFonts w:ascii="仿宋" w:hAnsi="仿宋" w:eastAsia="仿宋" w:cs="仿宋"/>
        </w:rPr>
      </w:pPr>
      <w:r>
        <w:rPr>
          <w:rFonts w:hint="eastAsia" w:ascii="仿宋" w:hAnsi="仿宋" w:eastAsia="仿宋" w:cs="仿宋"/>
          <w:spacing w:val="-3"/>
          <w:lang w:bidi="ar"/>
        </w:rPr>
        <w:t>2.</w:t>
      </w:r>
      <w:r>
        <w:rPr>
          <w:rFonts w:hint="eastAsia" w:ascii="仿宋" w:hAnsi="仿宋" w:eastAsia="仿宋" w:cs="仿宋"/>
          <w:spacing w:val="-68"/>
          <w:lang w:bidi="ar"/>
        </w:rPr>
        <w:t xml:space="preserve"> </w:t>
      </w:r>
      <w:r>
        <w:rPr>
          <w:rFonts w:hint="eastAsia" w:ascii="仿宋" w:hAnsi="仿宋" w:eastAsia="仿宋" w:cs="仿宋"/>
          <w:spacing w:val="-3"/>
          <w:lang w:bidi="ar"/>
        </w:rPr>
        <w:t>“奖励数量（项）”指获得奖励的隐患报告项数。</w:t>
      </w:r>
    </w:p>
    <w:p w14:paraId="3B97FBC3">
      <w:pPr>
        <w:pStyle w:val="18"/>
        <w:spacing w:before="30"/>
        <w:ind w:left="522"/>
        <w:rPr>
          <w:rFonts w:ascii="仿宋" w:hAnsi="仿宋" w:eastAsia="仿宋" w:cs="仿宋"/>
        </w:rPr>
      </w:pPr>
      <w:r>
        <w:rPr>
          <w:rFonts w:hint="eastAsia" w:ascii="仿宋" w:hAnsi="仿宋" w:eastAsia="仿宋" w:cs="仿宋"/>
          <w:spacing w:val="-4"/>
          <w:lang w:bidi="ar"/>
        </w:rPr>
        <w:t>3.</w:t>
      </w:r>
      <w:r>
        <w:rPr>
          <w:rFonts w:hint="eastAsia" w:ascii="仿宋" w:hAnsi="仿宋" w:eastAsia="仿宋" w:cs="仿宋"/>
          <w:spacing w:val="-86"/>
          <w:lang w:bidi="ar"/>
        </w:rPr>
        <w:t xml:space="preserve"> </w:t>
      </w:r>
      <w:r>
        <w:rPr>
          <w:rFonts w:hint="eastAsia" w:ascii="仿宋" w:hAnsi="仿宋" w:eastAsia="仿宋" w:cs="仿宋"/>
          <w:spacing w:val="-4"/>
          <w:lang w:bidi="ar"/>
        </w:rPr>
        <w:t>“奖励费用出处”请填写如</w:t>
      </w:r>
      <w:r>
        <w:rPr>
          <w:rFonts w:hint="eastAsia" w:ascii="仿宋" w:hAnsi="仿宋" w:eastAsia="仿宋" w:cs="仿宋"/>
          <w:spacing w:val="-85"/>
          <w:lang w:bidi="ar"/>
        </w:rPr>
        <w:t xml:space="preserve"> </w:t>
      </w:r>
      <w:r>
        <w:rPr>
          <w:rFonts w:hint="eastAsia" w:ascii="仿宋" w:hAnsi="仿宋" w:eastAsia="仿宋" w:cs="仿宋"/>
          <w:spacing w:val="-4"/>
          <w:lang w:bidi="ar"/>
        </w:rPr>
        <w:t>“安全生产费用”</w:t>
      </w:r>
      <w:r>
        <w:rPr>
          <w:rFonts w:hint="eastAsia" w:ascii="仿宋" w:hAnsi="仿宋" w:eastAsia="仿宋" w:cs="仿宋"/>
          <w:spacing w:val="-86"/>
          <w:lang w:bidi="ar"/>
        </w:rPr>
        <w:t xml:space="preserve"> </w:t>
      </w:r>
      <w:r>
        <w:rPr>
          <w:rFonts w:hint="eastAsia" w:ascii="仿宋" w:hAnsi="仿宋" w:eastAsia="仿宋" w:cs="仿宋"/>
          <w:spacing w:val="-4"/>
          <w:lang w:bidi="ar"/>
        </w:rPr>
        <w:t>“专项奖励</w:t>
      </w:r>
      <w:r>
        <w:rPr>
          <w:rFonts w:hint="eastAsia" w:ascii="仿宋" w:hAnsi="仿宋" w:eastAsia="仿宋" w:cs="仿宋"/>
          <w:spacing w:val="-5"/>
          <w:lang w:bidi="ar"/>
        </w:rPr>
        <w:t>基金”等。</w:t>
      </w:r>
    </w:p>
    <w:p w14:paraId="49F0CD24">
      <w:pPr>
        <w:widowControl/>
        <w:jc w:val="left"/>
      </w:pPr>
      <w:r>
        <w:rPr>
          <w:rFonts w:ascii="Calibri" w:hAnsi="Calibri"/>
          <w:spacing w:val="-1"/>
          <w:kern w:val="0"/>
          <w:sz w:val="24"/>
          <w:lang w:bidi="ar"/>
        </w:rPr>
        <w:t>4.</w:t>
      </w:r>
      <w:r>
        <w:rPr>
          <w:rFonts w:hint="eastAsia" w:ascii="宋体" w:hAnsi="宋体" w:cs="宋体"/>
          <w:spacing w:val="-1"/>
          <w:kern w:val="0"/>
          <w:sz w:val="24"/>
          <w:lang w:bidi="ar"/>
        </w:rPr>
        <w:t>本表由发包人安全环保管理部门负责收集、审核并存档。</w:t>
      </w:r>
    </w:p>
    <w:p w14:paraId="6CEFFB59">
      <w:pPr>
        <w:pStyle w:val="8"/>
        <w:spacing w:before="33" w:line="214" w:lineRule="auto"/>
        <w:ind w:left="63" w:right="63"/>
        <w:rPr>
          <w:sz w:val="24"/>
        </w:rPr>
      </w:pPr>
    </w:p>
    <w:p w14:paraId="6782A637"/>
    <w:p w14:paraId="097CE5B5">
      <w:pPr>
        <w:pStyle w:val="68"/>
      </w:pPr>
      <w:r>
        <w:rPr>
          <w:rFonts w:ascii="Times New Roman" w:eastAsia="仿宋_GB2312"/>
          <w:color w:val="000000"/>
          <w:sz w:val="30"/>
          <w:szCs w:val="30"/>
        </w:rPr>
        <w:t>附件3：</w:t>
      </w:r>
      <w:r>
        <w:br w:type="textWrapping"/>
      </w:r>
      <w:r>
        <w:rPr>
          <w:rFonts w:hint="eastAsia"/>
        </w:rPr>
        <w:t>工</w:t>
      </w:r>
      <w:bookmarkStart w:id="502" w:name="StandardName"/>
      <w:r>
        <w:rPr>
          <w:rFonts w:hint="eastAsia"/>
        </w:rPr>
        <w:t>程经济资料管理</w:t>
      </w:r>
      <w:bookmarkEnd w:id="502"/>
      <w:r>
        <w:rPr>
          <w:rFonts w:hint="eastAsia"/>
        </w:rPr>
        <w:t>办法</w:t>
      </w:r>
    </w:p>
    <w:p w14:paraId="30BF030E">
      <w:pPr>
        <w:pStyle w:val="69"/>
        <w:spacing w:before="312" w:after="312"/>
      </w:pPr>
      <w:r>
        <w:rPr>
          <w:rFonts w:hint="eastAsia"/>
        </w:rPr>
        <w:t>目的</w:t>
      </w:r>
    </w:p>
    <w:p w14:paraId="06725958">
      <w:pPr>
        <w:pStyle w:val="64"/>
      </w:pPr>
      <w:r>
        <w:t>为了规范工程项目中经济资料办理的程序和流程，确保经济资料的真实性、准确性、完整性、时效性，明确相关人员的责任和义务</w:t>
      </w:r>
      <w:r>
        <w:rPr>
          <w:rFonts w:hint="eastAsia"/>
        </w:rPr>
        <w:t>。</w:t>
      </w:r>
    </w:p>
    <w:p w14:paraId="1228D2D1">
      <w:pPr>
        <w:pStyle w:val="69"/>
        <w:spacing w:before="312" w:after="312"/>
      </w:pPr>
      <w:r>
        <w:rPr>
          <w:rFonts w:hint="eastAsia"/>
        </w:rPr>
        <w:t>范围</w:t>
      </w:r>
    </w:p>
    <w:p w14:paraId="3A4BD0BE">
      <w:pPr>
        <w:pStyle w:val="64"/>
      </w:pPr>
      <w:r>
        <w:rPr>
          <w:rFonts w:hint="eastAsia"/>
        </w:rPr>
        <w:t>本标准规定了工程建设过程中经济签证、技术联系的管理要求。</w:t>
      </w:r>
    </w:p>
    <w:p w14:paraId="31587F93">
      <w:pPr>
        <w:pStyle w:val="64"/>
        <w:rPr>
          <w:rFonts w:cs="宋体"/>
        </w:rPr>
      </w:pPr>
      <w:r>
        <w:rPr>
          <w:rFonts w:hint="eastAsia"/>
        </w:rPr>
        <w:t>本办法适用于国际复材、重庆庹展新材料科技有限公司、重庆天泽新材料有限公司的制度管理工作，其他分公司、全资子公司、控股子公司及相关单位的新建、扩建、改建、维修</w:t>
      </w:r>
      <w:r>
        <w:rPr>
          <w:rFonts w:hint="eastAsia" w:cs="宋体"/>
        </w:rPr>
        <w:t>工程中发生的经济签证管理。</w:t>
      </w:r>
    </w:p>
    <w:p w14:paraId="6CF314F1">
      <w:pPr>
        <w:pStyle w:val="69"/>
        <w:spacing w:before="312" w:after="312"/>
      </w:pPr>
      <w:r>
        <w:rPr>
          <w:rFonts w:hint="eastAsia"/>
        </w:rPr>
        <w:t>规范性引用文件</w:t>
      </w:r>
    </w:p>
    <w:p w14:paraId="03518E5E">
      <w:pPr>
        <w:pStyle w:val="64"/>
      </w:pPr>
      <w:r>
        <w:rPr>
          <w:rFonts w:hint="eastAsia"/>
        </w:rPr>
        <w:t>下列文件对于本文件的应用是必不可少的。凡是注日期的引用文件，仅所注日期的版本适用于本文件。凡是不注日期的引用文件，其最新版本（包括所有的修改单）适用于本文件。</w:t>
      </w:r>
    </w:p>
    <w:p w14:paraId="5793BB32">
      <w:pPr>
        <w:pStyle w:val="64"/>
      </w:pPr>
      <w:r>
        <w:rPr>
          <w:rFonts w:hint="eastAsia"/>
        </w:rPr>
        <w:t>建筑工程施工发包与承包计价管理办法</w:t>
      </w:r>
    </w:p>
    <w:p w14:paraId="78AA3475">
      <w:pPr>
        <w:pStyle w:val="64"/>
      </w:pPr>
      <w:r>
        <w:rPr>
          <w:rFonts w:hint="eastAsia"/>
        </w:rPr>
        <w:t>建设工程价款结算暂行办法</w:t>
      </w:r>
    </w:p>
    <w:p w14:paraId="19A91E53">
      <w:pPr>
        <w:pStyle w:val="64"/>
        <w:rPr>
          <w:rFonts w:cs="宋体"/>
        </w:rPr>
      </w:pPr>
      <w:r>
        <w:rPr>
          <w:rFonts w:hint="eastAsia"/>
        </w:rPr>
        <w:t>重庆市建设工程造价管理规定</w:t>
      </w:r>
    </w:p>
    <w:p w14:paraId="1F970F6C">
      <w:pPr>
        <w:pStyle w:val="64"/>
      </w:pPr>
      <w:r>
        <w:rPr>
          <w:rFonts w:hint="eastAsia"/>
        </w:rPr>
        <w:t>云天化集团有限责任公司招标投标管理办法</w:t>
      </w:r>
    </w:p>
    <w:p w14:paraId="6139901E">
      <w:pPr>
        <w:pStyle w:val="69"/>
        <w:spacing w:before="312" w:after="312"/>
      </w:pPr>
      <w:r>
        <w:rPr>
          <w:rFonts w:hint="eastAsia"/>
        </w:rPr>
        <w:t>经济签证单管理</w:t>
      </w:r>
    </w:p>
    <w:p w14:paraId="4A8F1471">
      <w:pPr>
        <w:pStyle w:val="70"/>
        <w:numPr>
          <w:ilvl w:val="1"/>
          <w:numId w:val="1"/>
        </w:numPr>
        <w:ind w:left="0"/>
      </w:pPr>
      <w:r>
        <w:rPr>
          <w:rFonts w:hint="eastAsia"/>
        </w:rPr>
        <w:t>原则：实事求是，办理与审查及时；谁参加谁签；一事一单，工完签完。</w:t>
      </w:r>
    </w:p>
    <w:p w14:paraId="30907707">
      <w:pPr>
        <w:pStyle w:val="70"/>
        <w:numPr>
          <w:ilvl w:val="1"/>
          <w:numId w:val="1"/>
        </w:numPr>
        <w:ind w:left="0"/>
      </w:pPr>
      <w:r>
        <w:rPr>
          <w:rFonts w:hint="eastAsia"/>
        </w:rPr>
        <w:t>范围：施工图纸、设计变更所确定的工程内容之外，施工图预算、工程量清单计费、消耗量定额或费用定额（计价规则）取费中未含有，而施工过程中又实际发生费用的施工内容所办理的签证。包含经济签证、清单计价工程的计日工，以及由设计变更、工程洽商记录、施工组织设计、施工方案和特殊技术措施等转换而成的经济签证。</w:t>
      </w:r>
    </w:p>
    <w:p w14:paraId="7093E8E0">
      <w:pPr>
        <w:pStyle w:val="70"/>
        <w:numPr>
          <w:ilvl w:val="1"/>
          <w:numId w:val="1"/>
        </w:numPr>
        <w:ind w:left="0"/>
      </w:pPr>
      <w:r>
        <w:rPr>
          <w:rFonts w:hint="eastAsia"/>
        </w:rPr>
        <w:t>签证事由：此栏应由应现场专业负责人负责手写，字迹应工整、清晰，须详细说明发生签证事由的原因、依据。</w:t>
      </w:r>
    </w:p>
    <w:p w14:paraId="6BC3A03E">
      <w:pPr>
        <w:pStyle w:val="70"/>
        <w:numPr>
          <w:ilvl w:val="1"/>
          <w:numId w:val="1"/>
        </w:numPr>
        <w:ind w:left="0"/>
      </w:pPr>
      <w:r>
        <w:rPr>
          <w:rFonts w:hint="eastAsia"/>
        </w:rPr>
        <w:t>方式：办理经济签证时，原则上应附施工简图，不能附图的应注明工程量计算式，工程量很小可以直接签认工程量。对无法套用定额的、或虽能套用定额但比较繁琐且量小的签证事由，方可签认人工工日数量或机械台班数量，但应明确所使用的甲供材明细。经济签证不得直接签认费用金额，确须签认的，须经</w:t>
      </w:r>
      <w:r>
        <w:rPr>
          <w:rFonts w:hint="eastAsia"/>
          <w:szCs w:val="18"/>
        </w:rPr>
        <w:t>主管部门领导</w:t>
      </w:r>
      <w:r>
        <w:rPr>
          <w:rFonts w:hint="eastAsia"/>
        </w:rPr>
        <w:t>(或公司分管领导）对费用金额签署审核意见。</w:t>
      </w:r>
    </w:p>
    <w:p w14:paraId="46528E83">
      <w:pPr>
        <w:pStyle w:val="70"/>
        <w:numPr>
          <w:ilvl w:val="1"/>
          <w:numId w:val="1"/>
        </w:numPr>
        <w:ind w:left="0"/>
      </w:pPr>
      <w:r>
        <w:rPr>
          <w:rFonts w:hint="eastAsia"/>
        </w:rPr>
        <w:t>内容: 必须明确工程名称(与施工合同中名称一致)、单项工程名称、专业、施工部位、施工简图或工程量计算式、签证日期、参加单位(含建设单位、施工单位、监理单位)有关人员签名并加盖公章（或经授权的项目章）等。</w:t>
      </w:r>
    </w:p>
    <w:p w14:paraId="447FF142">
      <w:pPr>
        <w:pStyle w:val="71"/>
        <w:spacing w:before="156" w:after="156"/>
        <w:rPr>
          <w:rFonts w:asciiTheme="minorEastAsia" w:hAnsiTheme="minorEastAsia" w:eastAsiaTheme="minorEastAsia"/>
        </w:rPr>
      </w:pPr>
      <w:r>
        <w:rPr>
          <w:rFonts w:hint="eastAsia" w:asciiTheme="minorEastAsia" w:hAnsiTheme="minorEastAsia" w:eastAsiaTheme="minorEastAsia"/>
        </w:rPr>
        <w:t>程序</w:t>
      </w:r>
      <w:r>
        <w:rPr>
          <w:rFonts w:asciiTheme="minorEastAsia" w:hAnsiTheme="minorEastAsia" w:eastAsiaTheme="minorEastAsia"/>
        </w:rPr>
        <w:br w:type="textWrapping"/>
      </w:r>
      <w:r>
        <w:rPr>
          <w:rFonts w:asciiTheme="minorEastAsia" w:hAnsiTheme="minorEastAsia" w:eastAsiaTheme="minorEastAsia"/>
        </w:rPr>
        <w:t xml:space="preserve">    1</w:t>
      </w:r>
      <w:r>
        <w:rPr>
          <w:rFonts w:hint="eastAsia" w:asciiTheme="minorEastAsia" w:hAnsiTheme="minorEastAsia" w:eastAsiaTheme="minorEastAsia"/>
        </w:rPr>
        <w:t>、施工单位应于签证事由施工完毕后7日内向现场专业负责人提交经济签证单(签证事由施工时间较长的或签证事由施工完毕后不能准确确定签证内容的，施工单位应在施工过程中提请监理单位和现场专业负责人组织预勘验，需进行现场收方的应提前24小时通知监理单位、现场专业负责人、造价管理人员)，否则，超过规定时限的一律不予办理；</w:t>
      </w:r>
      <w:r>
        <w:rPr>
          <w:rFonts w:asciiTheme="minorEastAsia" w:hAnsiTheme="minorEastAsia" w:eastAsiaTheme="minorEastAsia"/>
        </w:rPr>
        <w:br w:type="textWrapping"/>
      </w:r>
      <w:r>
        <w:rPr>
          <w:rFonts w:asciiTheme="minorEastAsia" w:hAnsiTheme="minorEastAsia" w:eastAsiaTheme="minorEastAsia"/>
        </w:rPr>
        <w:t xml:space="preserve">    </w:t>
      </w:r>
      <w:r>
        <w:rPr>
          <w:rFonts w:hint="eastAsia" w:asciiTheme="minorEastAsia" w:hAnsiTheme="minorEastAsia" w:eastAsiaTheme="minorEastAsia"/>
        </w:rPr>
        <w:t>2、现场专业负责人收到后72小时内组织造价管理人员、施工单位人员、监理人员及其他相关人员进行现场勘验；</w:t>
      </w:r>
      <w:r>
        <w:rPr>
          <w:rFonts w:asciiTheme="minorEastAsia" w:hAnsiTheme="minorEastAsia" w:eastAsiaTheme="minorEastAsia"/>
        </w:rPr>
        <w:br w:type="textWrapping"/>
      </w:r>
      <w:r>
        <w:rPr>
          <w:rFonts w:asciiTheme="minorEastAsia" w:hAnsiTheme="minorEastAsia" w:eastAsiaTheme="minorEastAsia"/>
        </w:rPr>
        <w:t xml:space="preserve">    </w:t>
      </w:r>
      <w:r>
        <w:rPr>
          <w:rFonts w:hint="eastAsia" w:asciiTheme="minorEastAsia" w:hAnsiTheme="minorEastAsia" w:eastAsiaTheme="minorEastAsia"/>
        </w:rPr>
        <w:t>3、现场专业负责人在勘验后72小时内审核完毕后移交监理人员；</w:t>
      </w:r>
      <w:r>
        <w:rPr>
          <w:rFonts w:asciiTheme="minorEastAsia" w:hAnsiTheme="minorEastAsia" w:eastAsiaTheme="minorEastAsia"/>
        </w:rPr>
        <w:br w:type="textWrapping"/>
      </w:r>
      <w:r>
        <w:rPr>
          <w:rFonts w:asciiTheme="minorEastAsia" w:hAnsiTheme="minorEastAsia" w:eastAsiaTheme="minorEastAsia"/>
        </w:rPr>
        <w:t xml:space="preserve">    4</w:t>
      </w:r>
      <w:r>
        <w:rPr>
          <w:rFonts w:hint="eastAsia" w:asciiTheme="minorEastAsia" w:hAnsiTheme="minorEastAsia" w:eastAsiaTheme="minorEastAsia"/>
        </w:rPr>
        <w:t>、监理人员在收到后72小时内审核完毕并移交造价管理人员；</w:t>
      </w:r>
      <w:r>
        <w:rPr>
          <w:rFonts w:asciiTheme="minorEastAsia" w:hAnsiTheme="minorEastAsia" w:eastAsiaTheme="minorEastAsia"/>
        </w:rPr>
        <w:br w:type="textWrapping"/>
      </w:r>
      <w:r>
        <w:rPr>
          <w:rFonts w:asciiTheme="minorEastAsia" w:hAnsiTheme="minorEastAsia" w:eastAsiaTheme="minorEastAsia"/>
        </w:rPr>
        <w:t xml:space="preserve">    5</w:t>
      </w:r>
      <w:r>
        <w:rPr>
          <w:rFonts w:hint="eastAsia" w:asciiTheme="minorEastAsia" w:hAnsiTheme="minorEastAsia" w:eastAsiaTheme="minorEastAsia"/>
        </w:rPr>
        <w:t>、造价管理人员在收到后72小时内审核完毕并提交项目负责人、主管部门领导签字（超过5万元需公司分管领导签字）并于次日内分发给建设单位、监理公司、施工单位各一份，造价管理人员须做签证登记；</w:t>
      </w:r>
      <w:r>
        <w:rPr>
          <w:rFonts w:asciiTheme="minorEastAsia" w:hAnsiTheme="minorEastAsia" w:eastAsiaTheme="minorEastAsia"/>
        </w:rPr>
        <w:br w:type="textWrapping"/>
      </w:r>
      <w:r>
        <w:rPr>
          <w:rFonts w:asciiTheme="minorEastAsia" w:hAnsiTheme="minorEastAsia" w:eastAsiaTheme="minorEastAsia"/>
        </w:rPr>
        <w:t xml:space="preserve">    6、</w:t>
      </w:r>
      <w:r>
        <w:rPr>
          <w:rFonts w:hint="eastAsia" w:asciiTheme="minorEastAsia" w:hAnsiTheme="minorEastAsia" w:eastAsiaTheme="minorEastAsia"/>
        </w:rPr>
        <w:t>现场专业负责人、造价管理人员（包含造价咨询公司审核时间）未分别在72小时内完成审核则由主管部门在对应人员当月绩效考核时减发绩效200元/人.次。</w:t>
      </w:r>
    </w:p>
    <w:p w14:paraId="326C86D1">
      <w:pPr>
        <w:pStyle w:val="70"/>
        <w:numPr>
          <w:ilvl w:val="1"/>
          <w:numId w:val="1"/>
        </w:numPr>
        <w:ind w:left="0"/>
      </w:pPr>
      <w:r>
        <w:rPr>
          <w:rFonts w:hint="eastAsia"/>
        </w:rPr>
        <w:t>经济签证单办理流程见附录C</w:t>
      </w:r>
    </w:p>
    <w:p w14:paraId="3C019D23">
      <w:pPr>
        <w:pStyle w:val="70"/>
        <w:numPr>
          <w:ilvl w:val="1"/>
          <w:numId w:val="1"/>
        </w:numPr>
        <w:ind w:left="0"/>
      </w:pPr>
      <w:r>
        <w:rPr>
          <w:rFonts w:hint="eastAsia"/>
        </w:rPr>
        <w:t>对于现场收方的情况，施工单位应先作原始记录单，在现场收方时根据参加人员商定的结果，在原始记录单上做好记录，所有参加人员必须签字认可，原件由造价管理人员保管。施工单位报送正式的经济签证单时，应提供该原始记录单。</w:t>
      </w:r>
    </w:p>
    <w:p w14:paraId="2D3D3998">
      <w:pPr>
        <w:pStyle w:val="70"/>
        <w:numPr>
          <w:ilvl w:val="1"/>
          <w:numId w:val="1"/>
        </w:numPr>
        <w:ind w:left="0"/>
      </w:pPr>
      <w:r>
        <w:rPr>
          <w:rFonts w:hint="eastAsia"/>
        </w:rPr>
        <w:t>办理经济签证时，建设单位及监理公司现场代表应认真、仔细确定签证内容的真实性、准确性、完整性，严禁虚增经济签证的内容；造价管理人员根据造价计算相关规定，结合工程建设的实际情况确定费用划分、是否单列计算或不计算等。</w:t>
      </w:r>
    </w:p>
    <w:p w14:paraId="41742A9F">
      <w:pPr>
        <w:pStyle w:val="70"/>
        <w:numPr>
          <w:ilvl w:val="1"/>
          <w:numId w:val="1"/>
        </w:numPr>
        <w:ind w:left="0"/>
      </w:pPr>
      <w:r>
        <w:rPr>
          <w:rFonts w:hint="eastAsia"/>
        </w:rPr>
        <w:t>在经济签证单中，设备、材料需要回收的，施工单位在工程结算时应出具回收单位(部门）的相关证明，否则，我公司将在工程结算中扣除应回收部分的价款。</w:t>
      </w:r>
    </w:p>
    <w:p w14:paraId="5A60F290">
      <w:pPr>
        <w:pStyle w:val="70"/>
        <w:numPr>
          <w:ilvl w:val="1"/>
          <w:numId w:val="1"/>
        </w:numPr>
        <w:ind w:left="0"/>
      </w:pPr>
      <w:r>
        <w:rPr>
          <w:rFonts w:hint="eastAsia"/>
        </w:rPr>
        <w:t>建设单位有关人员因特殊原因不能参加的，由部门领导(或专业组负责人）安排其他人员参加，没有其他人员代为参加的，可在三天内补签。超过时限补签的应注明“补”，并签注补签日期。</w:t>
      </w:r>
    </w:p>
    <w:p w14:paraId="44986767">
      <w:pPr>
        <w:pStyle w:val="70"/>
        <w:numPr>
          <w:ilvl w:val="1"/>
          <w:numId w:val="1"/>
        </w:numPr>
        <w:ind w:left="0"/>
      </w:pPr>
      <w:r>
        <w:rPr>
          <w:rFonts w:hint="eastAsia"/>
        </w:rPr>
        <w:t>工程竣工验收前的施工内容必须在工程竣工验收前办理完毕。</w:t>
      </w:r>
    </w:p>
    <w:p w14:paraId="3EC5CA6D">
      <w:pPr>
        <w:pStyle w:val="71"/>
        <w:spacing w:before="156" w:after="156"/>
      </w:pPr>
      <w:r>
        <w:rPr>
          <w:rFonts w:hint="eastAsia" w:ascii="宋体" w:eastAsia="宋体"/>
        </w:rPr>
        <w:t>经济签证单上必须具备建设单位的现场专业负责人员、造价管理人员、项目负责人和主管部门领导签字方为有效</w:t>
      </w:r>
      <w:r>
        <w:rPr>
          <w:rFonts w:hint="eastAsia"/>
        </w:rPr>
        <w:t>。</w:t>
      </w:r>
    </w:p>
    <w:p w14:paraId="3422793D">
      <w:pPr>
        <w:pStyle w:val="70"/>
        <w:numPr>
          <w:ilvl w:val="1"/>
          <w:numId w:val="1"/>
        </w:numPr>
        <w:ind w:left="0"/>
      </w:pPr>
      <w:r>
        <w:rPr>
          <w:rFonts w:hint="eastAsia"/>
        </w:rPr>
        <w:t>单份经济签证单涉及的变更金额在五万元以下（含五万元）的，须经</w:t>
      </w:r>
      <w:r>
        <w:rPr>
          <w:rFonts w:hint="eastAsia"/>
          <w:szCs w:val="18"/>
        </w:rPr>
        <w:t>主管部门领导</w:t>
      </w:r>
      <w:r>
        <w:rPr>
          <w:rFonts w:hint="eastAsia"/>
        </w:rPr>
        <w:t>审核认可；单份经济签证单涉及的变更金额在五万元以上的，须经公司分管领导审核认可。</w:t>
      </w:r>
    </w:p>
    <w:p w14:paraId="44F711F5">
      <w:pPr>
        <w:pStyle w:val="70"/>
        <w:numPr>
          <w:ilvl w:val="1"/>
          <w:numId w:val="1"/>
        </w:numPr>
        <w:ind w:left="0"/>
      </w:pPr>
      <w:r>
        <w:rPr>
          <w:rFonts w:hint="eastAsia"/>
        </w:rPr>
        <w:t>施工单位提交的经济签证单不得有涂抹和更改，否则，一律不予受理；建设单位、监理单位的审核意见须及时反馈施工单位重新编制签证，不得以任何方式直接在签证单上进行修改。</w:t>
      </w:r>
    </w:p>
    <w:p w14:paraId="36D96901">
      <w:pPr>
        <w:pStyle w:val="70"/>
        <w:numPr>
          <w:ilvl w:val="1"/>
          <w:numId w:val="1"/>
        </w:numPr>
        <w:ind w:left="0"/>
      </w:pPr>
      <w:r>
        <w:rPr>
          <w:rFonts w:hint="eastAsia"/>
        </w:rPr>
        <w:t>经济签证单一式二份(原件）；</w:t>
      </w:r>
      <w:r>
        <w:br w:type="textWrapping"/>
      </w:r>
      <w:r>
        <w:t xml:space="preserve">    </w:t>
      </w:r>
      <w:r>
        <w:rPr>
          <w:rFonts w:hint="eastAsia"/>
        </w:rPr>
        <w:t>编号：专业代码－××号；</w:t>
      </w:r>
      <w:r>
        <w:br w:type="textWrapping"/>
      </w:r>
      <w:r>
        <w:t xml:space="preserve">    </w:t>
      </w:r>
      <w:r>
        <w:rPr>
          <w:rFonts w:hint="eastAsia"/>
        </w:rPr>
        <w:t>专业代码：土建－TJ；工艺管道－GD；设备－SB；仪表－YB；暖通—NT；电气－DQ；绝热防腐－FF；给排水－GPS；消防—XF；钢结构－GG；其它－QT；</w:t>
      </w:r>
      <w:r>
        <w:br w:type="textWrapping"/>
      </w:r>
      <w:r>
        <w:t xml:space="preserve">    </w:t>
      </w:r>
      <w:r>
        <w:rPr>
          <w:rFonts w:hint="eastAsia"/>
        </w:rPr>
        <w:t>连续编号，不得重号、空号、跳号。对于审核后不予确认的，仍应保留该编号的签证单，结算时依据的签证单必须编号连续。</w:t>
      </w:r>
    </w:p>
    <w:p w14:paraId="071D0D9B">
      <w:pPr>
        <w:pStyle w:val="70"/>
        <w:numPr>
          <w:ilvl w:val="1"/>
          <w:numId w:val="1"/>
        </w:numPr>
        <w:ind w:left="0"/>
      </w:pPr>
      <w:r>
        <w:rPr>
          <w:rFonts w:hint="eastAsia"/>
        </w:rPr>
        <w:t>主管部门应加强工程内容和工程量减少的签证管理。对工程内容和工程量减少的，现场专业人员或监理工程师应督促施工单位办理相关经济签证。对拒不办理的，由现场专业人员或监理工程师发出督办通知，督办通知发出后仍未办理的，按所减少工程费用的2倍在工程竣工结算时扣减。</w:t>
      </w:r>
    </w:p>
    <w:p w14:paraId="5AA8E5EA">
      <w:pPr>
        <w:pStyle w:val="71"/>
        <w:spacing w:before="156" w:after="156"/>
      </w:pPr>
      <w:r>
        <w:rPr>
          <w:rFonts w:hint="eastAsia" w:asciiTheme="minorEastAsia" w:hAnsiTheme="minorEastAsia" w:eastAsiaTheme="minorEastAsia"/>
        </w:rPr>
        <w:t>签证抽查：</w:t>
      </w:r>
      <w:r>
        <w:br w:type="textWrapping"/>
      </w:r>
      <w:r>
        <w:rPr>
          <w:rFonts w:hint="eastAsia"/>
        </w:rPr>
        <w:t xml:space="preserve"> </w:t>
      </w:r>
      <w:r>
        <w:t xml:space="preserve">   </w:t>
      </w:r>
      <w:r>
        <w:rPr>
          <w:rFonts w:hint="eastAsia" w:ascii="宋体" w:eastAsia="宋体"/>
        </w:rPr>
        <w:t>主管部门派遣的其他专业负责人、造价管理人员每月对上月在建工程已完善签字盖章流程的签证中选取20%进行复核审查（抽查数量向上取整，当月完成签证不足10份的抽查2份，重点抽选金额较大的签证）。复核结果需形成现场抽查记录表（一式二份），如签证工程量与实际工程量不符或违背合同计价原则，则对相关签证经办专业负责人和造价管理人员进行考核。现场抽查记录表由参与抽查人员留底。</w:t>
      </w:r>
    </w:p>
    <w:p w14:paraId="1B19B4E1">
      <w:pPr>
        <w:pStyle w:val="70"/>
        <w:numPr>
          <w:ilvl w:val="1"/>
          <w:numId w:val="1"/>
        </w:numPr>
        <w:ind w:left="0"/>
      </w:pPr>
      <w:r>
        <w:rPr>
          <w:rFonts w:hint="eastAsia"/>
        </w:rPr>
        <w:t>签证考核：</w:t>
      </w:r>
      <w:r>
        <w:br w:type="textWrapping"/>
      </w:r>
      <w:r>
        <w:rPr>
          <w:rFonts w:hint="eastAsia"/>
        </w:rPr>
        <w:t xml:space="preserve"> </w:t>
      </w:r>
      <w:r>
        <w:t xml:space="preserve">   </w:t>
      </w:r>
      <w:r>
        <w:rPr>
          <w:rFonts w:hint="eastAsia"/>
        </w:rPr>
        <w:t>当签证工程量与实际工程量不符或违背合同计价原则时，签证单按实进行修正；正偏差在3%以内不考核，正偏差大于3%时且单张签证金额偏差在5000元以内，对负责该签证的专业负责人、造价管理人员按250元/份签证进行绩效考核；正偏差大于3%时且单张签证金额偏差在5000元以上，对负责该签证的专业负责人、造价管理人员按500元/份签证进行绩效考核,当年次数达到3次,暂停工程管理相关工作，如发现恶意弄虚作假，按公司《员工违规行为处理规定》执行。</w:t>
      </w:r>
    </w:p>
    <w:p w14:paraId="4341BB2B">
      <w:pPr>
        <w:pStyle w:val="69"/>
        <w:spacing w:before="312" w:after="312"/>
      </w:pPr>
      <w:r>
        <w:rPr>
          <w:rFonts w:hint="eastAsia"/>
        </w:rPr>
        <w:t>施工组织设计、专项施工方案和特殊技术措施管理</w:t>
      </w:r>
    </w:p>
    <w:p w14:paraId="3CC08C09">
      <w:pPr>
        <w:pStyle w:val="70"/>
        <w:numPr>
          <w:ilvl w:val="1"/>
          <w:numId w:val="1"/>
        </w:numPr>
        <w:ind w:left="0"/>
      </w:pPr>
      <w:r>
        <w:t>施工组织设计、施工方案和特殊技术措施的</w:t>
      </w:r>
      <w:r>
        <w:rPr>
          <w:rFonts w:hint="eastAsia"/>
        </w:rPr>
        <w:t>书面批复意见内</w:t>
      </w:r>
      <w:r>
        <w:t>明确</w:t>
      </w:r>
      <w:r>
        <w:rPr>
          <w:rFonts w:hint="eastAsia"/>
        </w:rPr>
        <w:t>而具体的</w:t>
      </w:r>
      <w:r>
        <w:t>批复内容</w:t>
      </w:r>
      <w:r>
        <w:rPr>
          <w:rFonts w:hint="eastAsia"/>
        </w:rPr>
        <w:t>可</w:t>
      </w:r>
      <w:r>
        <w:t>作为工程竣工结算依据</w:t>
      </w:r>
      <w:r>
        <w:rPr>
          <w:rFonts w:hint="eastAsia"/>
        </w:rPr>
        <w:t>。而</w:t>
      </w:r>
      <w:r>
        <w:t>批复</w:t>
      </w:r>
      <w:r>
        <w:rPr>
          <w:rFonts w:hint="eastAsia"/>
        </w:rPr>
        <w:t>意见</w:t>
      </w:r>
      <w:r>
        <w:t>内未明确的</w:t>
      </w:r>
      <w:r>
        <w:rPr>
          <w:rFonts w:hint="eastAsia"/>
        </w:rPr>
        <w:t>，或概括性描述的，或对</w:t>
      </w:r>
      <w:r>
        <w:t>明确的内容有更改的</w:t>
      </w:r>
      <w:r>
        <w:rPr>
          <w:rFonts w:hint="eastAsia"/>
        </w:rPr>
        <w:t>，</w:t>
      </w:r>
      <w:r>
        <w:t>应</w:t>
      </w:r>
      <w:r>
        <w:rPr>
          <w:rFonts w:hint="eastAsia"/>
        </w:rPr>
        <w:t>根据工程实际实施情况</w:t>
      </w:r>
      <w:r>
        <w:t>办理工程经济签证单后方可作为结算依据。</w:t>
      </w:r>
    </w:p>
    <w:p w14:paraId="072E0864">
      <w:pPr>
        <w:pStyle w:val="70"/>
        <w:numPr>
          <w:ilvl w:val="1"/>
          <w:numId w:val="1"/>
        </w:numPr>
        <w:ind w:left="0"/>
      </w:pPr>
      <w:r>
        <w:t>对于大型工程，</w:t>
      </w:r>
      <w:r>
        <w:rPr>
          <w:rFonts w:hint="eastAsia"/>
        </w:rPr>
        <w:t>为便于造价管理，</w:t>
      </w:r>
      <w:r>
        <w:t>可不</w:t>
      </w:r>
      <w:r>
        <w:rPr>
          <w:rFonts w:hint="eastAsia"/>
        </w:rPr>
        <w:t>以</w:t>
      </w:r>
      <w:r>
        <w:t>施工组织设计、施工方案和特殊技术措施的</w:t>
      </w:r>
      <w:r>
        <w:rPr>
          <w:rFonts w:hint="eastAsia"/>
        </w:rPr>
        <w:t>书面批复意见</w:t>
      </w:r>
      <w:r>
        <w:t>作为结算依据，而</w:t>
      </w:r>
      <w:r>
        <w:rPr>
          <w:rFonts w:hint="eastAsia"/>
        </w:rPr>
        <w:t>是根据实际实施情况转化为</w:t>
      </w:r>
      <w:r>
        <w:t>经济签证单</w:t>
      </w:r>
      <w:r>
        <w:rPr>
          <w:rFonts w:hint="eastAsia"/>
        </w:rPr>
        <w:t>后</w:t>
      </w:r>
      <w:r>
        <w:t>作为依据。</w:t>
      </w:r>
    </w:p>
    <w:p w14:paraId="29722B47">
      <w:pPr>
        <w:pStyle w:val="70"/>
        <w:numPr>
          <w:ilvl w:val="1"/>
          <w:numId w:val="1"/>
        </w:numPr>
        <w:ind w:left="0"/>
      </w:pPr>
      <w:r>
        <w:t>未实行会审和会签的施工组织设计、施工方案和特殊技术措施，</w:t>
      </w:r>
      <w:r>
        <w:rPr>
          <w:rFonts w:hint="eastAsia"/>
        </w:rPr>
        <w:t>为无效的技术经济文件，</w:t>
      </w:r>
      <w:r>
        <w:t>一律不得作为工程施工和工程竣工结算的依据。</w:t>
      </w:r>
    </w:p>
    <w:p w14:paraId="6977E0E9">
      <w:pPr>
        <w:pStyle w:val="69"/>
        <w:spacing w:before="312" w:after="312"/>
      </w:pPr>
      <w:r>
        <w:rPr>
          <w:rFonts w:hint="eastAsia"/>
        </w:rPr>
        <w:t>附则</w:t>
      </w:r>
    </w:p>
    <w:p w14:paraId="342860F4">
      <w:pPr>
        <w:pStyle w:val="70"/>
        <w:numPr>
          <w:ilvl w:val="1"/>
          <w:numId w:val="1"/>
        </w:numPr>
        <w:ind w:left="0"/>
      </w:pPr>
      <w:r>
        <w:rPr>
          <w:rFonts w:hint="eastAsia"/>
        </w:rPr>
        <w:t>未按上述要求办理的，均为无效的技术经济文件。</w:t>
      </w:r>
    </w:p>
    <w:p w14:paraId="328D6611">
      <w:pPr>
        <w:pStyle w:val="70"/>
        <w:numPr>
          <w:ilvl w:val="1"/>
          <w:numId w:val="1"/>
        </w:numPr>
        <w:ind w:left="0"/>
      </w:pPr>
      <w:r>
        <w:rPr>
          <w:rFonts w:hint="eastAsia"/>
        </w:rPr>
        <w:t>凡施工单位不提交费用减少的经济签证单，一经发现，由监理公司或建设单位发出通知，若通知后仍未提交的，我公司将在工程结算中双倍扣回所减少部分的费用。同时建设单位及监理公司现场代表应特别督促施工单位对涉及费用减少的项目办理经济签证。</w:t>
      </w:r>
    </w:p>
    <w:p w14:paraId="53848691">
      <w:pPr>
        <w:pStyle w:val="70"/>
        <w:numPr>
          <w:ilvl w:val="1"/>
          <w:numId w:val="1"/>
        </w:numPr>
        <w:ind w:left="0"/>
      </w:pPr>
      <w:r>
        <w:t>其他部门业务涉及需要办理经济签证单可参照本管理办法执行。</w:t>
      </w:r>
      <w:r>
        <w:br w:type="textWrapping"/>
      </w:r>
    </w:p>
    <w:p w14:paraId="4F806126">
      <w:pPr>
        <w:widowControl/>
        <w:jc w:val="left"/>
        <w:rPr>
          <w:rFonts w:ascii="宋体"/>
          <w:kern w:val="0"/>
          <w:szCs w:val="21"/>
        </w:rPr>
      </w:pPr>
      <w:r>
        <w:br w:type="page"/>
      </w:r>
    </w:p>
    <w:p w14:paraId="1FB7E5DB">
      <w:pPr>
        <w:pStyle w:val="70"/>
        <w:jc w:val="center"/>
      </w:pPr>
      <w:r>
        <w:rPr>
          <w:rFonts w:hint="eastAsia"/>
        </w:rPr>
        <w:t>附录A</w:t>
      </w:r>
      <w:r>
        <w:br w:type="textWrapping"/>
      </w:r>
      <w:r>
        <w:rPr>
          <w:rFonts w:hint="eastAsia"/>
        </w:rPr>
        <w:t>（规范性附录）</w:t>
      </w:r>
    </w:p>
    <w:p w14:paraId="60BB533F">
      <w:pPr>
        <w:autoSpaceDE w:val="0"/>
        <w:autoSpaceDN w:val="0"/>
        <w:adjustRightInd w:val="0"/>
        <w:spacing w:line="360" w:lineRule="auto"/>
        <w:jc w:val="center"/>
        <w:rPr>
          <w:rFonts w:ascii="宋体" w:hAnsi="宋体"/>
          <w:b/>
          <w:sz w:val="24"/>
        </w:rPr>
      </w:pPr>
      <w:r>
        <w:rPr>
          <w:rFonts w:hint="eastAsia" w:ascii="宋体" w:hAnsi="宋体"/>
          <w:b/>
          <w:sz w:val="24"/>
        </w:rPr>
        <w:t>经济签证单</w:t>
      </w:r>
    </w:p>
    <w:p w14:paraId="5D32434F">
      <w:pPr>
        <w:autoSpaceDE w:val="0"/>
        <w:autoSpaceDN w:val="0"/>
        <w:adjustRightInd w:val="0"/>
        <w:spacing w:line="360" w:lineRule="auto"/>
        <w:jc w:val="center"/>
        <w:rPr>
          <w:rFonts w:ascii="宋体" w:hAnsi="宋体"/>
          <w:b/>
          <w:sz w:val="18"/>
          <w:szCs w:val="18"/>
        </w:rPr>
      </w:pPr>
      <w:r>
        <w:rPr>
          <w:rFonts w:hint="eastAsia" w:ascii="宋体" w:hAnsi="宋体"/>
          <w:sz w:val="18"/>
          <w:szCs w:val="18"/>
        </w:rPr>
        <w:t>（五万元以下适用）</w:t>
      </w:r>
    </w:p>
    <w:tbl>
      <w:tblPr>
        <w:tblStyle w:val="20"/>
        <w:tblW w:w="9056" w:type="dxa"/>
        <w:jc w:val="center"/>
        <w:tblLayout w:type="fixed"/>
        <w:tblCellMar>
          <w:top w:w="0" w:type="dxa"/>
          <w:left w:w="108" w:type="dxa"/>
          <w:bottom w:w="0" w:type="dxa"/>
          <w:right w:w="108" w:type="dxa"/>
        </w:tblCellMar>
      </w:tblPr>
      <w:tblGrid>
        <w:gridCol w:w="1694"/>
        <w:gridCol w:w="1843"/>
        <w:gridCol w:w="1760"/>
        <w:gridCol w:w="83"/>
        <w:gridCol w:w="1283"/>
        <w:gridCol w:w="559"/>
        <w:gridCol w:w="1834"/>
      </w:tblGrid>
      <w:tr w14:paraId="51E34E2F">
        <w:tblPrEx>
          <w:tblCellMar>
            <w:top w:w="0" w:type="dxa"/>
            <w:left w:w="108" w:type="dxa"/>
            <w:bottom w:w="0" w:type="dxa"/>
            <w:right w:w="108" w:type="dxa"/>
          </w:tblCellMar>
        </w:tblPrEx>
        <w:trPr>
          <w:trHeight w:val="356" w:hRule="atLeast"/>
          <w:jc w:val="center"/>
        </w:trPr>
        <w:tc>
          <w:tcPr>
            <w:tcW w:w="5297" w:type="dxa"/>
            <w:gridSpan w:val="3"/>
            <w:tcBorders>
              <w:top w:val="nil"/>
              <w:left w:val="nil"/>
              <w:bottom w:val="nil"/>
              <w:right w:val="nil"/>
            </w:tcBorders>
            <w:vAlign w:val="center"/>
          </w:tcPr>
          <w:p w14:paraId="219CE4D4">
            <w:pPr>
              <w:widowControl/>
              <w:jc w:val="left"/>
              <w:rPr>
                <w:rFonts w:ascii="宋体" w:hAnsi="宋体" w:cs="宋体"/>
                <w:kern w:val="0"/>
                <w:sz w:val="24"/>
              </w:rPr>
            </w:pPr>
            <w:r>
              <w:rPr>
                <w:rFonts w:hint="eastAsia" w:ascii="宋体" w:hAnsi="宋体" w:cs="宋体"/>
                <w:kern w:val="0"/>
                <w:sz w:val="24"/>
              </w:rPr>
              <w:t>工程名称：                  分部工程：</w:t>
            </w:r>
          </w:p>
        </w:tc>
        <w:tc>
          <w:tcPr>
            <w:tcW w:w="3759" w:type="dxa"/>
            <w:gridSpan w:val="4"/>
            <w:tcBorders>
              <w:top w:val="nil"/>
              <w:left w:val="nil"/>
              <w:bottom w:val="nil"/>
              <w:right w:val="nil"/>
            </w:tcBorders>
            <w:vAlign w:val="center"/>
          </w:tcPr>
          <w:p w14:paraId="7E3A5F44">
            <w:pPr>
              <w:widowControl/>
              <w:rPr>
                <w:rFonts w:ascii="宋体" w:hAnsi="宋体" w:cs="宋体"/>
                <w:kern w:val="0"/>
                <w:sz w:val="24"/>
              </w:rPr>
            </w:pPr>
            <w:r>
              <w:rPr>
                <w:rFonts w:hint="eastAsia" w:ascii="宋体" w:hAnsi="宋体" w:cs="宋体"/>
                <w:kern w:val="0"/>
                <w:sz w:val="24"/>
              </w:rPr>
              <w:t xml:space="preserve">日期：            </w:t>
            </w:r>
          </w:p>
        </w:tc>
      </w:tr>
      <w:tr w14:paraId="51AC2874">
        <w:tblPrEx>
          <w:tblCellMar>
            <w:top w:w="0" w:type="dxa"/>
            <w:left w:w="108" w:type="dxa"/>
            <w:bottom w:w="0" w:type="dxa"/>
            <w:right w:w="108" w:type="dxa"/>
          </w:tblCellMar>
        </w:tblPrEx>
        <w:trPr>
          <w:trHeight w:val="634" w:hRule="atLeast"/>
          <w:jc w:val="center"/>
        </w:trPr>
        <w:tc>
          <w:tcPr>
            <w:tcW w:w="5380" w:type="dxa"/>
            <w:gridSpan w:val="4"/>
            <w:tcBorders>
              <w:top w:val="single" w:color="auto" w:sz="4" w:space="0"/>
              <w:left w:val="single" w:color="auto" w:sz="4" w:space="0"/>
              <w:bottom w:val="single" w:color="auto" w:sz="4" w:space="0"/>
              <w:right w:val="single" w:color="auto" w:sz="4" w:space="0"/>
            </w:tcBorders>
            <w:vAlign w:val="center"/>
          </w:tcPr>
          <w:p w14:paraId="1E550496">
            <w:pPr>
              <w:widowControl/>
              <w:jc w:val="left"/>
              <w:rPr>
                <w:rFonts w:ascii="宋体" w:hAnsi="宋体" w:cs="宋体"/>
                <w:kern w:val="0"/>
                <w:sz w:val="24"/>
              </w:rPr>
            </w:pPr>
            <w:r>
              <w:rPr>
                <w:rFonts w:hint="eastAsia" w:ascii="宋体" w:hAnsi="宋体" w:cs="宋体"/>
                <w:kern w:val="0"/>
                <w:sz w:val="24"/>
              </w:rPr>
              <w:t>施工单位：</w:t>
            </w:r>
          </w:p>
        </w:tc>
        <w:tc>
          <w:tcPr>
            <w:tcW w:w="1283" w:type="dxa"/>
            <w:tcBorders>
              <w:top w:val="single" w:color="auto" w:sz="4" w:space="0"/>
              <w:left w:val="nil"/>
              <w:bottom w:val="single" w:color="auto" w:sz="4" w:space="0"/>
              <w:right w:val="single" w:color="auto" w:sz="4" w:space="0"/>
            </w:tcBorders>
            <w:vAlign w:val="center"/>
          </w:tcPr>
          <w:p w14:paraId="7404D2B7">
            <w:pPr>
              <w:widowControl/>
              <w:jc w:val="left"/>
              <w:rPr>
                <w:rFonts w:ascii="宋体" w:hAnsi="宋体" w:cs="宋体"/>
                <w:kern w:val="0"/>
                <w:sz w:val="24"/>
              </w:rPr>
            </w:pPr>
            <w:r>
              <w:rPr>
                <w:rFonts w:hint="eastAsia" w:ascii="宋体" w:hAnsi="宋体" w:cs="宋体"/>
                <w:kern w:val="0"/>
                <w:sz w:val="24"/>
              </w:rPr>
              <w:t>专业：</w:t>
            </w:r>
          </w:p>
        </w:tc>
        <w:tc>
          <w:tcPr>
            <w:tcW w:w="2393" w:type="dxa"/>
            <w:gridSpan w:val="2"/>
            <w:tcBorders>
              <w:top w:val="single" w:color="auto" w:sz="4" w:space="0"/>
              <w:left w:val="nil"/>
              <w:bottom w:val="single" w:color="auto" w:sz="4" w:space="0"/>
              <w:right w:val="single" w:color="auto" w:sz="4" w:space="0"/>
            </w:tcBorders>
            <w:vAlign w:val="center"/>
          </w:tcPr>
          <w:p w14:paraId="245283CF">
            <w:pPr>
              <w:widowControl/>
              <w:jc w:val="left"/>
              <w:rPr>
                <w:rFonts w:ascii="宋体" w:hAnsi="宋体" w:cs="宋体"/>
                <w:kern w:val="0"/>
                <w:sz w:val="24"/>
              </w:rPr>
            </w:pPr>
            <w:r>
              <w:rPr>
                <w:rFonts w:hint="eastAsia" w:ascii="宋体" w:hAnsi="宋体" w:cs="宋体"/>
                <w:kern w:val="0"/>
                <w:sz w:val="24"/>
              </w:rPr>
              <w:t>编号：</w:t>
            </w:r>
          </w:p>
        </w:tc>
      </w:tr>
      <w:tr w14:paraId="26129A3D">
        <w:tblPrEx>
          <w:tblCellMar>
            <w:top w:w="0" w:type="dxa"/>
            <w:left w:w="108" w:type="dxa"/>
            <w:bottom w:w="0" w:type="dxa"/>
            <w:right w:w="108" w:type="dxa"/>
          </w:tblCellMar>
        </w:tblPrEx>
        <w:trPr>
          <w:trHeight w:val="1656" w:hRule="atLeast"/>
          <w:jc w:val="center"/>
        </w:trPr>
        <w:tc>
          <w:tcPr>
            <w:tcW w:w="9056" w:type="dxa"/>
            <w:gridSpan w:val="7"/>
            <w:vMerge w:val="restart"/>
            <w:tcBorders>
              <w:top w:val="single" w:color="auto" w:sz="4" w:space="0"/>
              <w:left w:val="single" w:color="auto" w:sz="4" w:space="0"/>
              <w:bottom w:val="nil"/>
              <w:right w:val="single" w:color="000000" w:sz="4" w:space="0"/>
            </w:tcBorders>
          </w:tcPr>
          <w:p w14:paraId="0A701133">
            <w:pPr>
              <w:widowControl/>
              <w:jc w:val="left"/>
              <w:rPr>
                <w:rFonts w:ascii="宋体" w:hAnsi="宋体" w:cs="宋体"/>
                <w:kern w:val="0"/>
                <w:sz w:val="22"/>
              </w:rPr>
            </w:pPr>
            <w:r>
              <w:rPr>
                <w:rFonts w:hint="eastAsia" w:ascii="宋体" w:hAnsi="宋体" w:cs="宋体"/>
                <w:kern w:val="0"/>
                <w:sz w:val="22"/>
              </w:rPr>
              <w:t>签证事由：</w:t>
            </w:r>
          </w:p>
        </w:tc>
      </w:tr>
      <w:tr w14:paraId="423B454F">
        <w:tblPrEx>
          <w:tblCellMar>
            <w:top w:w="0" w:type="dxa"/>
            <w:left w:w="108" w:type="dxa"/>
            <w:bottom w:w="0" w:type="dxa"/>
            <w:right w:w="108" w:type="dxa"/>
          </w:tblCellMar>
        </w:tblPrEx>
        <w:trPr>
          <w:trHeight w:val="312" w:hRule="atLeast"/>
          <w:jc w:val="center"/>
        </w:trPr>
        <w:tc>
          <w:tcPr>
            <w:tcW w:w="9056" w:type="dxa"/>
            <w:gridSpan w:val="7"/>
            <w:vMerge w:val="continue"/>
            <w:tcBorders>
              <w:top w:val="single" w:color="auto" w:sz="4" w:space="0"/>
              <w:left w:val="single" w:color="auto" w:sz="4" w:space="0"/>
              <w:bottom w:val="single" w:color="auto" w:sz="4" w:space="0"/>
              <w:right w:val="single" w:color="000000" w:sz="4" w:space="0"/>
            </w:tcBorders>
            <w:vAlign w:val="center"/>
          </w:tcPr>
          <w:p w14:paraId="077638B0">
            <w:pPr>
              <w:widowControl/>
              <w:jc w:val="left"/>
              <w:rPr>
                <w:rFonts w:ascii="宋体" w:hAnsi="宋体" w:cs="宋体"/>
                <w:kern w:val="0"/>
                <w:sz w:val="22"/>
              </w:rPr>
            </w:pPr>
          </w:p>
        </w:tc>
      </w:tr>
      <w:tr w14:paraId="4202F68B">
        <w:tblPrEx>
          <w:tblCellMar>
            <w:top w:w="0" w:type="dxa"/>
            <w:left w:w="108" w:type="dxa"/>
            <w:bottom w:w="0" w:type="dxa"/>
            <w:right w:w="108" w:type="dxa"/>
          </w:tblCellMar>
        </w:tblPrEx>
        <w:trPr>
          <w:trHeight w:val="4175" w:hRule="atLeast"/>
          <w:jc w:val="center"/>
        </w:trPr>
        <w:tc>
          <w:tcPr>
            <w:tcW w:w="9056" w:type="dxa"/>
            <w:gridSpan w:val="7"/>
            <w:tcBorders>
              <w:top w:val="single" w:color="auto" w:sz="4" w:space="0"/>
              <w:left w:val="single" w:color="auto" w:sz="4" w:space="0"/>
              <w:bottom w:val="single" w:color="auto" w:sz="4" w:space="0"/>
              <w:right w:val="single" w:color="000000" w:sz="4" w:space="0"/>
            </w:tcBorders>
            <w:vAlign w:val="center"/>
          </w:tcPr>
          <w:p w14:paraId="6F7884CB">
            <w:pPr>
              <w:widowControl/>
              <w:jc w:val="left"/>
              <w:rPr>
                <w:rFonts w:ascii="宋体" w:hAnsi="宋体" w:cs="宋体"/>
                <w:kern w:val="0"/>
                <w:sz w:val="22"/>
              </w:rPr>
            </w:pPr>
            <w:r>
              <w:rPr>
                <w:rFonts w:hint="eastAsia" w:ascii="宋体" w:hAnsi="宋体" w:cs="宋体"/>
                <w:kern w:val="0"/>
                <w:sz w:val="22"/>
              </w:rPr>
              <w:t>内容（部位、数量、草图、说明、相片）：</w:t>
            </w:r>
          </w:p>
          <w:p w14:paraId="7EE56821">
            <w:pPr>
              <w:widowControl/>
              <w:jc w:val="left"/>
              <w:rPr>
                <w:rFonts w:ascii="宋体" w:hAnsi="宋体" w:cs="宋体"/>
                <w:kern w:val="0"/>
                <w:sz w:val="22"/>
              </w:rPr>
            </w:pPr>
          </w:p>
          <w:p w14:paraId="7A2A7B40">
            <w:pPr>
              <w:widowControl/>
              <w:jc w:val="left"/>
              <w:rPr>
                <w:rFonts w:ascii="宋体" w:hAnsi="宋体" w:cs="宋体"/>
                <w:kern w:val="0"/>
                <w:sz w:val="22"/>
              </w:rPr>
            </w:pPr>
          </w:p>
          <w:p w14:paraId="660B61DE">
            <w:pPr>
              <w:widowControl/>
              <w:jc w:val="left"/>
              <w:rPr>
                <w:rFonts w:ascii="宋体" w:hAnsi="宋体" w:cs="宋体"/>
                <w:kern w:val="0"/>
                <w:sz w:val="22"/>
              </w:rPr>
            </w:pPr>
          </w:p>
          <w:p w14:paraId="7538CF21">
            <w:pPr>
              <w:widowControl/>
              <w:jc w:val="left"/>
              <w:rPr>
                <w:rFonts w:ascii="宋体" w:hAnsi="宋体" w:cs="宋体"/>
                <w:kern w:val="0"/>
                <w:sz w:val="22"/>
              </w:rPr>
            </w:pPr>
          </w:p>
          <w:p w14:paraId="153CCBEE">
            <w:pPr>
              <w:widowControl/>
              <w:jc w:val="left"/>
              <w:rPr>
                <w:rFonts w:ascii="宋体" w:hAnsi="宋体" w:cs="宋体"/>
                <w:kern w:val="0"/>
                <w:sz w:val="22"/>
              </w:rPr>
            </w:pPr>
          </w:p>
          <w:p w14:paraId="67E5638E">
            <w:pPr>
              <w:widowControl/>
              <w:jc w:val="left"/>
              <w:rPr>
                <w:rFonts w:ascii="宋体" w:hAnsi="宋体" w:cs="宋体"/>
                <w:kern w:val="0"/>
                <w:sz w:val="22"/>
              </w:rPr>
            </w:pPr>
          </w:p>
          <w:p w14:paraId="6C84AEDF">
            <w:pPr>
              <w:widowControl/>
              <w:jc w:val="left"/>
              <w:rPr>
                <w:rFonts w:ascii="宋体" w:hAnsi="宋体" w:cs="宋体"/>
                <w:kern w:val="0"/>
                <w:sz w:val="22"/>
              </w:rPr>
            </w:pPr>
          </w:p>
          <w:p w14:paraId="670D3A86">
            <w:pPr>
              <w:widowControl/>
              <w:jc w:val="left"/>
              <w:rPr>
                <w:rFonts w:ascii="宋体" w:hAnsi="宋体" w:cs="宋体"/>
                <w:kern w:val="0"/>
                <w:sz w:val="22"/>
              </w:rPr>
            </w:pPr>
          </w:p>
          <w:p w14:paraId="504D3525">
            <w:pPr>
              <w:widowControl/>
              <w:jc w:val="left"/>
              <w:rPr>
                <w:rFonts w:ascii="宋体" w:hAnsi="宋体" w:cs="宋体"/>
                <w:kern w:val="0"/>
                <w:sz w:val="22"/>
              </w:rPr>
            </w:pPr>
          </w:p>
          <w:p w14:paraId="67F9C673">
            <w:pPr>
              <w:widowControl/>
              <w:jc w:val="left"/>
              <w:rPr>
                <w:rFonts w:ascii="宋体" w:hAnsi="宋体" w:cs="宋体"/>
                <w:kern w:val="0"/>
                <w:sz w:val="22"/>
              </w:rPr>
            </w:pPr>
          </w:p>
          <w:p w14:paraId="0B00C3A7">
            <w:pPr>
              <w:widowControl/>
              <w:spacing w:before="100" w:beforeAutospacing="1"/>
              <w:jc w:val="left"/>
              <w:rPr>
                <w:rFonts w:ascii="宋体" w:hAnsi="宋体" w:cs="宋体"/>
                <w:kern w:val="0"/>
                <w:sz w:val="22"/>
              </w:rPr>
            </w:pPr>
          </w:p>
        </w:tc>
      </w:tr>
      <w:tr w14:paraId="23D3CFAF">
        <w:tblPrEx>
          <w:tblCellMar>
            <w:top w:w="0" w:type="dxa"/>
            <w:left w:w="108" w:type="dxa"/>
            <w:bottom w:w="0" w:type="dxa"/>
            <w:right w:w="108" w:type="dxa"/>
          </w:tblCellMar>
        </w:tblPrEx>
        <w:trPr>
          <w:trHeight w:val="906" w:hRule="atLeast"/>
          <w:jc w:val="center"/>
        </w:trPr>
        <w:tc>
          <w:tcPr>
            <w:tcW w:w="9056" w:type="dxa"/>
            <w:gridSpan w:val="7"/>
            <w:vMerge w:val="restart"/>
            <w:tcBorders>
              <w:top w:val="single" w:color="auto" w:sz="4" w:space="0"/>
              <w:left w:val="single" w:color="auto" w:sz="4" w:space="0"/>
              <w:bottom w:val="nil"/>
              <w:right w:val="single" w:color="000000" w:sz="4" w:space="0"/>
            </w:tcBorders>
          </w:tcPr>
          <w:p w14:paraId="415926F2">
            <w:pPr>
              <w:rPr>
                <w:rFonts w:ascii="宋体" w:hAnsi="宋体" w:cs="宋体"/>
                <w:kern w:val="0"/>
                <w:sz w:val="22"/>
              </w:rPr>
            </w:pPr>
            <w:r>
              <w:rPr>
                <w:rFonts w:hint="eastAsia" w:ascii="宋体" w:hAnsi="宋体" w:cs="宋体"/>
                <w:kern w:val="0"/>
                <w:sz w:val="22"/>
              </w:rPr>
              <w:t>审核人员意见：</w:t>
            </w:r>
          </w:p>
        </w:tc>
      </w:tr>
      <w:tr w14:paraId="3E2137C7">
        <w:tblPrEx>
          <w:tblCellMar>
            <w:top w:w="0" w:type="dxa"/>
            <w:left w:w="108" w:type="dxa"/>
            <w:bottom w:w="0" w:type="dxa"/>
            <w:right w:w="108" w:type="dxa"/>
          </w:tblCellMar>
        </w:tblPrEx>
        <w:trPr>
          <w:trHeight w:val="496" w:hRule="atLeast"/>
          <w:jc w:val="center"/>
        </w:trPr>
        <w:tc>
          <w:tcPr>
            <w:tcW w:w="9056" w:type="dxa"/>
            <w:gridSpan w:val="7"/>
            <w:vMerge w:val="continue"/>
            <w:tcBorders>
              <w:top w:val="single" w:color="auto" w:sz="4" w:space="0"/>
              <w:left w:val="single" w:color="auto" w:sz="4" w:space="0"/>
              <w:bottom w:val="nil"/>
              <w:right w:val="single" w:color="000000" w:sz="4" w:space="0"/>
            </w:tcBorders>
            <w:vAlign w:val="center"/>
          </w:tcPr>
          <w:p w14:paraId="52531F34">
            <w:pPr>
              <w:widowControl/>
              <w:jc w:val="left"/>
              <w:rPr>
                <w:rFonts w:ascii="宋体" w:hAnsi="宋体" w:cs="宋体"/>
                <w:kern w:val="0"/>
                <w:sz w:val="22"/>
              </w:rPr>
            </w:pPr>
          </w:p>
        </w:tc>
      </w:tr>
      <w:tr w14:paraId="208C745C">
        <w:tblPrEx>
          <w:tblCellMar>
            <w:top w:w="0" w:type="dxa"/>
            <w:left w:w="108" w:type="dxa"/>
            <w:bottom w:w="0" w:type="dxa"/>
            <w:right w:w="108" w:type="dxa"/>
          </w:tblCellMar>
        </w:tblPrEx>
        <w:trPr>
          <w:trHeight w:val="1248" w:hRule="atLeast"/>
          <w:jc w:val="center"/>
        </w:trPr>
        <w:tc>
          <w:tcPr>
            <w:tcW w:w="1694" w:type="dxa"/>
            <w:tcBorders>
              <w:top w:val="single" w:color="auto" w:sz="4" w:space="0"/>
              <w:left w:val="single" w:color="auto" w:sz="4" w:space="0"/>
              <w:bottom w:val="single" w:color="auto" w:sz="4" w:space="0"/>
              <w:right w:val="single" w:color="auto" w:sz="4" w:space="0"/>
            </w:tcBorders>
          </w:tcPr>
          <w:p w14:paraId="75032736">
            <w:pPr>
              <w:widowControl/>
              <w:jc w:val="left"/>
              <w:rPr>
                <w:rFonts w:ascii="宋体" w:hAnsi="宋体" w:cs="宋体"/>
                <w:kern w:val="0"/>
                <w:sz w:val="22"/>
              </w:rPr>
            </w:pPr>
            <w:r>
              <w:rPr>
                <w:rFonts w:hint="eastAsia" w:ascii="宋体" w:hAnsi="宋体" w:cs="宋体"/>
                <w:kern w:val="0"/>
                <w:sz w:val="22"/>
              </w:rPr>
              <w:t xml:space="preserve">施工单位签章                           </w:t>
            </w:r>
          </w:p>
        </w:tc>
        <w:tc>
          <w:tcPr>
            <w:tcW w:w="1843" w:type="dxa"/>
            <w:tcBorders>
              <w:top w:val="single" w:color="auto" w:sz="4" w:space="0"/>
              <w:left w:val="single" w:color="auto" w:sz="4" w:space="0"/>
              <w:bottom w:val="single" w:color="auto" w:sz="4" w:space="0"/>
              <w:right w:val="single" w:color="auto" w:sz="4" w:space="0"/>
            </w:tcBorders>
          </w:tcPr>
          <w:p w14:paraId="6E928043">
            <w:pPr>
              <w:widowControl/>
              <w:jc w:val="left"/>
              <w:rPr>
                <w:rFonts w:ascii="宋体" w:hAnsi="宋体" w:cs="宋体"/>
                <w:kern w:val="0"/>
                <w:sz w:val="22"/>
              </w:rPr>
            </w:pPr>
            <w:r>
              <w:rPr>
                <w:rFonts w:hint="eastAsia" w:ascii="宋体" w:hAnsi="宋体" w:cs="宋体"/>
                <w:kern w:val="0"/>
                <w:sz w:val="22"/>
              </w:rPr>
              <w:t>监理公司签章</w:t>
            </w:r>
          </w:p>
        </w:tc>
        <w:tc>
          <w:tcPr>
            <w:tcW w:w="1843" w:type="dxa"/>
            <w:gridSpan w:val="2"/>
            <w:tcBorders>
              <w:top w:val="single" w:color="auto" w:sz="4" w:space="0"/>
              <w:left w:val="single" w:color="auto" w:sz="4" w:space="0"/>
              <w:bottom w:val="single" w:color="auto" w:sz="4" w:space="0"/>
              <w:right w:val="single" w:color="auto" w:sz="4" w:space="0"/>
            </w:tcBorders>
          </w:tcPr>
          <w:p w14:paraId="1BDCDE9C">
            <w:pPr>
              <w:widowControl/>
              <w:jc w:val="left"/>
              <w:rPr>
                <w:rFonts w:ascii="宋体" w:hAnsi="宋体" w:cs="宋体"/>
                <w:kern w:val="0"/>
                <w:sz w:val="22"/>
              </w:rPr>
            </w:pPr>
            <w:r>
              <w:rPr>
                <w:rFonts w:hint="eastAsia" w:ascii="宋体" w:hAnsi="宋体" w:cs="宋体"/>
                <w:kern w:val="0"/>
                <w:sz w:val="22"/>
              </w:rPr>
              <w:t>现场专业负责人（项目负责人）</w:t>
            </w:r>
          </w:p>
          <w:p w14:paraId="217CA505">
            <w:pPr>
              <w:widowControl/>
              <w:jc w:val="left"/>
              <w:rPr>
                <w:rFonts w:ascii="宋体" w:hAnsi="宋体" w:cs="宋体"/>
                <w:kern w:val="0"/>
                <w:sz w:val="22"/>
              </w:rPr>
            </w:pPr>
            <w:r>
              <w:rPr>
                <w:rFonts w:hint="eastAsia" w:ascii="宋体" w:hAnsi="宋体" w:cs="宋体"/>
                <w:kern w:val="0"/>
                <w:sz w:val="22"/>
              </w:rPr>
              <w:t>部门签章</w:t>
            </w:r>
          </w:p>
        </w:tc>
        <w:tc>
          <w:tcPr>
            <w:tcW w:w="1842" w:type="dxa"/>
            <w:gridSpan w:val="2"/>
            <w:tcBorders>
              <w:top w:val="single" w:color="auto" w:sz="4" w:space="0"/>
              <w:left w:val="single" w:color="auto" w:sz="4" w:space="0"/>
              <w:bottom w:val="single" w:color="auto" w:sz="4" w:space="0"/>
              <w:right w:val="single" w:color="auto" w:sz="4" w:space="0"/>
            </w:tcBorders>
          </w:tcPr>
          <w:p w14:paraId="133BD2AD">
            <w:pPr>
              <w:widowControl/>
              <w:jc w:val="left"/>
              <w:rPr>
                <w:rFonts w:ascii="宋体" w:hAnsi="宋体" w:cs="宋体"/>
                <w:kern w:val="0"/>
                <w:sz w:val="22"/>
              </w:rPr>
            </w:pPr>
            <w:r>
              <w:rPr>
                <w:rFonts w:hint="eastAsia" w:ascii="宋体" w:hAnsi="宋体" w:cs="宋体"/>
                <w:kern w:val="0"/>
                <w:sz w:val="22"/>
              </w:rPr>
              <w:t>造价管理人员</w:t>
            </w:r>
          </w:p>
        </w:tc>
        <w:tc>
          <w:tcPr>
            <w:tcW w:w="1834" w:type="dxa"/>
            <w:tcBorders>
              <w:top w:val="single" w:color="auto" w:sz="4" w:space="0"/>
              <w:left w:val="single" w:color="auto" w:sz="4" w:space="0"/>
              <w:right w:val="single" w:color="auto" w:sz="4" w:space="0"/>
            </w:tcBorders>
            <w:shd w:val="clear" w:color="auto" w:fill="auto"/>
          </w:tcPr>
          <w:p w14:paraId="39E1FECC">
            <w:pPr>
              <w:widowControl/>
              <w:jc w:val="left"/>
              <w:rPr>
                <w:rFonts w:ascii="宋体" w:hAnsi="宋体" w:cs="宋体"/>
                <w:kern w:val="0"/>
                <w:sz w:val="22"/>
              </w:rPr>
            </w:pPr>
            <w:r>
              <w:rPr>
                <w:rFonts w:hint="eastAsia" w:ascii="宋体" w:hAnsi="宋体" w:cs="宋体"/>
                <w:kern w:val="0"/>
                <w:sz w:val="22"/>
              </w:rPr>
              <w:t>部门领导</w:t>
            </w:r>
          </w:p>
        </w:tc>
      </w:tr>
      <w:tr w14:paraId="45742C6D">
        <w:tblPrEx>
          <w:tblCellMar>
            <w:top w:w="0" w:type="dxa"/>
            <w:left w:w="108" w:type="dxa"/>
            <w:bottom w:w="0" w:type="dxa"/>
            <w:right w:w="108" w:type="dxa"/>
          </w:tblCellMar>
        </w:tblPrEx>
        <w:trPr>
          <w:trHeight w:val="1273" w:hRule="atLeast"/>
          <w:jc w:val="center"/>
        </w:trPr>
        <w:tc>
          <w:tcPr>
            <w:tcW w:w="1694" w:type="dxa"/>
            <w:tcBorders>
              <w:top w:val="single" w:color="auto" w:sz="4" w:space="0"/>
              <w:left w:val="single" w:color="auto" w:sz="4" w:space="0"/>
              <w:bottom w:val="single" w:color="auto" w:sz="4" w:space="0"/>
              <w:right w:val="single" w:color="auto" w:sz="4" w:space="0"/>
            </w:tcBorders>
          </w:tcPr>
          <w:p w14:paraId="15831A44">
            <w:pPr>
              <w:widowControl/>
              <w:jc w:val="left"/>
              <w:rPr>
                <w:rFonts w:ascii="宋体" w:hAnsi="宋体" w:cs="宋体"/>
                <w:kern w:val="0"/>
                <w:sz w:val="22"/>
              </w:rPr>
            </w:pPr>
            <w:r>
              <w:rPr>
                <w:rFonts w:hint="eastAsia" w:ascii="宋体" w:hAnsi="宋体" w:cs="宋体"/>
                <w:kern w:val="0"/>
                <w:sz w:val="22"/>
              </w:rPr>
              <w:t>经办人：</w:t>
            </w:r>
          </w:p>
        </w:tc>
        <w:tc>
          <w:tcPr>
            <w:tcW w:w="1843" w:type="dxa"/>
            <w:tcBorders>
              <w:top w:val="single" w:color="auto" w:sz="4" w:space="0"/>
              <w:left w:val="nil"/>
              <w:bottom w:val="single" w:color="auto" w:sz="4" w:space="0"/>
              <w:right w:val="single" w:color="auto" w:sz="4" w:space="0"/>
            </w:tcBorders>
          </w:tcPr>
          <w:p w14:paraId="046A7BB6">
            <w:pPr>
              <w:widowControl/>
              <w:jc w:val="left"/>
              <w:rPr>
                <w:rFonts w:ascii="宋体" w:hAnsi="宋体" w:cs="宋体"/>
                <w:kern w:val="0"/>
                <w:sz w:val="22"/>
              </w:rPr>
            </w:pPr>
            <w:r>
              <w:rPr>
                <w:rFonts w:hint="eastAsia" w:ascii="宋体" w:hAnsi="宋体" w:cs="宋体"/>
                <w:kern w:val="0"/>
                <w:sz w:val="22"/>
              </w:rPr>
              <w:t>经办人：</w:t>
            </w:r>
          </w:p>
        </w:tc>
        <w:tc>
          <w:tcPr>
            <w:tcW w:w="1843" w:type="dxa"/>
            <w:gridSpan w:val="2"/>
            <w:tcBorders>
              <w:top w:val="single" w:color="auto" w:sz="4" w:space="0"/>
              <w:left w:val="nil"/>
              <w:bottom w:val="single" w:color="auto" w:sz="4" w:space="0"/>
              <w:right w:val="single" w:color="auto" w:sz="4" w:space="0"/>
            </w:tcBorders>
          </w:tcPr>
          <w:p w14:paraId="1CE7428E">
            <w:pPr>
              <w:widowControl/>
              <w:jc w:val="left"/>
              <w:rPr>
                <w:rFonts w:ascii="宋体" w:hAnsi="宋体" w:cs="宋体"/>
                <w:kern w:val="0"/>
                <w:sz w:val="22"/>
              </w:rPr>
            </w:pPr>
            <w:r>
              <w:rPr>
                <w:rFonts w:hint="eastAsia" w:ascii="宋体" w:hAnsi="宋体" w:cs="宋体"/>
                <w:kern w:val="0"/>
                <w:sz w:val="22"/>
              </w:rPr>
              <w:t>经办人：</w:t>
            </w:r>
          </w:p>
        </w:tc>
        <w:tc>
          <w:tcPr>
            <w:tcW w:w="1842" w:type="dxa"/>
            <w:gridSpan w:val="2"/>
            <w:tcBorders>
              <w:top w:val="single" w:color="auto" w:sz="4" w:space="0"/>
              <w:left w:val="nil"/>
              <w:bottom w:val="single" w:color="auto" w:sz="4" w:space="0"/>
              <w:right w:val="single" w:color="auto" w:sz="4" w:space="0"/>
            </w:tcBorders>
          </w:tcPr>
          <w:p w14:paraId="2E74D714">
            <w:pPr>
              <w:widowControl/>
              <w:jc w:val="left"/>
              <w:rPr>
                <w:rFonts w:ascii="宋体" w:hAnsi="宋体" w:cs="宋体"/>
                <w:kern w:val="0"/>
                <w:sz w:val="22"/>
              </w:rPr>
            </w:pPr>
            <w:r>
              <w:rPr>
                <w:rFonts w:hint="eastAsia" w:ascii="宋体" w:hAnsi="宋体" w:cs="宋体"/>
                <w:kern w:val="0"/>
                <w:sz w:val="22"/>
              </w:rPr>
              <w:t>经办人：</w:t>
            </w:r>
          </w:p>
        </w:tc>
        <w:tc>
          <w:tcPr>
            <w:tcW w:w="1834" w:type="dxa"/>
            <w:tcBorders>
              <w:top w:val="single" w:color="auto" w:sz="4" w:space="0"/>
              <w:left w:val="nil"/>
              <w:bottom w:val="single" w:color="auto" w:sz="4" w:space="0"/>
              <w:right w:val="single" w:color="auto" w:sz="4" w:space="0"/>
            </w:tcBorders>
          </w:tcPr>
          <w:p w14:paraId="6492F931">
            <w:pPr>
              <w:widowControl/>
              <w:jc w:val="left"/>
              <w:rPr>
                <w:rFonts w:ascii="宋体" w:hAnsi="宋体" w:cs="宋体"/>
                <w:kern w:val="0"/>
                <w:sz w:val="22"/>
              </w:rPr>
            </w:pPr>
            <w:r>
              <w:rPr>
                <w:rFonts w:hint="eastAsia" w:ascii="宋体" w:hAnsi="宋体" w:cs="宋体"/>
                <w:kern w:val="0"/>
                <w:sz w:val="22"/>
              </w:rPr>
              <w:t>审批人：</w:t>
            </w:r>
          </w:p>
        </w:tc>
      </w:tr>
    </w:tbl>
    <w:p w14:paraId="410B1199">
      <w:pPr>
        <w:autoSpaceDE w:val="0"/>
        <w:autoSpaceDN w:val="0"/>
        <w:adjustRightInd w:val="0"/>
        <w:spacing w:line="360" w:lineRule="auto"/>
        <w:ind w:left="201" w:leftChars="96"/>
        <w:rPr>
          <w:rFonts w:ascii="宋体" w:hAnsi="宋体"/>
          <w:szCs w:val="21"/>
        </w:rPr>
      </w:pPr>
      <w:r>
        <w:rPr>
          <w:rFonts w:hint="eastAsia" w:ascii="宋体" w:hAnsi="宋体"/>
          <w:szCs w:val="21"/>
        </w:rPr>
        <w:t>注：1、本记录表二份原件，施工单位、建设单位工程管理部各执一份原件；</w:t>
      </w:r>
    </w:p>
    <w:p w14:paraId="0CC289C9">
      <w:pPr>
        <w:widowControl/>
        <w:jc w:val="left"/>
        <w:rPr>
          <w:rFonts w:ascii="宋体" w:hAnsi="宋体"/>
          <w:szCs w:val="21"/>
        </w:rPr>
      </w:pPr>
      <w:r>
        <w:rPr>
          <w:rFonts w:ascii="宋体" w:hAnsi="宋体"/>
          <w:szCs w:val="21"/>
        </w:rPr>
        <w:br w:type="page"/>
      </w:r>
    </w:p>
    <w:p w14:paraId="2816FE5D"/>
    <w:p w14:paraId="5BA579CC">
      <w:pPr>
        <w:jc w:val="center"/>
      </w:pPr>
      <w:r>
        <w:rPr>
          <w:rFonts w:hint="eastAsia"/>
        </w:rPr>
        <w:t>附录B</w:t>
      </w:r>
      <w:r>
        <w:br w:type="textWrapping"/>
      </w:r>
      <w:r>
        <w:rPr>
          <w:rFonts w:hint="eastAsia"/>
        </w:rPr>
        <w:t>（规范性附录）</w:t>
      </w:r>
    </w:p>
    <w:p w14:paraId="315273E8">
      <w:pPr>
        <w:autoSpaceDE w:val="0"/>
        <w:autoSpaceDN w:val="0"/>
        <w:adjustRightInd w:val="0"/>
        <w:spacing w:line="360" w:lineRule="auto"/>
        <w:jc w:val="center"/>
        <w:rPr>
          <w:rFonts w:ascii="宋体" w:hAnsi="宋体"/>
          <w:b/>
          <w:sz w:val="24"/>
        </w:rPr>
      </w:pPr>
      <w:r>
        <w:rPr>
          <w:rFonts w:hint="eastAsia" w:ascii="宋体" w:hAnsi="宋体"/>
          <w:b/>
          <w:sz w:val="24"/>
        </w:rPr>
        <w:t>经济签证单</w:t>
      </w:r>
    </w:p>
    <w:p w14:paraId="3E131B79">
      <w:pPr>
        <w:autoSpaceDE w:val="0"/>
        <w:autoSpaceDN w:val="0"/>
        <w:adjustRightInd w:val="0"/>
        <w:spacing w:line="360" w:lineRule="auto"/>
        <w:jc w:val="center"/>
        <w:rPr>
          <w:rFonts w:ascii="宋体" w:hAnsi="宋体"/>
          <w:b/>
          <w:sz w:val="18"/>
          <w:szCs w:val="18"/>
        </w:rPr>
      </w:pPr>
      <w:r>
        <w:rPr>
          <w:rFonts w:hint="eastAsia" w:ascii="宋体" w:hAnsi="宋体"/>
          <w:sz w:val="18"/>
          <w:szCs w:val="18"/>
        </w:rPr>
        <w:t>（五万元以上适用）</w:t>
      </w:r>
    </w:p>
    <w:tbl>
      <w:tblPr>
        <w:tblStyle w:val="20"/>
        <w:tblW w:w="9056" w:type="dxa"/>
        <w:jc w:val="center"/>
        <w:tblLayout w:type="fixed"/>
        <w:tblCellMar>
          <w:top w:w="0" w:type="dxa"/>
          <w:left w:w="108" w:type="dxa"/>
          <w:bottom w:w="0" w:type="dxa"/>
          <w:right w:w="108" w:type="dxa"/>
        </w:tblCellMar>
      </w:tblPr>
      <w:tblGrid>
        <w:gridCol w:w="1411"/>
        <w:gridCol w:w="1417"/>
        <w:gridCol w:w="1559"/>
        <w:gridCol w:w="8"/>
        <w:gridCol w:w="902"/>
        <w:gridCol w:w="650"/>
        <w:gridCol w:w="716"/>
        <w:gridCol w:w="843"/>
        <w:gridCol w:w="1550"/>
      </w:tblGrid>
      <w:tr w14:paraId="2606B6C8">
        <w:tblPrEx>
          <w:tblCellMar>
            <w:top w:w="0" w:type="dxa"/>
            <w:left w:w="108" w:type="dxa"/>
            <w:bottom w:w="0" w:type="dxa"/>
            <w:right w:w="108" w:type="dxa"/>
          </w:tblCellMar>
        </w:tblPrEx>
        <w:trPr>
          <w:trHeight w:val="356" w:hRule="atLeast"/>
          <w:jc w:val="center"/>
        </w:trPr>
        <w:tc>
          <w:tcPr>
            <w:tcW w:w="5297" w:type="dxa"/>
            <w:gridSpan w:val="5"/>
            <w:tcBorders>
              <w:top w:val="nil"/>
              <w:left w:val="nil"/>
              <w:bottom w:val="nil"/>
              <w:right w:val="nil"/>
            </w:tcBorders>
            <w:vAlign w:val="center"/>
          </w:tcPr>
          <w:p w14:paraId="52BEDCCB">
            <w:pPr>
              <w:widowControl/>
              <w:jc w:val="left"/>
              <w:rPr>
                <w:rFonts w:ascii="宋体" w:hAnsi="宋体" w:cs="宋体"/>
                <w:kern w:val="0"/>
                <w:sz w:val="24"/>
              </w:rPr>
            </w:pPr>
            <w:r>
              <w:rPr>
                <w:rFonts w:hint="eastAsia" w:ascii="宋体" w:hAnsi="宋体" w:cs="宋体"/>
                <w:kern w:val="0"/>
                <w:sz w:val="24"/>
              </w:rPr>
              <w:t>工程名称：                  分部工程：</w:t>
            </w:r>
          </w:p>
        </w:tc>
        <w:tc>
          <w:tcPr>
            <w:tcW w:w="3759" w:type="dxa"/>
            <w:gridSpan w:val="4"/>
            <w:tcBorders>
              <w:top w:val="nil"/>
              <w:left w:val="nil"/>
              <w:bottom w:val="nil"/>
              <w:right w:val="nil"/>
            </w:tcBorders>
            <w:vAlign w:val="center"/>
          </w:tcPr>
          <w:p w14:paraId="690470EC">
            <w:pPr>
              <w:widowControl/>
              <w:rPr>
                <w:rFonts w:ascii="宋体" w:hAnsi="宋体" w:cs="宋体"/>
                <w:kern w:val="0"/>
                <w:sz w:val="24"/>
              </w:rPr>
            </w:pPr>
            <w:r>
              <w:rPr>
                <w:rFonts w:hint="eastAsia" w:ascii="宋体" w:hAnsi="宋体" w:cs="宋体"/>
                <w:kern w:val="0"/>
                <w:sz w:val="24"/>
              </w:rPr>
              <w:t xml:space="preserve">日期：            </w:t>
            </w:r>
          </w:p>
        </w:tc>
      </w:tr>
      <w:tr w14:paraId="3DDB5993">
        <w:tblPrEx>
          <w:tblCellMar>
            <w:top w:w="0" w:type="dxa"/>
            <w:left w:w="108" w:type="dxa"/>
            <w:bottom w:w="0" w:type="dxa"/>
            <w:right w:w="108" w:type="dxa"/>
          </w:tblCellMar>
        </w:tblPrEx>
        <w:trPr>
          <w:trHeight w:val="634" w:hRule="atLeast"/>
          <w:jc w:val="center"/>
        </w:trPr>
        <w:tc>
          <w:tcPr>
            <w:tcW w:w="4395" w:type="dxa"/>
            <w:gridSpan w:val="4"/>
            <w:tcBorders>
              <w:top w:val="single" w:color="auto" w:sz="4" w:space="0"/>
              <w:left w:val="single" w:color="auto" w:sz="4" w:space="0"/>
              <w:bottom w:val="single" w:color="auto" w:sz="4" w:space="0"/>
              <w:right w:val="single" w:color="auto" w:sz="4" w:space="0"/>
            </w:tcBorders>
            <w:vAlign w:val="center"/>
          </w:tcPr>
          <w:p w14:paraId="0B1A97E4">
            <w:pPr>
              <w:widowControl/>
              <w:jc w:val="left"/>
              <w:rPr>
                <w:rFonts w:ascii="宋体" w:hAnsi="宋体" w:cs="宋体"/>
                <w:kern w:val="0"/>
                <w:sz w:val="24"/>
              </w:rPr>
            </w:pPr>
            <w:r>
              <w:rPr>
                <w:rFonts w:hint="eastAsia" w:ascii="宋体" w:hAnsi="宋体" w:cs="宋体"/>
                <w:kern w:val="0"/>
                <w:sz w:val="24"/>
              </w:rPr>
              <w:t>施工单位：</w:t>
            </w:r>
          </w:p>
        </w:tc>
        <w:tc>
          <w:tcPr>
            <w:tcW w:w="2268" w:type="dxa"/>
            <w:gridSpan w:val="3"/>
            <w:tcBorders>
              <w:top w:val="single" w:color="auto" w:sz="4" w:space="0"/>
              <w:left w:val="nil"/>
              <w:bottom w:val="single" w:color="auto" w:sz="4" w:space="0"/>
              <w:right w:val="single" w:color="auto" w:sz="4" w:space="0"/>
            </w:tcBorders>
            <w:vAlign w:val="center"/>
          </w:tcPr>
          <w:p w14:paraId="137CDE28">
            <w:pPr>
              <w:widowControl/>
              <w:jc w:val="left"/>
              <w:rPr>
                <w:rFonts w:ascii="宋体" w:hAnsi="宋体" w:cs="宋体"/>
                <w:kern w:val="0"/>
                <w:sz w:val="24"/>
              </w:rPr>
            </w:pPr>
            <w:r>
              <w:rPr>
                <w:rFonts w:hint="eastAsia" w:ascii="宋体" w:hAnsi="宋体" w:cs="宋体"/>
                <w:kern w:val="0"/>
                <w:sz w:val="24"/>
              </w:rPr>
              <w:t>专业：</w:t>
            </w:r>
          </w:p>
        </w:tc>
        <w:tc>
          <w:tcPr>
            <w:tcW w:w="2393" w:type="dxa"/>
            <w:gridSpan w:val="2"/>
            <w:tcBorders>
              <w:top w:val="single" w:color="auto" w:sz="4" w:space="0"/>
              <w:left w:val="nil"/>
              <w:bottom w:val="single" w:color="auto" w:sz="4" w:space="0"/>
              <w:right w:val="single" w:color="auto" w:sz="4" w:space="0"/>
            </w:tcBorders>
            <w:vAlign w:val="center"/>
          </w:tcPr>
          <w:p w14:paraId="6684801C">
            <w:pPr>
              <w:widowControl/>
              <w:jc w:val="left"/>
              <w:rPr>
                <w:rFonts w:ascii="宋体" w:hAnsi="宋体" w:cs="宋体"/>
                <w:kern w:val="0"/>
                <w:sz w:val="24"/>
              </w:rPr>
            </w:pPr>
            <w:r>
              <w:rPr>
                <w:rFonts w:hint="eastAsia" w:ascii="宋体" w:hAnsi="宋体" w:cs="宋体"/>
                <w:kern w:val="0"/>
                <w:sz w:val="24"/>
              </w:rPr>
              <w:t>编号：</w:t>
            </w:r>
          </w:p>
        </w:tc>
      </w:tr>
      <w:tr w14:paraId="11AE7E7E">
        <w:tblPrEx>
          <w:tblCellMar>
            <w:top w:w="0" w:type="dxa"/>
            <w:left w:w="108" w:type="dxa"/>
            <w:bottom w:w="0" w:type="dxa"/>
            <w:right w:w="108" w:type="dxa"/>
          </w:tblCellMar>
        </w:tblPrEx>
        <w:trPr>
          <w:trHeight w:val="1883" w:hRule="atLeast"/>
          <w:jc w:val="center"/>
        </w:trPr>
        <w:tc>
          <w:tcPr>
            <w:tcW w:w="9056" w:type="dxa"/>
            <w:gridSpan w:val="9"/>
            <w:tcBorders>
              <w:top w:val="single" w:color="auto" w:sz="4" w:space="0"/>
              <w:left w:val="single" w:color="auto" w:sz="4" w:space="0"/>
              <w:bottom w:val="single" w:color="auto" w:sz="4" w:space="0"/>
              <w:right w:val="single" w:color="auto" w:sz="4" w:space="0"/>
            </w:tcBorders>
            <w:vAlign w:val="center"/>
          </w:tcPr>
          <w:p w14:paraId="034424CA">
            <w:pPr>
              <w:widowControl/>
              <w:jc w:val="left"/>
              <w:rPr>
                <w:rFonts w:ascii="宋体" w:hAnsi="宋体" w:cs="宋体"/>
                <w:kern w:val="0"/>
                <w:sz w:val="22"/>
              </w:rPr>
            </w:pPr>
            <w:r>
              <w:rPr>
                <w:rFonts w:hint="eastAsia" w:ascii="宋体" w:hAnsi="宋体" w:cs="宋体"/>
                <w:kern w:val="0"/>
                <w:sz w:val="22"/>
              </w:rPr>
              <w:t>签证事由：</w:t>
            </w:r>
          </w:p>
          <w:p w14:paraId="6416E9AB">
            <w:pPr>
              <w:widowControl/>
              <w:jc w:val="left"/>
              <w:rPr>
                <w:rFonts w:ascii="宋体" w:hAnsi="宋体" w:cs="宋体"/>
                <w:kern w:val="0"/>
                <w:sz w:val="22"/>
              </w:rPr>
            </w:pPr>
          </w:p>
          <w:p w14:paraId="3F91237D">
            <w:pPr>
              <w:widowControl/>
              <w:jc w:val="left"/>
              <w:rPr>
                <w:rFonts w:ascii="宋体" w:hAnsi="宋体" w:cs="宋体"/>
                <w:kern w:val="0"/>
                <w:sz w:val="22"/>
              </w:rPr>
            </w:pPr>
          </w:p>
          <w:p w14:paraId="600B2F08">
            <w:pPr>
              <w:widowControl/>
              <w:jc w:val="left"/>
              <w:rPr>
                <w:rFonts w:ascii="宋体" w:hAnsi="宋体" w:cs="宋体"/>
                <w:kern w:val="0"/>
                <w:sz w:val="22"/>
              </w:rPr>
            </w:pPr>
          </w:p>
          <w:p w14:paraId="4900C455">
            <w:pPr>
              <w:widowControl/>
              <w:jc w:val="left"/>
              <w:rPr>
                <w:rFonts w:ascii="宋体" w:hAnsi="宋体" w:cs="宋体"/>
                <w:kern w:val="0"/>
                <w:sz w:val="22"/>
              </w:rPr>
            </w:pPr>
          </w:p>
          <w:p w14:paraId="641F5C4E">
            <w:pPr>
              <w:widowControl/>
              <w:jc w:val="left"/>
              <w:rPr>
                <w:rFonts w:ascii="宋体" w:hAnsi="宋体" w:cs="宋体"/>
                <w:kern w:val="0"/>
                <w:sz w:val="24"/>
              </w:rPr>
            </w:pPr>
          </w:p>
        </w:tc>
      </w:tr>
      <w:tr w14:paraId="42A16265">
        <w:tblPrEx>
          <w:tblCellMar>
            <w:top w:w="0" w:type="dxa"/>
            <w:left w:w="108" w:type="dxa"/>
            <w:bottom w:w="0" w:type="dxa"/>
            <w:right w:w="108" w:type="dxa"/>
          </w:tblCellMar>
        </w:tblPrEx>
        <w:trPr>
          <w:trHeight w:val="1656" w:hRule="atLeast"/>
          <w:jc w:val="center"/>
        </w:trPr>
        <w:tc>
          <w:tcPr>
            <w:tcW w:w="9056" w:type="dxa"/>
            <w:gridSpan w:val="9"/>
            <w:vMerge w:val="restart"/>
            <w:tcBorders>
              <w:top w:val="single" w:color="auto" w:sz="4" w:space="0"/>
              <w:left w:val="single" w:color="auto" w:sz="4" w:space="0"/>
              <w:bottom w:val="nil"/>
              <w:right w:val="single" w:color="000000" w:sz="4" w:space="0"/>
            </w:tcBorders>
          </w:tcPr>
          <w:p w14:paraId="551A3A7B">
            <w:pPr>
              <w:widowControl/>
              <w:jc w:val="left"/>
              <w:rPr>
                <w:rFonts w:ascii="宋体" w:hAnsi="宋体" w:cs="宋体"/>
                <w:kern w:val="0"/>
                <w:sz w:val="22"/>
              </w:rPr>
            </w:pPr>
            <w:r>
              <w:rPr>
                <w:rFonts w:hint="eastAsia" w:ascii="宋体" w:hAnsi="宋体" w:cs="宋体"/>
                <w:kern w:val="0"/>
                <w:sz w:val="22"/>
              </w:rPr>
              <w:t>内容（部位、数量、草图、说明、相片）：</w:t>
            </w:r>
          </w:p>
        </w:tc>
      </w:tr>
      <w:tr w14:paraId="676549F2">
        <w:tblPrEx>
          <w:tblCellMar>
            <w:top w:w="0" w:type="dxa"/>
            <w:left w:w="108" w:type="dxa"/>
            <w:bottom w:w="0" w:type="dxa"/>
            <w:right w:w="108" w:type="dxa"/>
          </w:tblCellMar>
        </w:tblPrEx>
        <w:trPr>
          <w:trHeight w:val="1753" w:hRule="atLeast"/>
          <w:jc w:val="center"/>
        </w:trPr>
        <w:tc>
          <w:tcPr>
            <w:tcW w:w="9056" w:type="dxa"/>
            <w:gridSpan w:val="9"/>
            <w:vMerge w:val="continue"/>
            <w:tcBorders>
              <w:top w:val="single" w:color="auto" w:sz="4" w:space="0"/>
              <w:left w:val="single" w:color="auto" w:sz="4" w:space="0"/>
              <w:bottom w:val="nil"/>
              <w:right w:val="single" w:color="000000" w:sz="4" w:space="0"/>
            </w:tcBorders>
            <w:vAlign w:val="center"/>
          </w:tcPr>
          <w:p w14:paraId="55488462">
            <w:pPr>
              <w:widowControl/>
              <w:jc w:val="left"/>
              <w:rPr>
                <w:rFonts w:ascii="宋体" w:hAnsi="宋体" w:cs="宋体"/>
                <w:kern w:val="0"/>
                <w:sz w:val="22"/>
              </w:rPr>
            </w:pPr>
          </w:p>
        </w:tc>
      </w:tr>
      <w:tr w14:paraId="5520DDE5">
        <w:tblPrEx>
          <w:tblCellMar>
            <w:top w:w="0" w:type="dxa"/>
            <w:left w:w="108" w:type="dxa"/>
            <w:bottom w:w="0" w:type="dxa"/>
            <w:right w:w="108" w:type="dxa"/>
          </w:tblCellMar>
        </w:tblPrEx>
        <w:trPr>
          <w:trHeight w:val="433" w:hRule="atLeast"/>
          <w:jc w:val="center"/>
        </w:trPr>
        <w:tc>
          <w:tcPr>
            <w:tcW w:w="9056" w:type="dxa"/>
            <w:gridSpan w:val="9"/>
            <w:vMerge w:val="continue"/>
            <w:tcBorders>
              <w:top w:val="single" w:color="auto" w:sz="4" w:space="0"/>
              <w:left w:val="single" w:color="auto" w:sz="4" w:space="0"/>
              <w:bottom w:val="nil"/>
              <w:right w:val="single" w:color="000000" w:sz="4" w:space="0"/>
            </w:tcBorders>
            <w:vAlign w:val="center"/>
          </w:tcPr>
          <w:p w14:paraId="39383621">
            <w:pPr>
              <w:widowControl/>
              <w:jc w:val="left"/>
              <w:rPr>
                <w:rFonts w:ascii="宋体" w:hAnsi="宋体" w:cs="宋体"/>
                <w:kern w:val="0"/>
                <w:sz w:val="22"/>
              </w:rPr>
            </w:pPr>
          </w:p>
        </w:tc>
      </w:tr>
      <w:tr w14:paraId="749FDEA7">
        <w:tblPrEx>
          <w:tblCellMar>
            <w:top w:w="0" w:type="dxa"/>
            <w:left w:w="108" w:type="dxa"/>
            <w:bottom w:w="0" w:type="dxa"/>
            <w:right w:w="108" w:type="dxa"/>
          </w:tblCellMar>
        </w:tblPrEx>
        <w:trPr>
          <w:trHeight w:val="312" w:hRule="atLeast"/>
          <w:jc w:val="center"/>
        </w:trPr>
        <w:tc>
          <w:tcPr>
            <w:tcW w:w="9056" w:type="dxa"/>
            <w:gridSpan w:val="9"/>
            <w:vMerge w:val="continue"/>
            <w:tcBorders>
              <w:top w:val="single" w:color="auto" w:sz="4" w:space="0"/>
              <w:left w:val="single" w:color="auto" w:sz="4" w:space="0"/>
              <w:bottom w:val="single" w:color="auto" w:sz="4" w:space="0"/>
              <w:right w:val="single" w:color="000000" w:sz="4" w:space="0"/>
            </w:tcBorders>
            <w:vAlign w:val="center"/>
          </w:tcPr>
          <w:p w14:paraId="714CFD07">
            <w:pPr>
              <w:widowControl/>
              <w:jc w:val="left"/>
              <w:rPr>
                <w:rFonts w:ascii="宋体" w:hAnsi="宋体" w:cs="宋体"/>
                <w:kern w:val="0"/>
                <w:sz w:val="22"/>
              </w:rPr>
            </w:pPr>
          </w:p>
        </w:tc>
      </w:tr>
      <w:tr w14:paraId="3BA471DD">
        <w:tblPrEx>
          <w:tblCellMar>
            <w:top w:w="0" w:type="dxa"/>
            <w:left w:w="108" w:type="dxa"/>
            <w:bottom w:w="0" w:type="dxa"/>
            <w:right w:w="108" w:type="dxa"/>
          </w:tblCellMar>
        </w:tblPrEx>
        <w:trPr>
          <w:trHeight w:val="906" w:hRule="atLeast"/>
          <w:jc w:val="center"/>
        </w:trPr>
        <w:tc>
          <w:tcPr>
            <w:tcW w:w="9056" w:type="dxa"/>
            <w:gridSpan w:val="9"/>
            <w:vMerge w:val="restart"/>
            <w:tcBorders>
              <w:top w:val="single" w:color="auto" w:sz="4" w:space="0"/>
              <w:left w:val="single" w:color="auto" w:sz="4" w:space="0"/>
              <w:bottom w:val="nil"/>
              <w:right w:val="single" w:color="000000" w:sz="4" w:space="0"/>
            </w:tcBorders>
          </w:tcPr>
          <w:p w14:paraId="12BC1087">
            <w:pPr>
              <w:rPr>
                <w:rFonts w:ascii="宋体" w:hAnsi="宋体" w:cs="宋体"/>
                <w:kern w:val="0"/>
                <w:sz w:val="22"/>
              </w:rPr>
            </w:pPr>
            <w:r>
              <w:rPr>
                <w:rFonts w:hint="eastAsia" w:ascii="宋体" w:hAnsi="宋体" w:cs="宋体"/>
                <w:kern w:val="0"/>
                <w:sz w:val="22"/>
              </w:rPr>
              <w:t>审核人员意见：</w:t>
            </w:r>
          </w:p>
        </w:tc>
      </w:tr>
      <w:tr w14:paraId="70B3B630">
        <w:tblPrEx>
          <w:tblCellMar>
            <w:top w:w="0" w:type="dxa"/>
            <w:left w:w="108" w:type="dxa"/>
            <w:bottom w:w="0" w:type="dxa"/>
            <w:right w:w="108" w:type="dxa"/>
          </w:tblCellMar>
        </w:tblPrEx>
        <w:trPr>
          <w:trHeight w:val="312" w:hRule="atLeast"/>
          <w:jc w:val="center"/>
        </w:trPr>
        <w:tc>
          <w:tcPr>
            <w:tcW w:w="9056" w:type="dxa"/>
            <w:gridSpan w:val="9"/>
            <w:vMerge w:val="continue"/>
            <w:tcBorders>
              <w:top w:val="single" w:color="auto" w:sz="4" w:space="0"/>
              <w:left w:val="single" w:color="auto" w:sz="4" w:space="0"/>
              <w:bottom w:val="nil"/>
              <w:right w:val="single" w:color="000000" w:sz="4" w:space="0"/>
            </w:tcBorders>
            <w:vAlign w:val="center"/>
          </w:tcPr>
          <w:p w14:paraId="02200A67">
            <w:pPr>
              <w:widowControl/>
              <w:jc w:val="left"/>
              <w:rPr>
                <w:rFonts w:ascii="宋体" w:hAnsi="宋体" w:cs="宋体"/>
                <w:kern w:val="0"/>
                <w:sz w:val="22"/>
              </w:rPr>
            </w:pPr>
          </w:p>
        </w:tc>
      </w:tr>
      <w:tr w14:paraId="125DB427">
        <w:tblPrEx>
          <w:tblCellMar>
            <w:top w:w="0" w:type="dxa"/>
            <w:left w:w="108" w:type="dxa"/>
            <w:bottom w:w="0" w:type="dxa"/>
            <w:right w:w="108" w:type="dxa"/>
          </w:tblCellMar>
        </w:tblPrEx>
        <w:trPr>
          <w:trHeight w:val="415" w:hRule="atLeast"/>
          <w:jc w:val="center"/>
        </w:trPr>
        <w:tc>
          <w:tcPr>
            <w:tcW w:w="1411" w:type="dxa"/>
            <w:vMerge w:val="restart"/>
            <w:tcBorders>
              <w:top w:val="single" w:color="auto" w:sz="4" w:space="0"/>
              <w:left w:val="single" w:color="auto" w:sz="4" w:space="0"/>
              <w:bottom w:val="single" w:color="auto" w:sz="4" w:space="0"/>
              <w:right w:val="single" w:color="auto" w:sz="4" w:space="0"/>
            </w:tcBorders>
          </w:tcPr>
          <w:p w14:paraId="757917E4">
            <w:pPr>
              <w:widowControl/>
              <w:jc w:val="left"/>
              <w:rPr>
                <w:rFonts w:ascii="宋体" w:hAnsi="宋体" w:cs="宋体"/>
                <w:kern w:val="0"/>
                <w:sz w:val="22"/>
              </w:rPr>
            </w:pPr>
            <w:r>
              <w:rPr>
                <w:rFonts w:hint="eastAsia" w:ascii="宋体" w:hAnsi="宋体" w:cs="宋体"/>
                <w:kern w:val="0"/>
                <w:sz w:val="22"/>
              </w:rPr>
              <w:t xml:space="preserve">施工单位签章                           </w:t>
            </w:r>
          </w:p>
        </w:tc>
        <w:tc>
          <w:tcPr>
            <w:tcW w:w="1417" w:type="dxa"/>
            <w:vMerge w:val="restart"/>
            <w:tcBorders>
              <w:top w:val="single" w:color="auto" w:sz="4" w:space="0"/>
              <w:left w:val="single" w:color="auto" w:sz="4" w:space="0"/>
              <w:bottom w:val="single" w:color="auto" w:sz="4" w:space="0"/>
              <w:right w:val="single" w:color="auto" w:sz="4" w:space="0"/>
            </w:tcBorders>
          </w:tcPr>
          <w:p w14:paraId="386B6E01">
            <w:pPr>
              <w:widowControl/>
              <w:jc w:val="left"/>
              <w:rPr>
                <w:rFonts w:ascii="宋体" w:hAnsi="宋体" w:cs="宋体"/>
                <w:kern w:val="0"/>
                <w:sz w:val="22"/>
              </w:rPr>
            </w:pPr>
            <w:r>
              <w:rPr>
                <w:rFonts w:hint="eastAsia" w:ascii="宋体" w:hAnsi="宋体" w:cs="宋体"/>
                <w:kern w:val="0"/>
                <w:sz w:val="22"/>
              </w:rPr>
              <w:t>监理公司签章</w:t>
            </w:r>
          </w:p>
        </w:tc>
        <w:tc>
          <w:tcPr>
            <w:tcW w:w="1559" w:type="dxa"/>
            <w:vMerge w:val="restart"/>
            <w:tcBorders>
              <w:top w:val="single" w:color="auto" w:sz="4" w:space="0"/>
              <w:left w:val="single" w:color="auto" w:sz="4" w:space="0"/>
              <w:bottom w:val="single" w:color="auto" w:sz="4" w:space="0"/>
              <w:right w:val="single" w:color="auto" w:sz="4" w:space="0"/>
            </w:tcBorders>
          </w:tcPr>
          <w:p w14:paraId="1CCA70AD">
            <w:pPr>
              <w:widowControl/>
              <w:jc w:val="left"/>
              <w:rPr>
                <w:rFonts w:ascii="宋体" w:hAnsi="宋体" w:cs="宋体"/>
                <w:kern w:val="0"/>
                <w:sz w:val="22"/>
              </w:rPr>
            </w:pPr>
            <w:r>
              <w:rPr>
                <w:rFonts w:hint="eastAsia" w:ascii="宋体" w:hAnsi="宋体" w:cs="宋体"/>
                <w:kern w:val="0"/>
                <w:sz w:val="22"/>
              </w:rPr>
              <w:t>现场专业负责人（项目负责人）</w:t>
            </w:r>
          </w:p>
          <w:p w14:paraId="27696EF6">
            <w:pPr>
              <w:widowControl/>
              <w:jc w:val="left"/>
              <w:rPr>
                <w:rFonts w:ascii="宋体" w:hAnsi="宋体" w:cs="宋体"/>
                <w:kern w:val="0"/>
                <w:sz w:val="22"/>
              </w:rPr>
            </w:pPr>
            <w:r>
              <w:rPr>
                <w:rFonts w:hint="eastAsia" w:ascii="宋体" w:hAnsi="宋体" w:cs="宋体"/>
                <w:kern w:val="0"/>
                <w:sz w:val="22"/>
              </w:rPr>
              <w:t>部门签章</w:t>
            </w:r>
          </w:p>
        </w:tc>
        <w:tc>
          <w:tcPr>
            <w:tcW w:w="1560" w:type="dxa"/>
            <w:gridSpan w:val="3"/>
            <w:vMerge w:val="restart"/>
            <w:tcBorders>
              <w:top w:val="single" w:color="auto" w:sz="4" w:space="0"/>
              <w:left w:val="single" w:color="auto" w:sz="4" w:space="0"/>
              <w:bottom w:val="single" w:color="auto" w:sz="4" w:space="0"/>
              <w:right w:val="single" w:color="auto" w:sz="4" w:space="0"/>
            </w:tcBorders>
          </w:tcPr>
          <w:p w14:paraId="64181FA2">
            <w:pPr>
              <w:widowControl/>
              <w:jc w:val="left"/>
              <w:rPr>
                <w:rFonts w:ascii="宋体" w:hAnsi="宋体" w:cs="宋体"/>
                <w:kern w:val="0"/>
                <w:sz w:val="22"/>
              </w:rPr>
            </w:pPr>
            <w:r>
              <w:rPr>
                <w:rFonts w:hint="eastAsia" w:ascii="宋体" w:hAnsi="宋体" w:cs="宋体"/>
                <w:kern w:val="0"/>
                <w:sz w:val="22"/>
              </w:rPr>
              <w:t>造价管理人员</w:t>
            </w:r>
          </w:p>
        </w:tc>
        <w:tc>
          <w:tcPr>
            <w:tcW w:w="1559" w:type="dxa"/>
            <w:gridSpan w:val="2"/>
            <w:vMerge w:val="restart"/>
            <w:tcBorders>
              <w:top w:val="single" w:color="auto" w:sz="4" w:space="0"/>
              <w:left w:val="single" w:color="auto" w:sz="4" w:space="0"/>
              <w:bottom w:val="single" w:color="auto" w:sz="4" w:space="0"/>
              <w:right w:val="single" w:color="auto" w:sz="4" w:space="0"/>
            </w:tcBorders>
            <w:shd w:val="clear" w:color="auto" w:fill="auto"/>
          </w:tcPr>
          <w:p w14:paraId="27ED48B6">
            <w:pPr>
              <w:widowControl/>
              <w:jc w:val="left"/>
              <w:rPr>
                <w:rFonts w:ascii="宋体" w:hAnsi="宋体" w:cs="宋体"/>
                <w:kern w:val="0"/>
                <w:sz w:val="22"/>
              </w:rPr>
            </w:pPr>
            <w:r>
              <w:rPr>
                <w:rFonts w:hint="eastAsia" w:ascii="宋体" w:hAnsi="宋体" w:cs="宋体"/>
                <w:kern w:val="0"/>
                <w:sz w:val="22"/>
              </w:rPr>
              <w:t>部门领导</w:t>
            </w:r>
          </w:p>
        </w:tc>
        <w:tc>
          <w:tcPr>
            <w:tcW w:w="1550" w:type="dxa"/>
            <w:vMerge w:val="restart"/>
            <w:tcBorders>
              <w:top w:val="single" w:color="auto" w:sz="4" w:space="0"/>
              <w:left w:val="single" w:color="auto" w:sz="4" w:space="0"/>
              <w:bottom w:val="single" w:color="auto" w:sz="4" w:space="0"/>
              <w:right w:val="single" w:color="auto" w:sz="4" w:space="0"/>
            </w:tcBorders>
          </w:tcPr>
          <w:p w14:paraId="5B4F0662">
            <w:pPr>
              <w:widowControl/>
              <w:jc w:val="center"/>
              <w:rPr>
                <w:rFonts w:ascii="宋体" w:hAnsi="宋体" w:cs="宋体"/>
                <w:kern w:val="0"/>
                <w:sz w:val="22"/>
              </w:rPr>
            </w:pPr>
            <w:r>
              <w:rPr>
                <w:rFonts w:hint="eastAsia" w:ascii="宋体" w:hAnsi="宋体" w:cs="宋体"/>
                <w:kern w:val="0"/>
                <w:sz w:val="22"/>
              </w:rPr>
              <w:t>公司分管领导</w:t>
            </w:r>
          </w:p>
        </w:tc>
      </w:tr>
      <w:tr w14:paraId="7FB09984">
        <w:tblPrEx>
          <w:tblCellMar>
            <w:top w:w="0" w:type="dxa"/>
            <w:left w:w="108" w:type="dxa"/>
            <w:bottom w:w="0" w:type="dxa"/>
            <w:right w:w="108" w:type="dxa"/>
          </w:tblCellMar>
        </w:tblPrEx>
        <w:trPr>
          <w:trHeight w:val="767" w:hRule="atLeast"/>
          <w:jc w:val="center"/>
        </w:trPr>
        <w:tc>
          <w:tcPr>
            <w:tcW w:w="1411" w:type="dxa"/>
            <w:vMerge w:val="continue"/>
            <w:tcBorders>
              <w:top w:val="single" w:color="auto" w:sz="4" w:space="0"/>
              <w:left w:val="single" w:color="auto" w:sz="4" w:space="0"/>
              <w:bottom w:val="single" w:color="auto" w:sz="4" w:space="0"/>
              <w:right w:val="single" w:color="auto" w:sz="4" w:space="0"/>
            </w:tcBorders>
            <w:vAlign w:val="center"/>
          </w:tcPr>
          <w:p w14:paraId="4A80723F">
            <w:pPr>
              <w:widowControl/>
              <w:jc w:val="left"/>
              <w:rPr>
                <w:rFonts w:ascii="宋体" w:hAnsi="宋体" w:cs="宋体"/>
                <w:kern w:val="0"/>
                <w:sz w:val="22"/>
              </w:rPr>
            </w:pPr>
          </w:p>
        </w:tc>
        <w:tc>
          <w:tcPr>
            <w:tcW w:w="1417" w:type="dxa"/>
            <w:vMerge w:val="continue"/>
            <w:tcBorders>
              <w:top w:val="single" w:color="auto" w:sz="4" w:space="0"/>
              <w:left w:val="single" w:color="auto" w:sz="4" w:space="0"/>
              <w:bottom w:val="single" w:color="auto" w:sz="4" w:space="0"/>
              <w:right w:val="single" w:color="auto" w:sz="4" w:space="0"/>
            </w:tcBorders>
            <w:vAlign w:val="center"/>
          </w:tcPr>
          <w:p w14:paraId="17A4680E">
            <w:pPr>
              <w:widowControl/>
              <w:jc w:val="left"/>
              <w:rPr>
                <w:rFonts w:ascii="宋体" w:hAnsi="宋体" w:cs="宋体"/>
                <w:kern w:val="0"/>
                <w:sz w:val="22"/>
              </w:rPr>
            </w:pPr>
          </w:p>
        </w:tc>
        <w:tc>
          <w:tcPr>
            <w:tcW w:w="1559" w:type="dxa"/>
            <w:vMerge w:val="continue"/>
            <w:tcBorders>
              <w:top w:val="single" w:color="auto" w:sz="4" w:space="0"/>
              <w:left w:val="single" w:color="auto" w:sz="4" w:space="0"/>
              <w:bottom w:val="single" w:color="auto" w:sz="4" w:space="0"/>
              <w:right w:val="single" w:color="auto" w:sz="4" w:space="0"/>
            </w:tcBorders>
            <w:vAlign w:val="center"/>
          </w:tcPr>
          <w:p w14:paraId="35E21D88">
            <w:pPr>
              <w:widowControl/>
              <w:jc w:val="left"/>
              <w:rPr>
                <w:rFonts w:ascii="宋体" w:hAnsi="宋体" w:cs="宋体"/>
                <w:kern w:val="0"/>
                <w:sz w:val="22"/>
              </w:rPr>
            </w:pPr>
          </w:p>
        </w:tc>
        <w:tc>
          <w:tcPr>
            <w:tcW w:w="1560" w:type="dxa"/>
            <w:gridSpan w:val="3"/>
            <w:vMerge w:val="continue"/>
            <w:tcBorders>
              <w:top w:val="single" w:color="auto" w:sz="4" w:space="0"/>
              <w:left w:val="single" w:color="auto" w:sz="4" w:space="0"/>
              <w:bottom w:val="single" w:color="auto" w:sz="4" w:space="0"/>
              <w:right w:val="single" w:color="auto" w:sz="4" w:space="0"/>
            </w:tcBorders>
            <w:vAlign w:val="center"/>
          </w:tcPr>
          <w:p w14:paraId="76251083">
            <w:pPr>
              <w:widowControl/>
              <w:jc w:val="left"/>
              <w:rPr>
                <w:rFonts w:ascii="宋体" w:hAnsi="宋体" w:cs="宋体"/>
                <w:kern w:val="0"/>
                <w:sz w:val="22"/>
              </w:rPr>
            </w:pPr>
          </w:p>
        </w:tc>
        <w:tc>
          <w:tcPr>
            <w:tcW w:w="1559" w:type="dxa"/>
            <w:gridSpan w:val="2"/>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64B6F1A">
            <w:pPr>
              <w:widowControl/>
              <w:jc w:val="left"/>
              <w:rPr>
                <w:rFonts w:ascii="宋体" w:hAnsi="宋体" w:cs="宋体"/>
                <w:kern w:val="0"/>
                <w:sz w:val="22"/>
              </w:rPr>
            </w:pPr>
          </w:p>
        </w:tc>
        <w:tc>
          <w:tcPr>
            <w:tcW w:w="1550" w:type="dxa"/>
            <w:vMerge w:val="continue"/>
            <w:tcBorders>
              <w:top w:val="single" w:color="auto" w:sz="4" w:space="0"/>
              <w:left w:val="single" w:color="auto" w:sz="4" w:space="0"/>
              <w:bottom w:val="single" w:color="auto" w:sz="4" w:space="0"/>
              <w:right w:val="single" w:color="auto" w:sz="4" w:space="0"/>
            </w:tcBorders>
            <w:vAlign w:val="center"/>
          </w:tcPr>
          <w:p w14:paraId="473FCBF1">
            <w:pPr>
              <w:widowControl/>
              <w:jc w:val="left"/>
              <w:rPr>
                <w:rFonts w:ascii="宋体" w:hAnsi="宋体" w:cs="宋体"/>
                <w:kern w:val="0"/>
                <w:sz w:val="22"/>
              </w:rPr>
            </w:pPr>
          </w:p>
        </w:tc>
      </w:tr>
      <w:tr w14:paraId="30DF4A5C">
        <w:tblPrEx>
          <w:tblCellMar>
            <w:top w:w="0" w:type="dxa"/>
            <w:left w:w="108" w:type="dxa"/>
            <w:bottom w:w="0" w:type="dxa"/>
            <w:right w:w="108" w:type="dxa"/>
          </w:tblCellMar>
        </w:tblPrEx>
        <w:trPr>
          <w:trHeight w:val="1118" w:hRule="atLeast"/>
          <w:jc w:val="center"/>
        </w:trPr>
        <w:tc>
          <w:tcPr>
            <w:tcW w:w="1411" w:type="dxa"/>
            <w:tcBorders>
              <w:top w:val="single" w:color="auto" w:sz="4" w:space="0"/>
              <w:left w:val="single" w:color="auto" w:sz="4" w:space="0"/>
              <w:bottom w:val="single" w:color="auto" w:sz="4" w:space="0"/>
              <w:right w:val="single" w:color="auto" w:sz="4" w:space="0"/>
            </w:tcBorders>
          </w:tcPr>
          <w:p w14:paraId="6BF439F6">
            <w:pPr>
              <w:widowControl/>
              <w:jc w:val="left"/>
              <w:rPr>
                <w:rFonts w:ascii="宋体" w:hAnsi="宋体" w:cs="宋体"/>
                <w:kern w:val="0"/>
                <w:sz w:val="22"/>
              </w:rPr>
            </w:pPr>
            <w:r>
              <w:rPr>
                <w:rFonts w:hint="eastAsia" w:ascii="宋体" w:hAnsi="宋体" w:cs="宋体"/>
                <w:kern w:val="0"/>
                <w:sz w:val="22"/>
              </w:rPr>
              <w:t>经办人：</w:t>
            </w:r>
          </w:p>
        </w:tc>
        <w:tc>
          <w:tcPr>
            <w:tcW w:w="1417" w:type="dxa"/>
            <w:tcBorders>
              <w:top w:val="single" w:color="auto" w:sz="4" w:space="0"/>
              <w:left w:val="nil"/>
              <w:bottom w:val="single" w:color="auto" w:sz="4" w:space="0"/>
              <w:right w:val="single" w:color="auto" w:sz="4" w:space="0"/>
            </w:tcBorders>
          </w:tcPr>
          <w:p w14:paraId="755F1027">
            <w:pPr>
              <w:widowControl/>
              <w:jc w:val="left"/>
              <w:rPr>
                <w:rFonts w:ascii="宋体" w:hAnsi="宋体" w:cs="宋体"/>
                <w:kern w:val="0"/>
                <w:sz w:val="22"/>
              </w:rPr>
            </w:pPr>
            <w:r>
              <w:rPr>
                <w:rFonts w:hint="eastAsia" w:ascii="宋体" w:hAnsi="宋体" w:cs="宋体"/>
                <w:kern w:val="0"/>
                <w:sz w:val="22"/>
              </w:rPr>
              <w:t>经办人：</w:t>
            </w:r>
          </w:p>
        </w:tc>
        <w:tc>
          <w:tcPr>
            <w:tcW w:w="1559" w:type="dxa"/>
            <w:tcBorders>
              <w:top w:val="single" w:color="auto" w:sz="4" w:space="0"/>
              <w:left w:val="nil"/>
              <w:bottom w:val="single" w:color="auto" w:sz="4" w:space="0"/>
              <w:right w:val="single" w:color="auto" w:sz="4" w:space="0"/>
            </w:tcBorders>
          </w:tcPr>
          <w:p w14:paraId="35FD5E2C">
            <w:pPr>
              <w:widowControl/>
              <w:jc w:val="left"/>
              <w:rPr>
                <w:rFonts w:ascii="宋体" w:hAnsi="宋体" w:cs="宋体"/>
                <w:kern w:val="0"/>
                <w:sz w:val="22"/>
              </w:rPr>
            </w:pPr>
            <w:r>
              <w:rPr>
                <w:rFonts w:hint="eastAsia" w:ascii="宋体" w:hAnsi="宋体" w:cs="宋体"/>
                <w:kern w:val="0"/>
                <w:sz w:val="22"/>
              </w:rPr>
              <w:t>经办人：</w:t>
            </w:r>
          </w:p>
        </w:tc>
        <w:tc>
          <w:tcPr>
            <w:tcW w:w="1560" w:type="dxa"/>
            <w:gridSpan w:val="3"/>
            <w:tcBorders>
              <w:top w:val="single" w:color="auto" w:sz="4" w:space="0"/>
              <w:left w:val="nil"/>
              <w:bottom w:val="single" w:color="auto" w:sz="4" w:space="0"/>
              <w:right w:val="single" w:color="auto" w:sz="4" w:space="0"/>
            </w:tcBorders>
          </w:tcPr>
          <w:p w14:paraId="55263113">
            <w:pPr>
              <w:widowControl/>
              <w:jc w:val="left"/>
              <w:rPr>
                <w:rFonts w:ascii="宋体" w:hAnsi="宋体" w:cs="宋体"/>
                <w:kern w:val="0"/>
                <w:sz w:val="22"/>
              </w:rPr>
            </w:pPr>
            <w:r>
              <w:rPr>
                <w:rFonts w:hint="eastAsia" w:ascii="宋体" w:hAnsi="宋体" w:cs="宋体"/>
                <w:kern w:val="0"/>
                <w:sz w:val="22"/>
              </w:rPr>
              <w:t>经办人：</w:t>
            </w:r>
          </w:p>
        </w:tc>
        <w:tc>
          <w:tcPr>
            <w:tcW w:w="1559" w:type="dxa"/>
            <w:gridSpan w:val="2"/>
            <w:tcBorders>
              <w:top w:val="single" w:color="auto" w:sz="4" w:space="0"/>
              <w:left w:val="nil"/>
              <w:bottom w:val="single" w:color="auto" w:sz="4" w:space="0"/>
              <w:right w:val="single" w:color="auto" w:sz="4" w:space="0"/>
            </w:tcBorders>
          </w:tcPr>
          <w:p w14:paraId="0810548F">
            <w:pPr>
              <w:widowControl/>
              <w:jc w:val="left"/>
              <w:rPr>
                <w:rFonts w:ascii="宋体" w:hAnsi="宋体" w:cs="宋体"/>
                <w:kern w:val="0"/>
                <w:sz w:val="22"/>
              </w:rPr>
            </w:pPr>
            <w:r>
              <w:rPr>
                <w:rFonts w:hint="eastAsia" w:ascii="宋体" w:hAnsi="宋体" w:cs="宋体"/>
                <w:kern w:val="0"/>
                <w:sz w:val="22"/>
              </w:rPr>
              <w:t>审批人：</w:t>
            </w:r>
          </w:p>
        </w:tc>
        <w:tc>
          <w:tcPr>
            <w:tcW w:w="1550" w:type="dxa"/>
            <w:tcBorders>
              <w:top w:val="single" w:color="auto" w:sz="4" w:space="0"/>
              <w:left w:val="nil"/>
              <w:bottom w:val="single" w:color="auto" w:sz="4" w:space="0"/>
              <w:right w:val="single" w:color="auto" w:sz="4" w:space="0"/>
            </w:tcBorders>
          </w:tcPr>
          <w:p w14:paraId="0E2103E5">
            <w:pPr>
              <w:widowControl/>
              <w:jc w:val="left"/>
              <w:rPr>
                <w:rFonts w:ascii="宋体" w:hAnsi="宋体" w:cs="宋体"/>
                <w:kern w:val="0"/>
                <w:sz w:val="22"/>
              </w:rPr>
            </w:pPr>
            <w:r>
              <w:rPr>
                <w:rFonts w:hint="eastAsia" w:ascii="宋体" w:hAnsi="宋体" w:cs="宋体"/>
                <w:kern w:val="0"/>
                <w:sz w:val="22"/>
              </w:rPr>
              <w:t>审批人：</w:t>
            </w:r>
          </w:p>
        </w:tc>
      </w:tr>
    </w:tbl>
    <w:p w14:paraId="761808FB">
      <w:pPr>
        <w:autoSpaceDE w:val="0"/>
        <w:autoSpaceDN w:val="0"/>
        <w:adjustRightInd w:val="0"/>
        <w:spacing w:line="360" w:lineRule="auto"/>
        <w:ind w:left="201" w:leftChars="96"/>
        <w:rPr>
          <w:rFonts w:ascii="宋体" w:hAnsi="宋体"/>
          <w:szCs w:val="21"/>
        </w:rPr>
      </w:pPr>
      <w:r>
        <w:rPr>
          <w:rFonts w:hint="eastAsia" w:ascii="宋体" w:hAnsi="宋体"/>
          <w:szCs w:val="21"/>
        </w:rPr>
        <w:t>注：1、本记录表二份原件，施工单位、建设单位工程管理部各执一份原件；</w:t>
      </w:r>
    </w:p>
    <w:p w14:paraId="0B36E521">
      <w:pPr>
        <w:autoSpaceDE w:val="0"/>
        <w:autoSpaceDN w:val="0"/>
        <w:adjustRightInd w:val="0"/>
        <w:spacing w:line="360" w:lineRule="auto"/>
        <w:ind w:left="201" w:leftChars="96"/>
        <w:rPr>
          <w:rFonts w:ascii="宋体" w:hAnsi="宋体"/>
          <w:szCs w:val="21"/>
        </w:rPr>
      </w:pPr>
    </w:p>
    <w:p w14:paraId="19059245">
      <w:pPr>
        <w:autoSpaceDE w:val="0"/>
        <w:autoSpaceDN w:val="0"/>
        <w:adjustRightInd w:val="0"/>
        <w:spacing w:line="360" w:lineRule="auto"/>
        <w:ind w:left="201" w:leftChars="96"/>
        <w:rPr>
          <w:rFonts w:ascii="宋体" w:hAnsi="宋体"/>
          <w:szCs w:val="21"/>
        </w:rPr>
        <w:sectPr>
          <w:type w:val="continuous"/>
          <w:pgSz w:w="11906" w:h="16838"/>
          <w:pgMar w:top="720" w:right="720" w:bottom="720" w:left="720" w:header="1418" w:footer="1134" w:gutter="0"/>
          <w:pgNumType w:start="1"/>
          <w:cols w:space="425" w:num="1"/>
          <w:formProt w:val="0"/>
          <w:docGrid w:type="linesAndChars" w:linePitch="312" w:charSpace="0"/>
        </w:sectPr>
      </w:pPr>
    </w:p>
    <w:p w14:paraId="0EFCE134">
      <w:pPr>
        <w:jc w:val="center"/>
      </w:pPr>
      <w:r>
        <w:rPr>
          <w:rFonts w:hint="eastAsia"/>
        </w:rPr>
        <w:t>附录</w:t>
      </w:r>
      <w:r>
        <w:t>C</w:t>
      </w:r>
      <w:r>
        <w:br w:type="textWrapping"/>
      </w:r>
      <w:r>
        <w:rPr>
          <w:rFonts w:hint="eastAsia"/>
        </w:rPr>
        <w:t>（规范性附录）</w:t>
      </w:r>
    </w:p>
    <w:p w14:paraId="34B87F1E">
      <w:pPr>
        <w:pStyle w:val="72"/>
        <w:spacing w:before="156" w:after="156"/>
        <w:rPr>
          <w:lang w:val="zh-CN"/>
        </w:rPr>
      </w:pPr>
      <w:r>
        <w:rPr>
          <w:rFonts w:hint="eastAsia"/>
        </w:rPr>
        <w:t>经济签证单办理程序</w:t>
      </w:r>
    </w:p>
    <w:p w14:paraId="33CCC510">
      <w:pPr>
        <w:autoSpaceDE w:val="0"/>
        <w:autoSpaceDN w:val="0"/>
        <w:adjustRightInd w:val="0"/>
        <w:spacing w:line="360" w:lineRule="auto"/>
        <w:jc w:val="center"/>
        <w:rPr>
          <w:rFonts w:ascii="宋体" w:hAnsi="宋体"/>
          <w:szCs w:val="21"/>
        </w:rPr>
      </w:pPr>
      <w:r>
        <w:drawing>
          <wp:inline distT="0" distB="0" distL="0" distR="0">
            <wp:extent cx="5234940" cy="3611880"/>
            <wp:effectExtent l="0" t="0" r="3810" b="7620"/>
            <wp:docPr id="4" name="图片 4" descr="F:\360MoveData\Users\shixiaoli\Documents\Tencent Files\1149962068\nt_qq\nt_data\Pic\2024-10\Ori\b411cad96a6021b6a8d88e7b3603f7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360MoveData\Users\shixiaoli\Documents\Tencent Files\1149962068\nt_qq\nt_data\Pic\2024-10\Ori\b411cad96a6021b6a8d88e7b3603f759.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a:xfrm>
                      <a:off x="0" y="0"/>
                      <a:ext cx="5243674" cy="3617906"/>
                    </a:xfrm>
                    <a:prstGeom prst="rect">
                      <a:avLst/>
                    </a:prstGeom>
                    <a:noFill/>
                    <a:ln>
                      <a:noFill/>
                    </a:ln>
                  </pic:spPr>
                </pic:pic>
              </a:graphicData>
            </a:graphic>
          </wp:inline>
        </w:drawing>
      </w:r>
    </w:p>
    <w:p w14:paraId="745A398F">
      <w:pPr>
        <w:pStyle w:val="68"/>
        <w:ind w:left="3600" w:hanging="3600" w:hangingChars="1200"/>
        <w:jc w:val="both"/>
      </w:pPr>
      <w:r>
        <w:rPr>
          <w:rFonts w:ascii="Times New Roman" w:eastAsia="仿宋_GB2312"/>
          <w:color w:val="000000"/>
          <w:sz w:val="30"/>
          <w:szCs w:val="30"/>
        </w:rPr>
        <w:t>附件4：</w:t>
      </w:r>
    </w:p>
    <w:p w14:paraId="1651F163">
      <w:pPr>
        <w:jc w:val="center"/>
        <w:rPr>
          <w:rFonts w:ascii="方正小标宋简体" w:eastAsia="方正小标宋简体"/>
          <w:b/>
          <w:bCs/>
          <w:kern w:val="44"/>
          <w:sz w:val="32"/>
          <w:szCs w:val="32"/>
        </w:rPr>
      </w:pPr>
      <w:r>
        <w:rPr>
          <w:rFonts w:hint="eastAsia" w:ascii="方正小标宋简体" w:eastAsia="方正小标宋简体"/>
          <w:b/>
          <w:bCs/>
          <w:kern w:val="44"/>
          <w:sz w:val="32"/>
          <w:szCs w:val="32"/>
        </w:rPr>
        <w:t>工程项目质量管理考核细则</w:t>
      </w:r>
    </w:p>
    <w:p w14:paraId="6DFA2623">
      <w:pPr>
        <w:pStyle w:val="60"/>
        <w:numPr>
          <w:ilvl w:val="0"/>
          <w:numId w:val="10"/>
        </w:numPr>
        <w:ind w:firstLineChars="0"/>
        <w:rPr>
          <w:b/>
          <w:szCs w:val="21"/>
        </w:rPr>
      </w:pPr>
      <w:r>
        <w:rPr>
          <w:rFonts w:hint="eastAsia"/>
          <w:b/>
          <w:szCs w:val="21"/>
        </w:rPr>
        <w:t>目的</w:t>
      </w:r>
    </w:p>
    <w:p w14:paraId="3C59D19B">
      <w:pPr>
        <w:ind w:firstLine="420" w:firstLineChars="200"/>
        <w:rPr>
          <w:szCs w:val="21"/>
        </w:rPr>
      </w:pPr>
      <w:r>
        <w:rPr>
          <w:rFonts w:hint="eastAsia"/>
          <w:szCs w:val="21"/>
        </w:rPr>
        <w:t>为了加强对工程质量的管理，保证工程质量，进一步明确质量责任和责任追究办法，特制定本制度。</w:t>
      </w:r>
    </w:p>
    <w:p w14:paraId="14756E3D">
      <w:pPr>
        <w:pStyle w:val="60"/>
        <w:numPr>
          <w:ilvl w:val="0"/>
          <w:numId w:val="10"/>
        </w:numPr>
        <w:ind w:firstLineChars="0"/>
        <w:rPr>
          <w:b/>
          <w:szCs w:val="21"/>
        </w:rPr>
      </w:pPr>
      <w:bookmarkStart w:id="503" w:name="_Toc122791548"/>
      <w:r>
        <w:rPr>
          <w:rFonts w:hint="eastAsia"/>
          <w:b/>
          <w:szCs w:val="21"/>
        </w:rPr>
        <w:t>适用范围</w:t>
      </w:r>
      <w:bookmarkEnd w:id="503"/>
    </w:p>
    <w:p w14:paraId="6915E159">
      <w:pPr>
        <w:ind w:firstLine="420" w:firstLineChars="200"/>
        <w:rPr>
          <w:szCs w:val="21"/>
        </w:rPr>
      </w:pPr>
      <w:r>
        <w:rPr>
          <w:rFonts w:hint="eastAsia"/>
          <w:szCs w:val="21"/>
        </w:rPr>
        <w:t>本规定的适用于重庆国际复合材料股份有限公司工程项目的施工质量管理，适用对象为承担本工程的各个承包商，适用期为整个工程建设期。</w:t>
      </w:r>
    </w:p>
    <w:p w14:paraId="0F296B66">
      <w:pPr>
        <w:pStyle w:val="60"/>
        <w:numPr>
          <w:ilvl w:val="0"/>
          <w:numId w:val="10"/>
        </w:numPr>
        <w:ind w:firstLineChars="0"/>
        <w:rPr>
          <w:b/>
          <w:szCs w:val="21"/>
        </w:rPr>
      </w:pPr>
      <w:bookmarkStart w:id="504" w:name="_Toc122791549"/>
      <w:r>
        <w:rPr>
          <w:rFonts w:hint="eastAsia"/>
          <w:b/>
          <w:szCs w:val="21"/>
        </w:rPr>
        <w:t>制定依据</w:t>
      </w:r>
      <w:bookmarkEnd w:id="504"/>
    </w:p>
    <w:p w14:paraId="5B6C65D7">
      <w:pPr>
        <w:ind w:firstLine="420" w:firstLineChars="200"/>
        <w:rPr>
          <w:szCs w:val="21"/>
        </w:rPr>
      </w:pPr>
      <w:r>
        <w:rPr>
          <w:rFonts w:hint="eastAsia"/>
          <w:szCs w:val="21"/>
        </w:rPr>
        <w:t>本规定的制定依据为《中华人民共和国建筑法》、《建设工程质量管理条例》、国家标准和行业规范、施工承包商签订的《施工承包合同》。</w:t>
      </w:r>
    </w:p>
    <w:p w14:paraId="0B02409A">
      <w:pPr>
        <w:pStyle w:val="60"/>
        <w:numPr>
          <w:ilvl w:val="0"/>
          <w:numId w:val="10"/>
        </w:numPr>
        <w:ind w:firstLineChars="0"/>
        <w:rPr>
          <w:b/>
          <w:szCs w:val="21"/>
        </w:rPr>
      </w:pPr>
      <w:bookmarkStart w:id="505" w:name="_Toc122791550"/>
      <w:r>
        <w:rPr>
          <w:rFonts w:hint="eastAsia"/>
          <w:b/>
          <w:szCs w:val="21"/>
        </w:rPr>
        <w:t>《建设工程质量管理条例》相关条文</w:t>
      </w:r>
      <w:bookmarkEnd w:id="505"/>
    </w:p>
    <w:p w14:paraId="54B58551">
      <w:pPr>
        <w:ind w:firstLine="420" w:firstLineChars="200"/>
        <w:rPr>
          <w:szCs w:val="21"/>
        </w:rPr>
      </w:pPr>
      <w:r>
        <w:rPr>
          <w:rFonts w:hint="eastAsia"/>
          <w:szCs w:val="21"/>
        </w:rPr>
        <w:t>本部分引用《建设工程质量管理条例》关于施工承包商的质量责任和义务部分的原条文。</w:t>
      </w:r>
    </w:p>
    <w:p w14:paraId="23360459">
      <w:pPr>
        <w:rPr>
          <w:szCs w:val="21"/>
        </w:rPr>
      </w:pPr>
      <w:r>
        <w:rPr>
          <w:rFonts w:hint="eastAsia"/>
          <w:szCs w:val="21"/>
        </w:rPr>
        <w:t>4.1 施工单位不得转包或者违法分包工程。</w:t>
      </w:r>
    </w:p>
    <w:p w14:paraId="44BECDF0">
      <w:pPr>
        <w:rPr>
          <w:szCs w:val="21"/>
        </w:rPr>
      </w:pPr>
      <w:r>
        <w:rPr>
          <w:rFonts w:hint="eastAsia"/>
          <w:szCs w:val="21"/>
        </w:rPr>
        <w:t>4.2施工单位必须按照工程设计图纸和施工技术标准施工，不得擅自修改工程设计，不得偷工减料。</w:t>
      </w:r>
    </w:p>
    <w:p w14:paraId="46C4C2F5">
      <w:pPr>
        <w:rPr>
          <w:szCs w:val="21"/>
        </w:rPr>
      </w:pPr>
      <w:r>
        <w:rPr>
          <w:rFonts w:hint="eastAsia"/>
          <w:szCs w:val="21"/>
        </w:rPr>
        <w:t>4.3施工单位在施工过程中发现设计文件和图纸有差错的，应当及时提出意见和建议。</w:t>
      </w:r>
    </w:p>
    <w:p w14:paraId="43922E29">
      <w:pPr>
        <w:rPr>
          <w:szCs w:val="21"/>
        </w:rPr>
      </w:pPr>
      <w:r>
        <w:rPr>
          <w:rFonts w:hint="eastAsia"/>
          <w:szCs w:val="21"/>
        </w:rPr>
        <w:t>4.4施工单位必须按照工程设计要求、施工技术标准和合同约定，对建筑材料、建筑构配件、 设备和自拌混凝土进行检验、检验应当有书面记录和专人签字；未经检验和检验不合格的，不得使用。</w:t>
      </w:r>
    </w:p>
    <w:p w14:paraId="71307288">
      <w:pPr>
        <w:rPr>
          <w:szCs w:val="21"/>
        </w:rPr>
      </w:pPr>
      <w:r>
        <w:rPr>
          <w:rFonts w:hint="eastAsia"/>
          <w:szCs w:val="21"/>
        </w:rPr>
        <w:t>4.5施工单位必须建立、健全施工质量检验制度，严格工序管理，作好隐蔽工程的质量检查和记录。隐蔽工程在隐蔽前，施工单位应当通知监理单位、建设单位。</w:t>
      </w:r>
    </w:p>
    <w:p w14:paraId="572A36A3">
      <w:pPr>
        <w:rPr>
          <w:szCs w:val="21"/>
        </w:rPr>
      </w:pPr>
      <w:r>
        <w:rPr>
          <w:rFonts w:hint="eastAsia"/>
          <w:szCs w:val="21"/>
        </w:rPr>
        <w:t>4.6施工人员对涉及结构安全的试块、试件以及有关材料，应当在建设单位或者工程监理单位监督下现场取样，并送具有相应资质等级的质量检测单位进行检测。</w:t>
      </w:r>
    </w:p>
    <w:p w14:paraId="4F6988DB">
      <w:pPr>
        <w:rPr>
          <w:szCs w:val="21"/>
        </w:rPr>
      </w:pPr>
      <w:r>
        <w:rPr>
          <w:rFonts w:hint="eastAsia"/>
          <w:szCs w:val="21"/>
        </w:rPr>
        <w:t>4.7施工单位对施工中出现质量问题的建设工程或者竣工验收不合格的建设工程，应当负责返修。</w:t>
      </w:r>
    </w:p>
    <w:p w14:paraId="6B443E66">
      <w:pPr>
        <w:rPr>
          <w:szCs w:val="21"/>
        </w:rPr>
      </w:pPr>
      <w:r>
        <w:rPr>
          <w:rFonts w:hint="eastAsia"/>
          <w:szCs w:val="21"/>
        </w:rPr>
        <w:t>4.8施工单位应当建立、健全质量教育培训制度，坚持对职工的质量教育培训；未经质量教育培训或者考核不合格的人员，不得上岗作业。</w:t>
      </w:r>
    </w:p>
    <w:p w14:paraId="0D85D138">
      <w:pPr>
        <w:pStyle w:val="60"/>
        <w:numPr>
          <w:ilvl w:val="0"/>
          <w:numId w:val="10"/>
        </w:numPr>
        <w:ind w:firstLineChars="0"/>
        <w:rPr>
          <w:b/>
          <w:szCs w:val="21"/>
        </w:rPr>
      </w:pPr>
      <w:bookmarkStart w:id="506" w:name="_Toc122791551"/>
      <w:r>
        <w:rPr>
          <w:rFonts w:hint="eastAsia"/>
          <w:b/>
          <w:szCs w:val="21"/>
        </w:rPr>
        <w:t>对施工承包商的质量责任和义务的解释和扩充</w:t>
      </w:r>
      <w:bookmarkEnd w:id="506"/>
    </w:p>
    <w:p w14:paraId="52C4118B">
      <w:pPr>
        <w:rPr>
          <w:szCs w:val="21"/>
        </w:rPr>
      </w:pPr>
      <w:r>
        <w:rPr>
          <w:rFonts w:hint="eastAsia"/>
          <w:szCs w:val="21"/>
        </w:rPr>
        <w:t>5.1  施工分包商在隐蔽工程隐蔽前应提前48小时通监理单位（或建设单位）。</w:t>
      </w:r>
    </w:p>
    <w:p w14:paraId="4095CB53">
      <w:pPr>
        <w:rPr>
          <w:szCs w:val="21"/>
        </w:rPr>
      </w:pPr>
      <w:r>
        <w:rPr>
          <w:rFonts w:hint="eastAsia"/>
          <w:szCs w:val="21"/>
        </w:rPr>
        <w:t>5.2  施工分包商必须健全质量管理组织机构，每个专业都必须配备足够的专职质量监督人员，管理人员要持证上岗，要切实保证各专业人员到位。</w:t>
      </w:r>
    </w:p>
    <w:p w14:paraId="2EE5C972">
      <w:pPr>
        <w:rPr>
          <w:szCs w:val="21"/>
        </w:rPr>
      </w:pPr>
      <w:r>
        <w:rPr>
          <w:rFonts w:hint="eastAsia"/>
          <w:szCs w:val="21"/>
        </w:rPr>
        <w:t>5.3  针对4.8条的扩充为，本工程现场施工人员必须经过质量培训并通过考试，才能上岗。特殊作业人员要持政府部门颁发的有效上岗证才能上岗。</w:t>
      </w:r>
    </w:p>
    <w:p w14:paraId="42C85FAF">
      <w:pPr>
        <w:rPr>
          <w:szCs w:val="21"/>
        </w:rPr>
      </w:pPr>
      <w:r>
        <w:rPr>
          <w:rFonts w:hint="eastAsia"/>
          <w:szCs w:val="21"/>
        </w:rPr>
        <w:t>5.4  在每个专业的施工准备阶段，各承包商都要将测量仪器送有校验资质的单位进行校验，保证测量仪器准确。并将校验证书报监理部备案。</w:t>
      </w:r>
    </w:p>
    <w:p w14:paraId="6EE5DB21">
      <w:pPr>
        <w:rPr>
          <w:szCs w:val="21"/>
        </w:rPr>
      </w:pPr>
      <w:r>
        <w:rPr>
          <w:rFonts w:hint="eastAsia"/>
          <w:szCs w:val="21"/>
        </w:rPr>
        <w:t xml:space="preserve">5.5  凡由施工承包商采购的材料、设备等，在采购订货前应向建设单位、监理单位申报，在建设单位确认后方可进行采购。 </w:t>
      </w:r>
    </w:p>
    <w:p w14:paraId="7F919307">
      <w:pPr>
        <w:rPr>
          <w:szCs w:val="21"/>
        </w:rPr>
      </w:pPr>
      <w:r>
        <w:rPr>
          <w:rFonts w:hint="eastAsia"/>
          <w:szCs w:val="21"/>
        </w:rPr>
        <w:t>5.6  凡运到施工现场的原材料、半成品或构配件，应有产品合格证或技术说明书、试验报告，并由施工单位按规范要求进行检验，向建设单位、监理工程师提出检验或试验报告，确认质量合格后，方可使用。</w:t>
      </w:r>
    </w:p>
    <w:p w14:paraId="06952AF7">
      <w:pPr>
        <w:rPr>
          <w:szCs w:val="21"/>
        </w:rPr>
      </w:pPr>
      <w:r>
        <w:rPr>
          <w:rFonts w:hint="eastAsia"/>
          <w:szCs w:val="21"/>
        </w:rPr>
        <w:t>5.7  设备、材料的存放必须进行可靠保护，要保证设备和材料不受损坏。</w:t>
      </w:r>
    </w:p>
    <w:p w14:paraId="329547F9">
      <w:pPr>
        <w:rPr>
          <w:szCs w:val="21"/>
        </w:rPr>
      </w:pPr>
      <w:r>
        <w:rPr>
          <w:rFonts w:hint="eastAsia"/>
          <w:szCs w:val="21"/>
        </w:rPr>
        <w:t>5.8  重大施工作业前，施工单位必须编制作业指导书（或施工方案），并提前7天上报建设或监理方审核，作业指导书或施工方案未经批准前不得进行该部分的施工，批准后的作业指导书在施工前要进行技术交底，并有技术交底记录。</w:t>
      </w:r>
    </w:p>
    <w:p w14:paraId="22B1ECCF">
      <w:pPr>
        <w:rPr>
          <w:szCs w:val="21"/>
        </w:rPr>
      </w:pPr>
      <w:r>
        <w:rPr>
          <w:rFonts w:hint="eastAsia"/>
          <w:szCs w:val="21"/>
        </w:rPr>
        <w:t>5.9  《施工方案》经审核、审批、正式出版后，作为建设单位、监理单位监督管理的依据，现场施工必须按照施工方案中描述的措施和工艺进行施工。</w:t>
      </w:r>
    </w:p>
    <w:p w14:paraId="317D0810">
      <w:pPr>
        <w:rPr>
          <w:szCs w:val="21"/>
        </w:rPr>
      </w:pPr>
      <w:r>
        <w:rPr>
          <w:rFonts w:hint="eastAsia"/>
          <w:szCs w:val="21"/>
        </w:rPr>
        <w:t>5.10  单位工程开工前，施工单位必须按开工报告要求完成准备工作，向建设单位或监理单位提交开工申请。单位工程完工且自检查合格达到报验条件后，施工单位必须提前24小时准备好相关材料，向建设单位提交单位工程验收申请。</w:t>
      </w:r>
    </w:p>
    <w:p w14:paraId="43D73EB3">
      <w:pPr>
        <w:rPr>
          <w:szCs w:val="21"/>
        </w:rPr>
      </w:pPr>
      <w:r>
        <w:rPr>
          <w:rFonts w:hint="eastAsia"/>
          <w:szCs w:val="21"/>
        </w:rPr>
        <w:t>5.11  对主要的工序交接作业，办理工序交接签证，不得在未办理工序交接手续前进行下道工序。施工过程的的检查验收要严格按照各专业的“验评项目划分表执行”，施工单位要严格执行质量验收制度，上一级质检员未自检，无施工记录、自检记录，不得通知下一级质检。</w:t>
      </w:r>
    </w:p>
    <w:p w14:paraId="7D362B52">
      <w:pPr>
        <w:rPr>
          <w:szCs w:val="21"/>
        </w:rPr>
      </w:pPr>
      <w:r>
        <w:rPr>
          <w:rFonts w:hint="eastAsia"/>
          <w:szCs w:val="21"/>
        </w:rPr>
        <w:t>5.1</w:t>
      </w:r>
      <w:r>
        <w:rPr>
          <w:szCs w:val="21"/>
        </w:rPr>
        <w:t>2</w:t>
      </w:r>
      <w:r>
        <w:rPr>
          <w:rFonts w:hint="eastAsia"/>
          <w:szCs w:val="21"/>
        </w:rPr>
        <w:t>成品保护措施</w:t>
      </w:r>
    </w:p>
    <w:p w14:paraId="2140839F">
      <w:pPr>
        <w:pStyle w:val="60"/>
        <w:ind w:firstLine="0" w:firstLineChars="0"/>
        <w:rPr>
          <w:szCs w:val="21"/>
        </w:rPr>
      </w:pPr>
      <w:r>
        <w:rPr>
          <w:rFonts w:hint="eastAsia"/>
          <w:szCs w:val="21"/>
        </w:rPr>
        <w:t>5.12.1施工单位在成品保护管理上应实行项目经理负责制，各班组、各技术专业组、各职能人员应明确职责，分工负责，各专业队或作业班组必须配备认真负责的专职或兼职的成品保护专管员。</w:t>
      </w:r>
    </w:p>
    <w:p w14:paraId="0FA8AD41">
      <w:pPr>
        <w:pStyle w:val="60"/>
        <w:ind w:firstLine="0" w:firstLineChars="0"/>
        <w:rPr>
          <w:szCs w:val="21"/>
        </w:rPr>
      </w:pPr>
      <w:r>
        <w:rPr>
          <w:rFonts w:hint="eastAsia"/>
          <w:szCs w:val="21"/>
        </w:rPr>
        <w:t>5.12.2各施工单位应建立健全成品保护工作体系，严格执行本单位的工程施工安装产品保护程序，在安排施工生产的同时明确成品保护的基本要求和重点，对成品保护措施纳入技术交底。</w:t>
      </w:r>
    </w:p>
    <w:p w14:paraId="2C44582E">
      <w:pPr>
        <w:pStyle w:val="60"/>
        <w:ind w:firstLine="0" w:firstLineChars="0"/>
        <w:rPr>
          <w:szCs w:val="21"/>
        </w:rPr>
      </w:pPr>
      <w:r>
        <w:rPr>
          <w:rFonts w:hint="eastAsia"/>
          <w:szCs w:val="21"/>
        </w:rPr>
        <w:t>5.12.3各施工单位应加强成品保护的宣传教育，使有关人员明白做好成品保护是满足施工正常进行的必要条件和维护职业道德的基本要求。</w:t>
      </w:r>
    </w:p>
    <w:p w14:paraId="3F08AD8C">
      <w:pPr>
        <w:pStyle w:val="60"/>
        <w:ind w:firstLine="0" w:firstLineChars="0"/>
        <w:rPr>
          <w:szCs w:val="21"/>
        </w:rPr>
      </w:pPr>
      <w:r>
        <w:rPr>
          <w:rFonts w:hint="eastAsia"/>
          <w:szCs w:val="21"/>
        </w:rPr>
        <w:t>5.12.4工序全部或部分完成后，本工序施工责任单位应设立醒目明确的标识，警戒、围挡等措施，涉及安全风险的还应做好安全防护。</w:t>
      </w:r>
    </w:p>
    <w:p w14:paraId="268BE29F">
      <w:pPr>
        <w:pStyle w:val="60"/>
        <w:ind w:firstLine="0" w:firstLineChars="0"/>
        <w:rPr>
          <w:szCs w:val="21"/>
        </w:rPr>
      </w:pPr>
      <w:r>
        <w:rPr>
          <w:rFonts w:hint="eastAsia"/>
          <w:szCs w:val="21"/>
        </w:rPr>
        <w:t>5.12.5其他相邻施工单位不得随意拆除、破坏成品保护标识、警戒、围挡，应严格按照设置标识妥善保护已完工程。</w:t>
      </w:r>
    </w:p>
    <w:p w14:paraId="11E4BFBF">
      <w:pPr>
        <w:pStyle w:val="60"/>
        <w:ind w:firstLine="0" w:firstLineChars="0"/>
        <w:rPr>
          <w:szCs w:val="21"/>
        </w:rPr>
      </w:pPr>
      <w:r>
        <w:rPr>
          <w:rFonts w:hint="eastAsia"/>
          <w:szCs w:val="21"/>
        </w:rPr>
        <w:t>5.12.6已完工程施工单位应加大成品保护工作的监督力度，落实好成品保护措施的有效性，及时发现和制止成品损坏的行为。</w:t>
      </w:r>
    </w:p>
    <w:p w14:paraId="05D21616">
      <w:pPr>
        <w:pStyle w:val="60"/>
        <w:ind w:firstLine="0" w:firstLineChars="0"/>
        <w:rPr>
          <w:szCs w:val="21"/>
        </w:rPr>
      </w:pPr>
      <w:r>
        <w:rPr>
          <w:rFonts w:hint="eastAsia"/>
          <w:szCs w:val="21"/>
        </w:rPr>
        <w:t>5.12.7施工单位内部和各施工单位存在工序交接时，应组织办理书面的成品保护交接手续。</w:t>
      </w:r>
    </w:p>
    <w:p w14:paraId="5D071216">
      <w:pPr>
        <w:pStyle w:val="60"/>
        <w:numPr>
          <w:ilvl w:val="0"/>
          <w:numId w:val="10"/>
        </w:numPr>
        <w:ind w:firstLineChars="0"/>
        <w:rPr>
          <w:b/>
          <w:szCs w:val="21"/>
        </w:rPr>
      </w:pPr>
      <w:bookmarkStart w:id="507" w:name="_Toc122791553"/>
      <w:r>
        <w:rPr>
          <w:rFonts w:hint="eastAsia"/>
          <w:b/>
          <w:szCs w:val="21"/>
        </w:rPr>
        <w:t>质量问题（事故）处理程序</w:t>
      </w:r>
      <w:bookmarkEnd w:id="507"/>
    </w:p>
    <w:p w14:paraId="5CAC6361">
      <w:pPr>
        <w:pStyle w:val="60"/>
        <w:numPr>
          <w:ilvl w:val="1"/>
          <w:numId w:val="10"/>
        </w:numPr>
        <w:ind w:firstLineChars="0"/>
        <w:rPr>
          <w:szCs w:val="21"/>
        </w:rPr>
      </w:pPr>
      <w:r>
        <w:rPr>
          <w:rFonts w:hint="eastAsia"/>
          <w:szCs w:val="21"/>
        </w:rPr>
        <w:t>施工单位在施工过程，如模板拆除等工作中，如果发现质量缺陷（包括甲供材料、构配件、设备等等），必须立刻报建设或监理方，不许私自隐蔽。</w:t>
      </w:r>
    </w:p>
    <w:p w14:paraId="011CB826">
      <w:pPr>
        <w:pStyle w:val="60"/>
        <w:numPr>
          <w:ilvl w:val="1"/>
          <w:numId w:val="10"/>
        </w:numPr>
        <w:ind w:firstLineChars="0"/>
        <w:rPr>
          <w:szCs w:val="21"/>
        </w:rPr>
      </w:pPr>
      <w:r>
        <w:rPr>
          <w:rFonts w:hint="eastAsia"/>
          <w:szCs w:val="21"/>
        </w:rPr>
        <w:t>质量缺陷、质量问题、质量事故发生后，施工单位应停止与其有关部位的施工，并通知建设或监理单位。施工承包商立即进行质量事故的调查，写出调查分析报告并制定出处理方案。</w:t>
      </w:r>
    </w:p>
    <w:p w14:paraId="31307FA9">
      <w:pPr>
        <w:pStyle w:val="60"/>
        <w:numPr>
          <w:ilvl w:val="1"/>
          <w:numId w:val="10"/>
        </w:numPr>
        <w:ind w:firstLineChars="0"/>
        <w:rPr>
          <w:szCs w:val="21"/>
        </w:rPr>
      </w:pPr>
      <w:r>
        <w:rPr>
          <w:rFonts w:hint="eastAsia"/>
          <w:szCs w:val="21"/>
        </w:rPr>
        <w:t>质量缺陷处理完毕后，施工单位应组织监理和建设单位人员对处理的结果进行严格的鉴定和验收，写出事故处理报告，提交建设单位。</w:t>
      </w:r>
    </w:p>
    <w:p w14:paraId="6245CCF3">
      <w:pPr>
        <w:pStyle w:val="60"/>
        <w:numPr>
          <w:ilvl w:val="0"/>
          <w:numId w:val="10"/>
        </w:numPr>
        <w:ind w:firstLineChars="0"/>
        <w:rPr>
          <w:b/>
          <w:szCs w:val="21"/>
        </w:rPr>
      </w:pPr>
      <w:r>
        <w:rPr>
          <w:rFonts w:hint="eastAsia"/>
          <w:b/>
          <w:szCs w:val="21"/>
        </w:rPr>
        <w:t>考核的实施</w:t>
      </w:r>
    </w:p>
    <w:p w14:paraId="5AC9B8A1">
      <w:pPr>
        <w:ind w:firstLine="420" w:firstLineChars="200"/>
        <w:rPr>
          <w:szCs w:val="21"/>
        </w:rPr>
      </w:pPr>
      <w:r>
        <w:rPr>
          <w:rFonts w:hint="eastAsia"/>
          <w:szCs w:val="21"/>
        </w:rPr>
        <w:t>承包商违反相应的质量管理程序和规范要求，建设单位根据本规定作出考核的，由建设单位指定人员将违约通知单以书面的形式（纸质或电子邮件均可）通知到承包商，承包商在收到违约单起五个工作日内如有异议可书面回复，建设单位根据回复判定是否撤销原违约单。承包商有异议的根据合同争议条款进行处理。</w:t>
      </w:r>
    </w:p>
    <w:p w14:paraId="346717B8">
      <w:pPr>
        <w:ind w:firstLine="420" w:firstLineChars="200"/>
        <w:rPr>
          <w:szCs w:val="21"/>
        </w:rPr>
      </w:pPr>
      <w:r>
        <w:rPr>
          <w:rFonts w:hint="eastAsia"/>
          <w:szCs w:val="21"/>
        </w:rPr>
        <w:t xml:space="preserve">生效的工程质量考核单由施工单位签字盖章后由工程造价管理人员在当期工程进度款中扣除， </w:t>
      </w:r>
    </w:p>
    <w:p w14:paraId="44352064">
      <w:pPr>
        <w:pStyle w:val="60"/>
        <w:numPr>
          <w:ilvl w:val="0"/>
          <w:numId w:val="10"/>
        </w:numPr>
        <w:ind w:firstLineChars="0"/>
        <w:rPr>
          <w:b/>
          <w:szCs w:val="21"/>
        </w:rPr>
      </w:pPr>
      <w:r>
        <w:rPr>
          <w:rFonts w:hint="eastAsia"/>
          <w:b/>
          <w:szCs w:val="21"/>
        </w:rPr>
        <w:t>工程质量考核标准见附表1</w:t>
      </w:r>
    </w:p>
    <w:tbl>
      <w:tblPr>
        <w:tblStyle w:val="20"/>
        <w:tblW w:w="0" w:type="auto"/>
        <w:tblInd w:w="108" w:type="dxa"/>
        <w:tblLayout w:type="fixed"/>
        <w:tblCellMar>
          <w:top w:w="0" w:type="dxa"/>
          <w:left w:w="108" w:type="dxa"/>
          <w:bottom w:w="0" w:type="dxa"/>
          <w:right w:w="108" w:type="dxa"/>
        </w:tblCellMar>
      </w:tblPr>
      <w:tblGrid>
        <w:gridCol w:w="851"/>
        <w:gridCol w:w="1069"/>
        <w:gridCol w:w="4459"/>
        <w:gridCol w:w="1985"/>
      </w:tblGrid>
      <w:tr w14:paraId="2065E971">
        <w:tblPrEx>
          <w:tblCellMar>
            <w:top w:w="0" w:type="dxa"/>
            <w:left w:w="108" w:type="dxa"/>
            <w:bottom w:w="0" w:type="dxa"/>
            <w:right w:w="108" w:type="dxa"/>
          </w:tblCellMar>
        </w:tblPrEx>
        <w:trPr>
          <w:trHeight w:val="996" w:hRule="atLeast"/>
        </w:trPr>
        <w:tc>
          <w:tcPr>
            <w:tcW w:w="8364" w:type="dxa"/>
            <w:gridSpan w:val="4"/>
            <w:tcBorders>
              <w:top w:val="nil"/>
              <w:left w:val="nil"/>
              <w:bottom w:val="nil"/>
              <w:right w:val="nil"/>
            </w:tcBorders>
            <w:vAlign w:val="bottom"/>
          </w:tcPr>
          <w:p w14:paraId="59B4C700">
            <w:pPr>
              <w:pStyle w:val="60"/>
              <w:numPr>
                <w:ilvl w:val="0"/>
                <w:numId w:val="10"/>
              </w:numPr>
              <w:ind w:firstLineChars="0"/>
              <w:rPr>
                <w:b/>
                <w:szCs w:val="21"/>
              </w:rPr>
            </w:pPr>
            <w:r>
              <w:rPr>
                <w:rFonts w:hint="eastAsia"/>
                <w:b/>
                <w:szCs w:val="21"/>
              </w:rPr>
              <w:t>违约单见附表2</w:t>
            </w:r>
          </w:p>
          <w:p w14:paraId="18B27307">
            <w:pPr>
              <w:widowControl/>
              <w:jc w:val="left"/>
              <w:rPr>
                <w:rFonts w:ascii="等线" w:hAnsi="等线" w:eastAsia="等线" w:cs="宋体"/>
                <w:color w:val="000000"/>
                <w:kern w:val="0"/>
                <w:sz w:val="22"/>
              </w:rPr>
            </w:pPr>
          </w:p>
          <w:p w14:paraId="2E3CA97C">
            <w:pPr>
              <w:widowControl/>
              <w:jc w:val="left"/>
              <w:rPr>
                <w:rFonts w:ascii="等线" w:hAnsi="等线" w:eastAsia="等线" w:cs="宋体"/>
                <w:color w:val="000000"/>
                <w:kern w:val="0"/>
                <w:sz w:val="22"/>
              </w:rPr>
            </w:pPr>
          </w:p>
          <w:p w14:paraId="605D67E7">
            <w:pPr>
              <w:widowControl/>
              <w:ind w:firstLine="440" w:firstLineChars="200"/>
              <w:jc w:val="left"/>
              <w:rPr>
                <w:rFonts w:ascii="等线" w:hAnsi="等线" w:eastAsia="等线" w:cs="宋体"/>
                <w:color w:val="000000"/>
                <w:kern w:val="0"/>
                <w:sz w:val="22"/>
              </w:rPr>
            </w:pPr>
            <w:r>
              <w:rPr>
                <w:rFonts w:hint="eastAsia" w:ascii="等线" w:hAnsi="等线" w:eastAsia="等线" w:cs="宋体"/>
                <w:color w:val="000000"/>
                <w:kern w:val="0"/>
                <w:sz w:val="22"/>
              </w:rPr>
              <w:t>附表1</w:t>
            </w:r>
          </w:p>
          <w:p w14:paraId="06A7876B">
            <w:pPr>
              <w:widowControl/>
              <w:ind w:firstLine="560" w:firstLineChars="200"/>
              <w:jc w:val="center"/>
              <w:rPr>
                <w:rFonts w:ascii="等线" w:hAnsi="等线" w:eastAsia="等线" w:cs="宋体"/>
                <w:color w:val="000000"/>
                <w:kern w:val="0"/>
                <w:sz w:val="28"/>
                <w:szCs w:val="28"/>
              </w:rPr>
            </w:pPr>
            <w:r>
              <w:rPr>
                <w:rFonts w:hint="eastAsia"/>
                <w:sz w:val="28"/>
                <w:szCs w:val="28"/>
              </w:rPr>
              <w:t>工程质量考核标准</w:t>
            </w:r>
          </w:p>
          <w:p w14:paraId="210E1486">
            <w:pPr>
              <w:widowControl/>
              <w:ind w:firstLine="440" w:firstLineChars="200"/>
              <w:jc w:val="left"/>
              <w:rPr>
                <w:rFonts w:ascii="等线" w:hAnsi="等线" w:eastAsia="等线" w:cs="宋体"/>
                <w:color w:val="000000"/>
                <w:kern w:val="0"/>
                <w:sz w:val="22"/>
              </w:rPr>
            </w:pPr>
            <w:r>
              <w:rPr>
                <w:rFonts w:hint="eastAsia" w:ascii="等线" w:hAnsi="等线" w:eastAsia="等线" w:cs="宋体"/>
                <w:color w:val="000000"/>
                <w:kern w:val="0"/>
                <w:sz w:val="22"/>
              </w:rPr>
              <w:t xml:space="preserve"> 说明：考核标准为每次或每项扣罚标准，单位为人民币。扣罚不能免除施工单位修复、施工至合格以及由此造成的直接损失和工期延误而带来的间接损失。</w:t>
            </w:r>
          </w:p>
        </w:tc>
      </w:tr>
      <w:tr w14:paraId="278C9DD2">
        <w:tblPrEx>
          <w:tblCellMar>
            <w:top w:w="0" w:type="dxa"/>
            <w:left w:w="108" w:type="dxa"/>
            <w:bottom w:w="0" w:type="dxa"/>
            <w:right w:w="108" w:type="dxa"/>
          </w:tblCellMar>
        </w:tblPrEx>
        <w:trPr>
          <w:trHeight w:val="276" w:hRule="atLeast"/>
        </w:trPr>
        <w:tc>
          <w:tcPr>
            <w:tcW w:w="851" w:type="dxa"/>
            <w:tcBorders>
              <w:top w:val="single" w:color="auto" w:sz="4" w:space="0"/>
              <w:left w:val="single" w:color="auto" w:sz="4" w:space="0"/>
              <w:bottom w:val="single" w:color="auto" w:sz="4" w:space="0"/>
              <w:right w:val="single" w:color="auto" w:sz="4" w:space="0"/>
            </w:tcBorders>
            <w:vAlign w:val="center"/>
          </w:tcPr>
          <w:p w14:paraId="708E2430">
            <w:pPr>
              <w:widowControl/>
              <w:jc w:val="center"/>
              <w:rPr>
                <w:rFonts w:ascii="等线" w:hAnsi="等线" w:eastAsia="等线" w:cs="宋体"/>
                <w:b/>
                <w:bCs/>
                <w:color w:val="000000"/>
                <w:kern w:val="0"/>
                <w:szCs w:val="21"/>
              </w:rPr>
            </w:pPr>
            <w:r>
              <w:rPr>
                <w:rFonts w:hint="eastAsia" w:ascii="等线" w:hAnsi="等线" w:eastAsia="等线" w:cs="宋体"/>
                <w:b/>
                <w:bCs/>
                <w:color w:val="000000"/>
                <w:kern w:val="0"/>
                <w:szCs w:val="21"/>
              </w:rPr>
              <w:t>序号</w:t>
            </w:r>
          </w:p>
        </w:tc>
        <w:tc>
          <w:tcPr>
            <w:tcW w:w="1069" w:type="dxa"/>
            <w:tcBorders>
              <w:top w:val="single" w:color="auto" w:sz="4" w:space="0"/>
              <w:left w:val="nil"/>
              <w:bottom w:val="single" w:color="auto" w:sz="4" w:space="0"/>
              <w:right w:val="single" w:color="auto" w:sz="4" w:space="0"/>
            </w:tcBorders>
            <w:vAlign w:val="center"/>
          </w:tcPr>
          <w:p w14:paraId="46CE64B3">
            <w:pPr>
              <w:widowControl/>
              <w:jc w:val="center"/>
              <w:rPr>
                <w:rFonts w:ascii="等线" w:hAnsi="等线" w:eastAsia="等线" w:cs="宋体"/>
                <w:b/>
                <w:bCs/>
                <w:color w:val="000000"/>
                <w:kern w:val="0"/>
                <w:szCs w:val="21"/>
              </w:rPr>
            </w:pPr>
            <w:r>
              <w:rPr>
                <w:rFonts w:hint="eastAsia" w:ascii="等线" w:hAnsi="等线" w:eastAsia="等线" w:cs="宋体"/>
                <w:b/>
                <w:bCs/>
                <w:color w:val="000000"/>
                <w:kern w:val="0"/>
                <w:szCs w:val="21"/>
              </w:rPr>
              <w:t>类别</w:t>
            </w:r>
          </w:p>
        </w:tc>
        <w:tc>
          <w:tcPr>
            <w:tcW w:w="4459" w:type="dxa"/>
            <w:tcBorders>
              <w:top w:val="single" w:color="auto" w:sz="4" w:space="0"/>
              <w:left w:val="nil"/>
              <w:bottom w:val="single" w:color="auto" w:sz="4" w:space="0"/>
              <w:right w:val="single" w:color="auto" w:sz="4" w:space="0"/>
            </w:tcBorders>
            <w:vAlign w:val="center"/>
          </w:tcPr>
          <w:p w14:paraId="26CA79F9">
            <w:pPr>
              <w:widowControl/>
              <w:jc w:val="center"/>
              <w:rPr>
                <w:rFonts w:ascii="等线" w:hAnsi="等线" w:eastAsia="等线" w:cs="宋体"/>
                <w:b/>
                <w:bCs/>
                <w:color w:val="000000"/>
                <w:kern w:val="0"/>
                <w:szCs w:val="21"/>
              </w:rPr>
            </w:pPr>
            <w:r>
              <w:rPr>
                <w:rFonts w:hint="eastAsia" w:ascii="等线" w:hAnsi="等线" w:eastAsia="等线" w:cs="宋体"/>
                <w:b/>
                <w:bCs/>
                <w:color w:val="000000"/>
                <w:kern w:val="0"/>
                <w:szCs w:val="21"/>
              </w:rPr>
              <w:t>考核指标</w:t>
            </w:r>
          </w:p>
        </w:tc>
        <w:tc>
          <w:tcPr>
            <w:tcW w:w="1985" w:type="dxa"/>
            <w:tcBorders>
              <w:top w:val="single" w:color="auto" w:sz="4" w:space="0"/>
              <w:left w:val="nil"/>
              <w:bottom w:val="single" w:color="auto" w:sz="4" w:space="0"/>
              <w:right w:val="single" w:color="auto" w:sz="4" w:space="0"/>
            </w:tcBorders>
            <w:vAlign w:val="center"/>
          </w:tcPr>
          <w:p w14:paraId="23C6707A">
            <w:pPr>
              <w:widowControl/>
              <w:jc w:val="center"/>
              <w:rPr>
                <w:rFonts w:ascii="等线" w:hAnsi="等线" w:eastAsia="等线" w:cs="宋体"/>
                <w:b/>
                <w:bCs/>
                <w:color w:val="000000"/>
                <w:kern w:val="0"/>
                <w:szCs w:val="21"/>
              </w:rPr>
            </w:pPr>
            <w:r>
              <w:rPr>
                <w:rFonts w:hint="eastAsia" w:ascii="等线" w:hAnsi="等线" w:eastAsia="等线" w:cs="宋体"/>
                <w:b/>
                <w:bCs/>
                <w:color w:val="000000"/>
                <w:kern w:val="0"/>
                <w:szCs w:val="21"/>
              </w:rPr>
              <w:t>违约金</w:t>
            </w:r>
          </w:p>
        </w:tc>
      </w:tr>
      <w:tr w14:paraId="25C49F56">
        <w:tblPrEx>
          <w:tblCellMar>
            <w:top w:w="0" w:type="dxa"/>
            <w:left w:w="108" w:type="dxa"/>
            <w:bottom w:w="0" w:type="dxa"/>
            <w:right w:w="108" w:type="dxa"/>
          </w:tblCellMar>
        </w:tblPrEx>
        <w:trPr>
          <w:trHeight w:val="276" w:hRule="atLeast"/>
        </w:trPr>
        <w:tc>
          <w:tcPr>
            <w:tcW w:w="851" w:type="dxa"/>
            <w:tcBorders>
              <w:top w:val="nil"/>
              <w:left w:val="single" w:color="auto" w:sz="4" w:space="0"/>
              <w:bottom w:val="single" w:color="auto" w:sz="4" w:space="0"/>
              <w:right w:val="single" w:color="auto" w:sz="4" w:space="0"/>
            </w:tcBorders>
            <w:noWrap/>
            <w:vAlign w:val="center"/>
          </w:tcPr>
          <w:p w14:paraId="3A476CAD">
            <w:pPr>
              <w:widowControl/>
              <w:jc w:val="center"/>
              <w:rPr>
                <w:rFonts w:ascii="等线" w:hAnsi="等线" w:eastAsia="等线" w:cs="宋体"/>
                <w:color w:val="000000"/>
                <w:kern w:val="0"/>
                <w:szCs w:val="21"/>
              </w:rPr>
            </w:pPr>
            <w:r>
              <w:rPr>
                <w:rFonts w:hint="eastAsia" w:ascii="等线" w:hAnsi="等线" w:eastAsia="等线" w:cs="宋体"/>
                <w:color w:val="000000"/>
                <w:kern w:val="0"/>
                <w:szCs w:val="21"/>
              </w:rPr>
              <w:t>1</w:t>
            </w:r>
          </w:p>
        </w:tc>
        <w:tc>
          <w:tcPr>
            <w:tcW w:w="1069" w:type="dxa"/>
            <w:vMerge w:val="restart"/>
            <w:tcBorders>
              <w:top w:val="nil"/>
              <w:left w:val="single" w:color="auto" w:sz="4" w:space="0"/>
              <w:bottom w:val="single" w:color="auto" w:sz="4" w:space="0"/>
              <w:right w:val="single" w:color="auto" w:sz="4" w:space="0"/>
            </w:tcBorders>
            <w:vAlign w:val="center"/>
          </w:tcPr>
          <w:p w14:paraId="75D41628">
            <w:pPr>
              <w:widowControl/>
              <w:jc w:val="center"/>
              <w:rPr>
                <w:rFonts w:ascii="等线" w:hAnsi="等线" w:eastAsia="等线" w:cs="宋体"/>
                <w:color w:val="000000"/>
                <w:kern w:val="0"/>
                <w:szCs w:val="21"/>
              </w:rPr>
            </w:pPr>
            <w:r>
              <w:rPr>
                <w:rFonts w:hint="eastAsia" w:ascii="等线" w:hAnsi="等线" w:eastAsia="等线" w:cs="宋体"/>
                <w:color w:val="000000"/>
                <w:kern w:val="0"/>
                <w:szCs w:val="21"/>
              </w:rPr>
              <w:t>质量保证措施</w:t>
            </w:r>
          </w:p>
        </w:tc>
        <w:tc>
          <w:tcPr>
            <w:tcW w:w="4459" w:type="dxa"/>
            <w:tcBorders>
              <w:top w:val="nil"/>
              <w:left w:val="nil"/>
              <w:bottom w:val="single" w:color="auto" w:sz="4" w:space="0"/>
              <w:right w:val="single" w:color="auto" w:sz="4" w:space="0"/>
            </w:tcBorders>
            <w:vAlign w:val="bottom"/>
          </w:tcPr>
          <w:p w14:paraId="647C7BFC">
            <w:pPr>
              <w:widowControl/>
              <w:jc w:val="left"/>
              <w:rPr>
                <w:rFonts w:ascii="等线" w:hAnsi="等线" w:eastAsia="等线" w:cs="宋体"/>
                <w:color w:val="000000"/>
                <w:kern w:val="0"/>
                <w:szCs w:val="21"/>
              </w:rPr>
            </w:pPr>
            <w:r>
              <w:rPr>
                <w:rFonts w:hint="eastAsia" w:ascii="等线" w:hAnsi="等线" w:eastAsia="等线" w:cs="宋体"/>
                <w:color w:val="000000"/>
                <w:kern w:val="0"/>
                <w:szCs w:val="21"/>
              </w:rPr>
              <w:t>无质量责任体系或体系不健全</w:t>
            </w:r>
          </w:p>
        </w:tc>
        <w:tc>
          <w:tcPr>
            <w:tcW w:w="1985" w:type="dxa"/>
            <w:tcBorders>
              <w:top w:val="nil"/>
              <w:left w:val="nil"/>
              <w:bottom w:val="single" w:color="auto" w:sz="4" w:space="0"/>
              <w:right w:val="single" w:color="auto" w:sz="4" w:space="0"/>
            </w:tcBorders>
            <w:noWrap/>
            <w:vAlign w:val="bottom"/>
          </w:tcPr>
          <w:p w14:paraId="5EAFB80F">
            <w:pPr>
              <w:widowControl/>
              <w:jc w:val="left"/>
              <w:rPr>
                <w:rFonts w:ascii="等线" w:hAnsi="等线" w:eastAsia="等线" w:cs="宋体"/>
                <w:color w:val="000000"/>
                <w:kern w:val="0"/>
                <w:szCs w:val="21"/>
              </w:rPr>
            </w:pPr>
            <w:r>
              <w:rPr>
                <w:rFonts w:hint="eastAsia" w:ascii="等线" w:hAnsi="等线" w:eastAsia="等线" w:cs="宋体"/>
                <w:color w:val="000000"/>
                <w:kern w:val="0"/>
                <w:szCs w:val="21"/>
              </w:rPr>
              <w:t>1000~3000元</w:t>
            </w:r>
          </w:p>
        </w:tc>
      </w:tr>
      <w:tr w14:paraId="1EA73930">
        <w:tblPrEx>
          <w:tblCellMar>
            <w:top w:w="0" w:type="dxa"/>
            <w:left w:w="108" w:type="dxa"/>
            <w:bottom w:w="0" w:type="dxa"/>
            <w:right w:w="108" w:type="dxa"/>
          </w:tblCellMar>
        </w:tblPrEx>
        <w:trPr>
          <w:trHeight w:val="276" w:hRule="atLeast"/>
        </w:trPr>
        <w:tc>
          <w:tcPr>
            <w:tcW w:w="851" w:type="dxa"/>
            <w:tcBorders>
              <w:top w:val="nil"/>
              <w:left w:val="single" w:color="auto" w:sz="4" w:space="0"/>
              <w:bottom w:val="single" w:color="auto" w:sz="4" w:space="0"/>
              <w:right w:val="single" w:color="auto" w:sz="4" w:space="0"/>
            </w:tcBorders>
            <w:noWrap/>
            <w:vAlign w:val="center"/>
          </w:tcPr>
          <w:p w14:paraId="55BDE78C">
            <w:pPr>
              <w:widowControl/>
              <w:jc w:val="center"/>
              <w:rPr>
                <w:rFonts w:ascii="等线" w:hAnsi="等线" w:eastAsia="等线" w:cs="宋体"/>
                <w:color w:val="000000"/>
                <w:kern w:val="0"/>
                <w:szCs w:val="21"/>
              </w:rPr>
            </w:pPr>
            <w:r>
              <w:rPr>
                <w:rFonts w:hint="eastAsia" w:ascii="等线" w:hAnsi="等线" w:eastAsia="等线" w:cs="宋体"/>
                <w:color w:val="000000"/>
                <w:kern w:val="0"/>
                <w:szCs w:val="21"/>
              </w:rPr>
              <w:t>2</w:t>
            </w:r>
          </w:p>
        </w:tc>
        <w:tc>
          <w:tcPr>
            <w:tcW w:w="1069" w:type="dxa"/>
            <w:vMerge w:val="continue"/>
            <w:tcBorders>
              <w:top w:val="nil"/>
              <w:left w:val="single" w:color="auto" w:sz="4" w:space="0"/>
              <w:bottom w:val="single" w:color="auto" w:sz="4" w:space="0"/>
              <w:right w:val="single" w:color="auto" w:sz="4" w:space="0"/>
            </w:tcBorders>
            <w:vAlign w:val="center"/>
          </w:tcPr>
          <w:p w14:paraId="407AFFB3">
            <w:pPr>
              <w:widowControl/>
              <w:jc w:val="left"/>
              <w:rPr>
                <w:rFonts w:ascii="等线" w:hAnsi="等线" w:eastAsia="等线" w:cs="宋体"/>
                <w:color w:val="000000"/>
                <w:kern w:val="0"/>
                <w:szCs w:val="21"/>
              </w:rPr>
            </w:pPr>
          </w:p>
        </w:tc>
        <w:tc>
          <w:tcPr>
            <w:tcW w:w="4459" w:type="dxa"/>
            <w:tcBorders>
              <w:top w:val="nil"/>
              <w:left w:val="nil"/>
              <w:bottom w:val="single" w:color="auto" w:sz="4" w:space="0"/>
              <w:right w:val="single" w:color="auto" w:sz="4" w:space="0"/>
            </w:tcBorders>
            <w:vAlign w:val="bottom"/>
          </w:tcPr>
          <w:p w14:paraId="369D53A8">
            <w:pPr>
              <w:widowControl/>
              <w:jc w:val="left"/>
              <w:rPr>
                <w:rFonts w:ascii="等线" w:hAnsi="等线" w:eastAsia="等线" w:cs="宋体"/>
                <w:color w:val="000000"/>
                <w:kern w:val="0"/>
                <w:szCs w:val="21"/>
              </w:rPr>
            </w:pPr>
            <w:r>
              <w:rPr>
                <w:rFonts w:hint="eastAsia" w:ascii="等线" w:hAnsi="等线" w:eastAsia="等线" w:cs="宋体"/>
                <w:color w:val="000000"/>
                <w:kern w:val="0"/>
                <w:szCs w:val="21"/>
              </w:rPr>
              <w:t>质量保证制度不健全</w:t>
            </w:r>
          </w:p>
        </w:tc>
        <w:tc>
          <w:tcPr>
            <w:tcW w:w="1985" w:type="dxa"/>
            <w:tcBorders>
              <w:top w:val="nil"/>
              <w:left w:val="nil"/>
              <w:bottom w:val="single" w:color="auto" w:sz="4" w:space="0"/>
              <w:right w:val="single" w:color="auto" w:sz="4" w:space="0"/>
            </w:tcBorders>
            <w:noWrap/>
            <w:vAlign w:val="bottom"/>
          </w:tcPr>
          <w:p w14:paraId="11883555">
            <w:pPr>
              <w:widowControl/>
              <w:jc w:val="left"/>
              <w:rPr>
                <w:rFonts w:ascii="等线" w:hAnsi="等线" w:eastAsia="等线" w:cs="宋体"/>
                <w:color w:val="000000"/>
                <w:kern w:val="0"/>
                <w:szCs w:val="21"/>
              </w:rPr>
            </w:pPr>
            <w:r>
              <w:rPr>
                <w:rFonts w:hint="eastAsia" w:ascii="等线" w:hAnsi="等线" w:eastAsia="等线" w:cs="宋体"/>
                <w:color w:val="000000"/>
                <w:kern w:val="0"/>
                <w:szCs w:val="21"/>
              </w:rPr>
              <w:t>1000~3000元</w:t>
            </w:r>
          </w:p>
        </w:tc>
      </w:tr>
      <w:tr w14:paraId="665304D9">
        <w:tblPrEx>
          <w:tblCellMar>
            <w:top w:w="0" w:type="dxa"/>
            <w:left w:w="108" w:type="dxa"/>
            <w:bottom w:w="0" w:type="dxa"/>
            <w:right w:w="108" w:type="dxa"/>
          </w:tblCellMar>
        </w:tblPrEx>
        <w:trPr>
          <w:trHeight w:val="276" w:hRule="atLeast"/>
        </w:trPr>
        <w:tc>
          <w:tcPr>
            <w:tcW w:w="851" w:type="dxa"/>
            <w:tcBorders>
              <w:top w:val="nil"/>
              <w:left w:val="single" w:color="auto" w:sz="4" w:space="0"/>
              <w:bottom w:val="single" w:color="auto" w:sz="4" w:space="0"/>
              <w:right w:val="single" w:color="auto" w:sz="4" w:space="0"/>
            </w:tcBorders>
            <w:noWrap/>
            <w:vAlign w:val="center"/>
          </w:tcPr>
          <w:p w14:paraId="4CD2CA29">
            <w:pPr>
              <w:widowControl/>
              <w:jc w:val="center"/>
              <w:rPr>
                <w:rFonts w:ascii="等线" w:hAnsi="等线" w:eastAsia="等线" w:cs="宋体"/>
                <w:color w:val="000000"/>
                <w:kern w:val="0"/>
                <w:szCs w:val="21"/>
              </w:rPr>
            </w:pPr>
            <w:r>
              <w:rPr>
                <w:rFonts w:hint="eastAsia" w:ascii="等线" w:hAnsi="等线" w:eastAsia="等线" w:cs="宋体"/>
                <w:color w:val="000000"/>
                <w:kern w:val="0"/>
                <w:szCs w:val="21"/>
              </w:rPr>
              <w:t>3</w:t>
            </w:r>
          </w:p>
        </w:tc>
        <w:tc>
          <w:tcPr>
            <w:tcW w:w="1069" w:type="dxa"/>
            <w:vMerge w:val="continue"/>
            <w:tcBorders>
              <w:top w:val="nil"/>
              <w:left w:val="single" w:color="auto" w:sz="4" w:space="0"/>
              <w:bottom w:val="single" w:color="auto" w:sz="4" w:space="0"/>
              <w:right w:val="single" w:color="auto" w:sz="4" w:space="0"/>
            </w:tcBorders>
            <w:vAlign w:val="center"/>
          </w:tcPr>
          <w:p w14:paraId="77905BD5">
            <w:pPr>
              <w:widowControl/>
              <w:jc w:val="left"/>
              <w:rPr>
                <w:rFonts w:ascii="等线" w:hAnsi="等线" w:eastAsia="等线" w:cs="宋体"/>
                <w:color w:val="000000"/>
                <w:kern w:val="0"/>
                <w:szCs w:val="21"/>
              </w:rPr>
            </w:pPr>
          </w:p>
        </w:tc>
        <w:tc>
          <w:tcPr>
            <w:tcW w:w="4459" w:type="dxa"/>
            <w:tcBorders>
              <w:top w:val="nil"/>
              <w:left w:val="nil"/>
              <w:bottom w:val="single" w:color="auto" w:sz="4" w:space="0"/>
              <w:right w:val="single" w:color="auto" w:sz="4" w:space="0"/>
            </w:tcBorders>
            <w:vAlign w:val="bottom"/>
          </w:tcPr>
          <w:p w14:paraId="1441BE6A">
            <w:pPr>
              <w:widowControl/>
              <w:jc w:val="left"/>
              <w:rPr>
                <w:rFonts w:ascii="等线" w:hAnsi="等线" w:eastAsia="等线" w:cs="宋体"/>
                <w:color w:val="000000"/>
                <w:kern w:val="0"/>
                <w:szCs w:val="21"/>
              </w:rPr>
            </w:pPr>
            <w:r>
              <w:rPr>
                <w:rFonts w:hint="eastAsia" w:ascii="等线" w:hAnsi="等线" w:eastAsia="等线" w:cs="宋体"/>
                <w:color w:val="000000"/>
                <w:kern w:val="0"/>
                <w:szCs w:val="21"/>
              </w:rPr>
              <w:t>重要工序缺少作业指导书</w:t>
            </w:r>
          </w:p>
        </w:tc>
        <w:tc>
          <w:tcPr>
            <w:tcW w:w="1985" w:type="dxa"/>
            <w:tcBorders>
              <w:top w:val="nil"/>
              <w:left w:val="nil"/>
              <w:bottom w:val="single" w:color="auto" w:sz="4" w:space="0"/>
              <w:right w:val="single" w:color="auto" w:sz="4" w:space="0"/>
            </w:tcBorders>
            <w:noWrap/>
            <w:vAlign w:val="bottom"/>
          </w:tcPr>
          <w:p w14:paraId="58C8A13B">
            <w:pPr>
              <w:widowControl/>
              <w:jc w:val="left"/>
              <w:rPr>
                <w:rFonts w:ascii="等线" w:hAnsi="等线" w:eastAsia="等线" w:cs="宋体"/>
                <w:color w:val="000000"/>
                <w:kern w:val="0"/>
                <w:szCs w:val="21"/>
              </w:rPr>
            </w:pPr>
            <w:r>
              <w:rPr>
                <w:rFonts w:hint="eastAsia" w:ascii="等线" w:hAnsi="等线" w:eastAsia="等线" w:cs="宋体"/>
                <w:color w:val="000000"/>
                <w:kern w:val="0"/>
                <w:szCs w:val="21"/>
              </w:rPr>
              <w:t>1000~3000元</w:t>
            </w:r>
          </w:p>
        </w:tc>
      </w:tr>
      <w:tr w14:paraId="2420C902">
        <w:tblPrEx>
          <w:tblCellMar>
            <w:top w:w="0" w:type="dxa"/>
            <w:left w:w="108" w:type="dxa"/>
            <w:bottom w:w="0" w:type="dxa"/>
            <w:right w:w="108" w:type="dxa"/>
          </w:tblCellMar>
        </w:tblPrEx>
        <w:trPr>
          <w:trHeight w:val="276" w:hRule="atLeast"/>
        </w:trPr>
        <w:tc>
          <w:tcPr>
            <w:tcW w:w="851" w:type="dxa"/>
            <w:tcBorders>
              <w:top w:val="nil"/>
              <w:left w:val="single" w:color="auto" w:sz="4" w:space="0"/>
              <w:bottom w:val="single" w:color="auto" w:sz="4" w:space="0"/>
              <w:right w:val="single" w:color="auto" w:sz="4" w:space="0"/>
            </w:tcBorders>
            <w:noWrap/>
            <w:vAlign w:val="center"/>
          </w:tcPr>
          <w:p w14:paraId="28F1FD9B">
            <w:pPr>
              <w:widowControl/>
              <w:jc w:val="center"/>
              <w:rPr>
                <w:rFonts w:ascii="等线" w:hAnsi="等线" w:eastAsia="等线" w:cs="宋体"/>
                <w:color w:val="000000"/>
                <w:kern w:val="0"/>
                <w:szCs w:val="21"/>
              </w:rPr>
            </w:pPr>
            <w:r>
              <w:rPr>
                <w:rFonts w:hint="eastAsia" w:ascii="等线" w:hAnsi="等线" w:eastAsia="等线" w:cs="宋体"/>
                <w:color w:val="000000"/>
                <w:kern w:val="0"/>
                <w:szCs w:val="21"/>
              </w:rPr>
              <w:t>4</w:t>
            </w:r>
          </w:p>
        </w:tc>
        <w:tc>
          <w:tcPr>
            <w:tcW w:w="1069" w:type="dxa"/>
            <w:vMerge w:val="continue"/>
            <w:tcBorders>
              <w:top w:val="nil"/>
              <w:left w:val="single" w:color="auto" w:sz="4" w:space="0"/>
              <w:bottom w:val="single" w:color="auto" w:sz="4" w:space="0"/>
              <w:right w:val="single" w:color="auto" w:sz="4" w:space="0"/>
            </w:tcBorders>
            <w:vAlign w:val="center"/>
          </w:tcPr>
          <w:p w14:paraId="3F897B7A">
            <w:pPr>
              <w:widowControl/>
              <w:jc w:val="left"/>
              <w:rPr>
                <w:rFonts w:ascii="等线" w:hAnsi="等线" w:eastAsia="等线" w:cs="宋体"/>
                <w:color w:val="000000"/>
                <w:kern w:val="0"/>
                <w:szCs w:val="21"/>
              </w:rPr>
            </w:pPr>
          </w:p>
        </w:tc>
        <w:tc>
          <w:tcPr>
            <w:tcW w:w="4459" w:type="dxa"/>
            <w:tcBorders>
              <w:top w:val="nil"/>
              <w:left w:val="nil"/>
              <w:bottom w:val="single" w:color="auto" w:sz="4" w:space="0"/>
              <w:right w:val="single" w:color="auto" w:sz="4" w:space="0"/>
            </w:tcBorders>
            <w:vAlign w:val="bottom"/>
          </w:tcPr>
          <w:p w14:paraId="65B219CE">
            <w:pPr>
              <w:widowControl/>
              <w:jc w:val="left"/>
              <w:rPr>
                <w:rFonts w:ascii="等线" w:hAnsi="等线" w:eastAsia="等线" w:cs="宋体"/>
                <w:color w:val="000000"/>
                <w:kern w:val="0"/>
                <w:szCs w:val="21"/>
              </w:rPr>
            </w:pPr>
            <w:r>
              <w:rPr>
                <w:rFonts w:hint="eastAsia" w:ascii="等线" w:hAnsi="等线" w:eastAsia="等线" w:cs="宋体"/>
                <w:color w:val="000000"/>
                <w:kern w:val="0"/>
                <w:szCs w:val="21"/>
              </w:rPr>
              <w:t>未经建设单位审查同意使用专业劳务队或分包队</w:t>
            </w:r>
          </w:p>
        </w:tc>
        <w:tc>
          <w:tcPr>
            <w:tcW w:w="1985" w:type="dxa"/>
            <w:tcBorders>
              <w:top w:val="nil"/>
              <w:left w:val="nil"/>
              <w:bottom w:val="single" w:color="auto" w:sz="4" w:space="0"/>
              <w:right w:val="single" w:color="auto" w:sz="4" w:space="0"/>
            </w:tcBorders>
            <w:noWrap/>
            <w:vAlign w:val="bottom"/>
          </w:tcPr>
          <w:p w14:paraId="690AEAD0">
            <w:pPr>
              <w:widowControl/>
              <w:jc w:val="left"/>
              <w:rPr>
                <w:rFonts w:ascii="等线" w:hAnsi="等线" w:eastAsia="等线" w:cs="宋体"/>
                <w:color w:val="000000"/>
                <w:kern w:val="0"/>
                <w:szCs w:val="21"/>
              </w:rPr>
            </w:pPr>
            <w:r>
              <w:rPr>
                <w:rFonts w:hint="eastAsia" w:ascii="等线" w:hAnsi="等线" w:eastAsia="等线" w:cs="宋体"/>
                <w:color w:val="000000"/>
                <w:kern w:val="0"/>
                <w:szCs w:val="21"/>
              </w:rPr>
              <w:t>3000~5000元</w:t>
            </w:r>
          </w:p>
        </w:tc>
      </w:tr>
      <w:tr w14:paraId="4B265F31">
        <w:tblPrEx>
          <w:tblCellMar>
            <w:top w:w="0" w:type="dxa"/>
            <w:left w:w="108" w:type="dxa"/>
            <w:bottom w:w="0" w:type="dxa"/>
            <w:right w:w="108" w:type="dxa"/>
          </w:tblCellMar>
        </w:tblPrEx>
        <w:trPr>
          <w:trHeight w:val="276" w:hRule="atLeast"/>
        </w:trPr>
        <w:tc>
          <w:tcPr>
            <w:tcW w:w="851" w:type="dxa"/>
            <w:tcBorders>
              <w:top w:val="nil"/>
              <w:left w:val="single" w:color="auto" w:sz="4" w:space="0"/>
              <w:bottom w:val="single" w:color="auto" w:sz="4" w:space="0"/>
              <w:right w:val="single" w:color="auto" w:sz="4" w:space="0"/>
            </w:tcBorders>
            <w:noWrap/>
            <w:vAlign w:val="center"/>
          </w:tcPr>
          <w:p w14:paraId="71739C04">
            <w:pPr>
              <w:widowControl/>
              <w:jc w:val="center"/>
              <w:rPr>
                <w:rFonts w:ascii="等线" w:hAnsi="等线" w:eastAsia="等线" w:cs="宋体"/>
                <w:color w:val="000000"/>
                <w:kern w:val="0"/>
                <w:szCs w:val="21"/>
              </w:rPr>
            </w:pPr>
            <w:r>
              <w:rPr>
                <w:rFonts w:hint="eastAsia" w:ascii="等线" w:hAnsi="等线" w:eastAsia="等线" w:cs="宋体"/>
                <w:color w:val="000000"/>
                <w:kern w:val="0"/>
                <w:szCs w:val="21"/>
              </w:rPr>
              <w:t>5</w:t>
            </w:r>
          </w:p>
        </w:tc>
        <w:tc>
          <w:tcPr>
            <w:tcW w:w="1069" w:type="dxa"/>
            <w:vMerge w:val="continue"/>
            <w:tcBorders>
              <w:top w:val="nil"/>
              <w:left w:val="single" w:color="auto" w:sz="4" w:space="0"/>
              <w:bottom w:val="single" w:color="auto" w:sz="4" w:space="0"/>
              <w:right w:val="single" w:color="auto" w:sz="4" w:space="0"/>
            </w:tcBorders>
            <w:vAlign w:val="center"/>
          </w:tcPr>
          <w:p w14:paraId="41A2FD69">
            <w:pPr>
              <w:widowControl/>
              <w:jc w:val="left"/>
              <w:rPr>
                <w:rFonts w:ascii="等线" w:hAnsi="等线" w:eastAsia="等线" w:cs="宋体"/>
                <w:color w:val="000000"/>
                <w:kern w:val="0"/>
                <w:szCs w:val="21"/>
              </w:rPr>
            </w:pPr>
          </w:p>
        </w:tc>
        <w:tc>
          <w:tcPr>
            <w:tcW w:w="4459" w:type="dxa"/>
            <w:tcBorders>
              <w:top w:val="nil"/>
              <w:left w:val="nil"/>
              <w:bottom w:val="single" w:color="auto" w:sz="4" w:space="0"/>
              <w:right w:val="single" w:color="auto" w:sz="4" w:space="0"/>
            </w:tcBorders>
            <w:vAlign w:val="bottom"/>
          </w:tcPr>
          <w:p w14:paraId="178ADF32">
            <w:pPr>
              <w:widowControl/>
              <w:jc w:val="left"/>
              <w:rPr>
                <w:rFonts w:ascii="等线" w:hAnsi="等线" w:eastAsia="等线" w:cs="宋体"/>
                <w:color w:val="000000"/>
                <w:kern w:val="0"/>
                <w:szCs w:val="21"/>
              </w:rPr>
            </w:pPr>
            <w:r>
              <w:rPr>
                <w:rFonts w:hint="eastAsia" w:ascii="等线" w:hAnsi="等线" w:eastAsia="等线" w:cs="宋体"/>
                <w:color w:val="000000"/>
                <w:kern w:val="0"/>
                <w:szCs w:val="21"/>
              </w:rPr>
              <w:t>检验员、质检员、特殊工种无证上岗</w:t>
            </w:r>
          </w:p>
        </w:tc>
        <w:tc>
          <w:tcPr>
            <w:tcW w:w="1985" w:type="dxa"/>
            <w:tcBorders>
              <w:top w:val="nil"/>
              <w:left w:val="nil"/>
              <w:bottom w:val="single" w:color="auto" w:sz="4" w:space="0"/>
              <w:right w:val="single" w:color="auto" w:sz="4" w:space="0"/>
            </w:tcBorders>
            <w:noWrap/>
            <w:vAlign w:val="bottom"/>
          </w:tcPr>
          <w:p w14:paraId="0596723E">
            <w:pPr>
              <w:widowControl/>
              <w:jc w:val="left"/>
              <w:rPr>
                <w:rFonts w:ascii="等线" w:hAnsi="等线" w:eastAsia="等线" w:cs="宋体"/>
                <w:color w:val="000000"/>
                <w:kern w:val="0"/>
                <w:szCs w:val="21"/>
              </w:rPr>
            </w:pPr>
            <w:r>
              <w:rPr>
                <w:rFonts w:hint="eastAsia" w:ascii="等线" w:hAnsi="等线" w:eastAsia="等线" w:cs="宋体"/>
                <w:color w:val="000000"/>
                <w:kern w:val="0"/>
                <w:szCs w:val="21"/>
              </w:rPr>
              <w:t>1000~3000元</w:t>
            </w:r>
          </w:p>
        </w:tc>
      </w:tr>
      <w:tr w14:paraId="29385A05">
        <w:tblPrEx>
          <w:tblCellMar>
            <w:top w:w="0" w:type="dxa"/>
            <w:left w:w="108" w:type="dxa"/>
            <w:bottom w:w="0" w:type="dxa"/>
            <w:right w:w="108" w:type="dxa"/>
          </w:tblCellMar>
        </w:tblPrEx>
        <w:trPr>
          <w:trHeight w:val="552" w:hRule="atLeast"/>
        </w:trPr>
        <w:tc>
          <w:tcPr>
            <w:tcW w:w="851" w:type="dxa"/>
            <w:tcBorders>
              <w:top w:val="nil"/>
              <w:left w:val="single" w:color="auto" w:sz="4" w:space="0"/>
              <w:bottom w:val="single" w:color="auto" w:sz="4" w:space="0"/>
              <w:right w:val="single" w:color="auto" w:sz="4" w:space="0"/>
            </w:tcBorders>
            <w:noWrap/>
            <w:vAlign w:val="center"/>
          </w:tcPr>
          <w:p w14:paraId="42000DD7">
            <w:pPr>
              <w:widowControl/>
              <w:jc w:val="center"/>
              <w:rPr>
                <w:rFonts w:ascii="等线" w:hAnsi="等线" w:eastAsia="等线" w:cs="宋体"/>
                <w:color w:val="000000"/>
                <w:kern w:val="0"/>
                <w:szCs w:val="21"/>
              </w:rPr>
            </w:pPr>
            <w:r>
              <w:rPr>
                <w:rFonts w:hint="eastAsia" w:ascii="等线" w:hAnsi="等线" w:eastAsia="等线" w:cs="宋体"/>
                <w:color w:val="000000"/>
                <w:kern w:val="0"/>
                <w:szCs w:val="21"/>
              </w:rPr>
              <w:t>6</w:t>
            </w:r>
          </w:p>
        </w:tc>
        <w:tc>
          <w:tcPr>
            <w:tcW w:w="1069" w:type="dxa"/>
            <w:vMerge w:val="continue"/>
            <w:tcBorders>
              <w:top w:val="nil"/>
              <w:left w:val="single" w:color="auto" w:sz="4" w:space="0"/>
              <w:bottom w:val="single" w:color="auto" w:sz="4" w:space="0"/>
              <w:right w:val="single" w:color="auto" w:sz="4" w:space="0"/>
            </w:tcBorders>
            <w:vAlign w:val="center"/>
          </w:tcPr>
          <w:p w14:paraId="63D1FBBE">
            <w:pPr>
              <w:widowControl/>
              <w:jc w:val="left"/>
              <w:rPr>
                <w:rFonts w:ascii="等线" w:hAnsi="等线" w:eastAsia="等线" w:cs="宋体"/>
                <w:color w:val="000000"/>
                <w:kern w:val="0"/>
                <w:szCs w:val="21"/>
              </w:rPr>
            </w:pPr>
          </w:p>
        </w:tc>
        <w:tc>
          <w:tcPr>
            <w:tcW w:w="4459" w:type="dxa"/>
            <w:tcBorders>
              <w:top w:val="nil"/>
              <w:left w:val="nil"/>
              <w:bottom w:val="single" w:color="auto" w:sz="4" w:space="0"/>
              <w:right w:val="single" w:color="auto" w:sz="4" w:space="0"/>
            </w:tcBorders>
            <w:vAlign w:val="bottom"/>
          </w:tcPr>
          <w:p w14:paraId="21DF1948">
            <w:pPr>
              <w:widowControl/>
              <w:jc w:val="left"/>
              <w:rPr>
                <w:rFonts w:ascii="等线" w:hAnsi="等线" w:eastAsia="等线" w:cs="宋体"/>
                <w:color w:val="000000"/>
                <w:kern w:val="0"/>
                <w:szCs w:val="21"/>
              </w:rPr>
            </w:pPr>
            <w:r>
              <w:rPr>
                <w:rFonts w:hint="eastAsia" w:ascii="等线" w:hAnsi="等线" w:eastAsia="等线" w:cs="宋体"/>
                <w:color w:val="000000"/>
                <w:kern w:val="0"/>
                <w:szCs w:val="21"/>
              </w:rPr>
              <w:t>施工作业人员未经上岗培训，考核合格的，施工作业人员水平不能满足施工需要</w:t>
            </w:r>
          </w:p>
        </w:tc>
        <w:tc>
          <w:tcPr>
            <w:tcW w:w="1985" w:type="dxa"/>
            <w:tcBorders>
              <w:top w:val="nil"/>
              <w:left w:val="nil"/>
              <w:bottom w:val="single" w:color="auto" w:sz="4" w:space="0"/>
              <w:right w:val="single" w:color="auto" w:sz="4" w:space="0"/>
            </w:tcBorders>
            <w:noWrap/>
            <w:vAlign w:val="bottom"/>
          </w:tcPr>
          <w:p w14:paraId="4C76B7C1">
            <w:pPr>
              <w:widowControl/>
              <w:jc w:val="left"/>
              <w:rPr>
                <w:rFonts w:ascii="等线" w:hAnsi="等线" w:eastAsia="等线" w:cs="宋体"/>
                <w:color w:val="000000"/>
                <w:kern w:val="0"/>
                <w:szCs w:val="21"/>
              </w:rPr>
            </w:pPr>
            <w:r>
              <w:rPr>
                <w:rFonts w:hint="eastAsia" w:ascii="等线" w:hAnsi="等线" w:eastAsia="等线" w:cs="宋体"/>
                <w:color w:val="000000"/>
                <w:kern w:val="0"/>
                <w:szCs w:val="21"/>
              </w:rPr>
              <w:t>1000~3000元</w:t>
            </w:r>
          </w:p>
        </w:tc>
      </w:tr>
      <w:tr w14:paraId="788E46F4">
        <w:tblPrEx>
          <w:tblCellMar>
            <w:top w:w="0" w:type="dxa"/>
            <w:left w:w="108" w:type="dxa"/>
            <w:bottom w:w="0" w:type="dxa"/>
            <w:right w:w="108" w:type="dxa"/>
          </w:tblCellMar>
        </w:tblPrEx>
        <w:trPr>
          <w:trHeight w:val="276" w:hRule="atLeast"/>
        </w:trPr>
        <w:tc>
          <w:tcPr>
            <w:tcW w:w="851" w:type="dxa"/>
            <w:tcBorders>
              <w:top w:val="nil"/>
              <w:left w:val="single" w:color="auto" w:sz="4" w:space="0"/>
              <w:bottom w:val="single" w:color="auto" w:sz="4" w:space="0"/>
              <w:right w:val="single" w:color="auto" w:sz="4" w:space="0"/>
            </w:tcBorders>
            <w:noWrap/>
            <w:vAlign w:val="center"/>
          </w:tcPr>
          <w:p w14:paraId="018C1E05">
            <w:pPr>
              <w:widowControl/>
              <w:jc w:val="center"/>
              <w:rPr>
                <w:rFonts w:ascii="等线" w:hAnsi="等线" w:eastAsia="等线" w:cs="宋体"/>
                <w:color w:val="000000"/>
                <w:kern w:val="0"/>
                <w:szCs w:val="21"/>
              </w:rPr>
            </w:pPr>
            <w:r>
              <w:rPr>
                <w:rFonts w:hint="eastAsia" w:ascii="等线" w:hAnsi="等线" w:eastAsia="等线" w:cs="宋体"/>
                <w:color w:val="000000"/>
                <w:kern w:val="0"/>
                <w:szCs w:val="21"/>
              </w:rPr>
              <w:t>7</w:t>
            </w:r>
          </w:p>
        </w:tc>
        <w:tc>
          <w:tcPr>
            <w:tcW w:w="1069" w:type="dxa"/>
            <w:vMerge w:val="continue"/>
            <w:tcBorders>
              <w:top w:val="nil"/>
              <w:left w:val="single" w:color="auto" w:sz="4" w:space="0"/>
              <w:bottom w:val="single" w:color="auto" w:sz="4" w:space="0"/>
              <w:right w:val="single" w:color="auto" w:sz="4" w:space="0"/>
            </w:tcBorders>
            <w:vAlign w:val="center"/>
          </w:tcPr>
          <w:p w14:paraId="2478035E">
            <w:pPr>
              <w:widowControl/>
              <w:jc w:val="left"/>
              <w:rPr>
                <w:rFonts w:ascii="等线" w:hAnsi="等线" w:eastAsia="等线" w:cs="宋体"/>
                <w:color w:val="000000"/>
                <w:kern w:val="0"/>
                <w:szCs w:val="21"/>
              </w:rPr>
            </w:pPr>
          </w:p>
        </w:tc>
        <w:tc>
          <w:tcPr>
            <w:tcW w:w="4459" w:type="dxa"/>
            <w:tcBorders>
              <w:top w:val="nil"/>
              <w:left w:val="nil"/>
              <w:bottom w:val="single" w:color="auto" w:sz="4" w:space="0"/>
              <w:right w:val="single" w:color="auto" w:sz="4" w:space="0"/>
            </w:tcBorders>
            <w:vAlign w:val="bottom"/>
          </w:tcPr>
          <w:p w14:paraId="7CEF4614">
            <w:pPr>
              <w:widowControl/>
              <w:jc w:val="left"/>
              <w:rPr>
                <w:rFonts w:ascii="等线" w:hAnsi="等线" w:eastAsia="等线" w:cs="宋体"/>
                <w:color w:val="000000"/>
                <w:kern w:val="0"/>
                <w:szCs w:val="21"/>
              </w:rPr>
            </w:pPr>
            <w:r>
              <w:rPr>
                <w:rFonts w:hint="eastAsia" w:ascii="等线" w:hAnsi="等线" w:eastAsia="等线" w:cs="宋体"/>
                <w:color w:val="000000"/>
                <w:kern w:val="0"/>
                <w:szCs w:val="21"/>
              </w:rPr>
              <w:t>入场设备有缺陷，或选用不当不能保证工程质量</w:t>
            </w:r>
          </w:p>
        </w:tc>
        <w:tc>
          <w:tcPr>
            <w:tcW w:w="1985" w:type="dxa"/>
            <w:tcBorders>
              <w:top w:val="nil"/>
              <w:left w:val="nil"/>
              <w:bottom w:val="single" w:color="auto" w:sz="4" w:space="0"/>
              <w:right w:val="single" w:color="auto" w:sz="4" w:space="0"/>
            </w:tcBorders>
            <w:noWrap/>
            <w:vAlign w:val="bottom"/>
          </w:tcPr>
          <w:p w14:paraId="35602BB4">
            <w:pPr>
              <w:widowControl/>
              <w:jc w:val="left"/>
              <w:rPr>
                <w:rFonts w:ascii="等线" w:hAnsi="等线" w:eastAsia="等线" w:cs="宋体"/>
                <w:color w:val="000000"/>
                <w:kern w:val="0"/>
                <w:szCs w:val="21"/>
              </w:rPr>
            </w:pPr>
            <w:r>
              <w:rPr>
                <w:rFonts w:hint="eastAsia" w:ascii="等线" w:hAnsi="等线" w:eastAsia="等线" w:cs="宋体"/>
                <w:color w:val="000000"/>
                <w:kern w:val="0"/>
                <w:szCs w:val="21"/>
              </w:rPr>
              <w:t>1000~3000元</w:t>
            </w:r>
          </w:p>
        </w:tc>
      </w:tr>
      <w:tr w14:paraId="108830EF">
        <w:tblPrEx>
          <w:tblCellMar>
            <w:top w:w="0" w:type="dxa"/>
            <w:left w:w="108" w:type="dxa"/>
            <w:bottom w:w="0" w:type="dxa"/>
            <w:right w:w="108" w:type="dxa"/>
          </w:tblCellMar>
        </w:tblPrEx>
        <w:trPr>
          <w:trHeight w:val="552" w:hRule="atLeast"/>
        </w:trPr>
        <w:tc>
          <w:tcPr>
            <w:tcW w:w="851" w:type="dxa"/>
            <w:tcBorders>
              <w:top w:val="nil"/>
              <w:left w:val="single" w:color="auto" w:sz="4" w:space="0"/>
              <w:bottom w:val="single" w:color="auto" w:sz="4" w:space="0"/>
              <w:right w:val="single" w:color="auto" w:sz="4" w:space="0"/>
            </w:tcBorders>
            <w:noWrap/>
            <w:vAlign w:val="center"/>
          </w:tcPr>
          <w:p w14:paraId="30DD4991">
            <w:pPr>
              <w:widowControl/>
              <w:jc w:val="center"/>
              <w:rPr>
                <w:rFonts w:ascii="等线" w:hAnsi="等线" w:eastAsia="等线" w:cs="宋体"/>
                <w:color w:val="000000"/>
                <w:kern w:val="0"/>
                <w:szCs w:val="21"/>
              </w:rPr>
            </w:pPr>
            <w:r>
              <w:rPr>
                <w:rFonts w:hint="eastAsia" w:ascii="等线" w:hAnsi="等线" w:eastAsia="等线" w:cs="宋体"/>
                <w:color w:val="000000"/>
                <w:kern w:val="0"/>
                <w:szCs w:val="21"/>
              </w:rPr>
              <w:t>8</w:t>
            </w:r>
          </w:p>
        </w:tc>
        <w:tc>
          <w:tcPr>
            <w:tcW w:w="1069" w:type="dxa"/>
            <w:vMerge w:val="continue"/>
            <w:tcBorders>
              <w:top w:val="nil"/>
              <w:left w:val="single" w:color="auto" w:sz="4" w:space="0"/>
              <w:bottom w:val="single" w:color="auto" w:sz="4" w:space="0"/>
              <w:right w:val="single" w:color="auto" w:sz="4" w:space="0"/>
            </w:tcBorders>
            <w:vAlign w:val="center"/>
          </w:tcPr>
          <w:p w14:paraId="53724D7E">
            <w:pPr>
              <w:widowControl/>
              <w:jc w:val="left"/>
              <w:rPr>
                <w:rFonts w:ascii="等线" w:hAnsi="等线" w:eastAsia="等线" w:cs="宋体"/>
                <w:color w:val="000000"/>
                <w:kern w:val="0"/>
                <w:szCs w:val="21"/>
              </w:rPr>
            </w:pPr>
          </w:p>
        </w:tc>
        <w:tc>
          <w:tcPr>
            <w:tcW w:w="4459" w:type="dxa"/>
            <w:tcBorders>
              <w:top w:val="nil"/>
              <w:left w:val="nil"/>
              <w:bottom w:val="single" w:color="auto" w:sz="4" w:space="0"/>
              <w:right w:val="single" w:color="auto" w:sz="4" w:space="0"/>
            </w:tcBorders>
            <w:vAlign w:val="bottom"/>
          </w:tcPr>
          <w:p w14:paraId="42BE78CE">
            <w:pPr>
              <w:widowControl/>
              <w:jc w:val="left"/>
              <w:rPr>
                <w:rFonts w:ascii="等线" w:hAnsi="等线" w:eastAsia="等线" w:cs="宋体"/>
                <w:color w:val="000000"/>
                <w:kern w:val="0"/>
                <w:szCs w:val="21"/>
              </w:rPr>
            </w:pPr>
            <w:r>
              <w:rPr>
                <w:rFonts w:hint="eastAsia" w:ascii="等线" w:hAnsi="等线" w:eastAsia="等线" w:cs="宋体"/>
                <w:color w:val="000000"/>
                <w:kern w:val="0"/>
                <w:szCs w:val="21"/>
              </w:rPr>
              <w:t>乙供材料品牌、型号未报请建设单位同意就开始使用</w:t>
            </w:r>
          </w:p>
        </w:tc>
        <w:tc>
          <w:tcPr>
            <w:tcW w:w="1985" w:type="dxa"/>
            <w:tcBorders>
              <w:top w:val="nil"/>
              <w:left w:val="nil"/>
              <w:bottom w:val="single" w:color="auto" w:sz="4" w:space="0"/>
              <w:right w:val="single" w:color="auto" w:sz="4" w:space="0"/>
            </w:tcBorders>
            <w:noWrap/>
            <w:vAlign w:val="bottom"/>
          </w:tcPr>
          <w:p w14:paraId="727D5179">
            <w:pPr>
              <w:widowControl/>
              <w:jc w:val="left"/>
              <w:rPr>
                <w:rFonts w:ascii="等线" w:hAnsi="等线" w:eastAsia="等线" w:cs="宋体"/>
                <w:color w:val="000000"/>
                <w:kern w:val="0"/>
                <w:szCs w:val="21"/>
              </w:rPr>
            </w:pPr>
            <w:r>
              <w:rPr>
                <w:rFonts w:hint="eastAsia" w:ascii="等线" w:hAnsi="等线" w:eastAsia="等线" w:cs="宋体"/>
                <w:color w:val="000000"/>
                <w:kern w:val="0"/>
                <w:szCs w:val="21"/>
              </w:rPr>
              <w:t>3000~5000元</w:t>
            </w:r>
          </w:p>
        </w:tc>
      </w:tr>
      <w:tr w14:paraId="7DA232DD">
        <w:tblPrEx>
          <w:tblCellMar>
            <w:top w:w="0" w:type="dxa"/>
            <w:left w:w="108" w:type="dxa"/>
            <w:bottom w:w="0" w:type="dxa"/>
            <w:right w:w="108" w:type="dxa"/>
          </w:tblCellMar>
        </w:tblPrEx>
        <w:trPr>
          <w:trHeight w:val="276" w:hRule="atLeast"/>
        </w:trPr>
        <w:tc>
          <w:tcPr>
            <w:tcW w:w="851" w:type="dxa"/>
            <w:tcBorders>
              <w:top w:val="nil"/>
              <w:left w:val="single" w:color="auto" w:sz="4" w:space="0"/>
              <w:bottom w:val="single" w:color="auto" w:sz="4" w:space="0"/>
              <w:right w:val="single" w:color="auto" w:sz="4" w:space="0"/>
            </w:tcBorders>
            <w:noWrap/>
            <w:vAlign w:val="center"/>
          </w:tcPr>
          <w:p w14:paraId="55A3CA75">
            <w:pPr>
              <w:widowControl/>
              <w:jc w:val="center"/>
              <w:rPr>
                <w:rFonts w:ascii="等线" w:hAnsi="等线" w:eastAsia="等线" w:cs="宋体"/>
                <w:color w:val="000000"/>
                <w:kern w:val="0"/>
                <w:szCs w:val="21"/>
              </w:rPr>
            </w:pPr>
            <w:r>
              <w:rPr>
                <w:rFonts w:hint="eastAsia" w:ascii="等线" w:hAnsi="等线" w:eastAsia="等线" w:cs="宋体"/>
                <w:color w:val="000000"/>
                <w:kern w:val="0"/>
                <w:szCs w:val="21"/>
              </w:rPr>
              <w:t>9</w:t>
            </w:r>
          </w:p>
        </w:tc>
        <w:tc>
          <w:tcPr>
            <w:tcW w:w="1069" w:type="dxa"/>
            <w:vMerge w:val="restart"/>
            <w:tcBorders>
              <w:top w:val="nil"/>
              <w:left w:val="single" w:color="auto" w:sz="4" w:space="0"/>
              <w:bottom w:val="single" w:color="auto" w:sz="4" w:space="0"/>
              <w:right w:val="single" w:color="auto" w:sz="4" w:space="0"/>
            </w:tcBorders>
            <w:vAlign w:val="center"/>
          </w:tcPr>
          <w:p w14:paraId="4E80F4C8">
            <w:pPr>
              <w:widowControl/>
              <w:jc w:val="center"/>
              <w:rPr>
                <w:rFonts w:ascii="等线" w:hAnsi="等线" w:eastAsia="等线" w:cs="宋体"/>
                <w:color w:val="000000"/>
                <w:kern w:val="0"/>
                <w:szCs w:val="21"/>
              </w:rPr>
            </w:pPr>
            <w:r>
              <w:rPr>
                <w:rFonts w:hint="eastAsia" w:ascii="等线" w:hAnsi="等线" w:eastAsia="等线" w:cs="宋体"/>
                <w:color w:val="000000"/>
                <w:kern w:val="0"/>
                <w:szCs w:val="21"/>
              </w:rPr>
              <w:t>质量控制程序</w:t>
            </w:r>
          </w:p>
        </w:tc>
        <w:tc>
          <w:tcPr>
            <w:tcW w:w="4459" w:type="dxa"/>
            <w:tcBorders>
              <w:top w:val="nil"/>
              <w:left w:val="nil"/>
              <w:bottom w:val="single" w:color="auto" w:sz="4" w:space="0"/>
              <w:right w:val="single" w:color="auto" w:sz="4" w:space="0"/>
            </w:tcBorders>
            <w:vAlign w:val="center"/>
          </w:tcPr>
          <w:p w14:paraId="317A2A6C">
            <w:pPr>
              <w:widowControl/>
              <w:rPr>
                <w:rFonts w:ascii="等线" w:hAnsi="等线" w:eastAsia="等线" w:cs="宋体"/>
                <w:color w:val="000000"/>
                <w:kern w:val="0"/>
                <w:szCs w:val="21"/>
              </w:rPr>
            </w:pPr>
            <w:r>
              <w:rPr>
                <w:rFonts w:hint="eastAsia" w:ascii="等线" w:hAnsi="等线" w:eastAsia="等线" w:cs="宋体"/>
                <w:color w:val="000000"/>
                <w:kern w:val="0"/>
                <w:szCs w:val="21"/>
              </w:rPr>
              <w:t>工程开工报告未经批准擅自开工</w:t>
            </w:r>
          </w:p>
        </w:tc>
        <w:tc>
          <w:tcPr>
            <w:tcW w:w="1985" w:type="dxa"/>
            <w:tcBorders>
              <w:top w:val="nil"/>
              <w:left w:val="nil"/>
              <w:bottom w:val="single" w:color="auto" w:sz="4" w:space="0"/>
              <w:right w:val="single" w:color="auto" w:sz="4" w:space="0"/>
            </w:tcBorders>
            <w:noWrap/>
            <w:vAlign w:val="bottom"/>
          </w:tcPr>
          <w:p w14:paraId="5AEDCCC6">
            <w:pPr>
              <w:widowControl/>
              <w:jc w:val="left"/>
              <w:rPr>
                <w:rFonts w:ascii="等线" w:hAnsi="等线" w:eastAsia="等线" w:cs="宋体"/>
                <w:color w:val="000000"/>
                <w:kern w:val="0"/>
                <w:szCs w:val="21"/>
              </w:rPr>
            </w:pPr>
            <w:r>
              <w:rPr>
                <w:rFonts w:hint="eastAsia" w:ascii="等线" w:hAnsi="等线" w:eastAsia="等线" w:cs="宋体"/>
                <w:color w:val="000000"/>
                <w:kern w:val="0"/>
                <w:szCs w:val="21"/>
              </w:rPr>
              <w:t>1000~3000元</w:t>
            </w:r>
          </w:p>
        </w:tc>
      </w:tr>
      <w:tr w14:paraId="59F7AD9F">
        <w:tblPrEx>
          <w:tblCellMar>
            <w:top w:w="0" w:type="dxa"/>
            <w:left w:w="108" w:type="dxa"/>
            <w:bottom w:w="0" w:type="dxa"/>
            <w:right w:w="108" w:type="dxa"/>
          </w:tblCellMar>
        </w:tblPrEx>
        <w:trPr>
          <w:trHeight w:val="276" w:hRule="atLeast"/>
        </w:trPr>
        <w:tc>
          <w:tcPr>
            <w:tcW w:w="851" w:type="dxa"/>
            <w:tcBorders>
              <w:top w:val="nil"/>
              <w:left w:val="single" w:color="auto" w:sz="4" w:space="0"/>
              <w:bottom w:val="single" w:color="auto" w:sz="4" w:space="0"/>
              <w:right w:val="single" w:color="auto" w:sz="4" w:space="0"/>
            </w:tcBorders>
            <w:noWrap/>
            <w:vAlign w:val="center"/>
          </w:tcPr>
          <w:p w14:paraId="115192FC">
            <w:pPr>
              <w:widowControl/>
              <w:jc w:val="center"/>
              <w:rPr>
                <w:rFonts w:ascii="等线" w:hAnsi="等线" w:eastAsia="等线" w:cs="宋体"/>
                <w:color w:val="000000"/>
                <w:kern w:val="0"/>
                <w:szCs w:val="21"/>
              </w:rPr>
            </w:pPr>
            <w:r>
              <w:rPr>
                <w:rFonts w:hint="eastAsia" w:ascii="等线" w:hAnsi="等线" w:eastAsia="等线" w:cs="宋体"/>
                <w:color w:val="000000"/>
                <w:kern w:val="0"/>
                <w:szCs w:val="21"/>
              </w:rPr>
              <w:t>10</w:t>
            </w:r>
          </w:p>
        </w:tc>
        <w:tc>
          <w:tcPr>
            <w:tcW w:w="1069" w:type="dxa"/>
            <w:vMerge w:val="continue"/>
            <w:tcBorders>
              <w:top w:val="nil"/>
              <w:left w:val="single" w:color="auto" w:sz="4" w:space="0"/>
              <w:bottom w:val="single" w:color="auto" w:sz="4" w:space="0"/>
              <w:right w:val="single" w:color="auto" w:sz="4" w:space="0"/>
            </w:tcBorders>
            <w:vAlign w:val="center"/>
          </w:tcPr>
          <w:p w14:paraId="6CDC5441">
            <w:pPr>
              <w:widowControl/>
              <w:jc w:val="left"/>
              <w:rPr>
                <w:rFonts w:ascii="等线" w:hAnsi="等线" w:eastAsia="等线" w:cs="宋体"/>
                <w:color w:val="000000"/>
                <w:kern w:val="0"/>
                <w:szCs w:val="21"/>
              </w:rPr>
            </w:pPr>
          </w:p>
        </w:tc>
        <w:tc>
          <w:tcPr>
            <w:tcW w:w="4459" w:type="dxa"/>
            <w:tcBorders>
              <w:top w:val="nil"/>
              <w:left w:val="nil"/>
              <w:bottom w:val="nil"/>
              <w:right w:val="nil"/>
            </w:tcBorders>
            <w:vAlign w:val="bottom"/>
          </w:tcPr>
          <w:p w14:paraId="1F714BE2">
            <w:pPr>
              <w:widowControl/>
              <w:jc w:val="left"/>
              <w:rPr>
                <w:rFonts w:ascii="等线" w:hAnsi="等线" w:eastAsia="等线" w:cs="宋体"/>
                <w:color w:val="000000"/>
                <w:kern w:val="0"/>
                <w:szCs w:val="21"/>
              </w:rPr>
            </w:pPr>
            <w:r>
              <w:rPr>
                <w:rFonts w:hint="eastAsia" w:ascii="等线" w:hAnsi="等线" w:eastAsia="等线" w:cs="宋体"/>
                <w:color w:val="000000"/>
                <w:kern w:val="0"/>
                <w:szCs w:val="21"/>
              </w:rPr>
              <w:t>交接桩、施工复测及测量控制网资料不齐全</w:t>
            </w:r>
          </w:p>
        </w:tc>
        <w:tc>
          <w:tcPr>
            <w:tcW w:w="1985" w:type="dxa"/>
            <w:tcBorders>
              <w:top w:val="nil"/>
              <w:left w:val="single" w:color="auto" w:sz="4" w:space="0"/>
              <w:bottom w:val="single" w:color="auto" w:sz="4" w:space="0"/>
              <w:right w:val="single" w:color="auto" w:sz="4" w:space="0"/>
            </w:tcBorders>
            <w:noWrap/>
            <w:vAlign w:val="bottom"/>
          </w:tcPr>
          <w:p w14:paraId="2822202F">
            <w:pPr>
              <w:widowControl/>
              <w:jc w:val="left"/>
              <w:rPr>
                <w:rFonts w:ascii="等线" w:hAnsi="等线" w:eastAsia="等线" w:cs="宋体"/>
                <w:color w:val="000000"/>
                <w:kern w:val="0"/>
                <w:szCs w:val="21"/>
              </w:rPr>
            </w:pPr>
            <w:r>
              <w:rPr>
                <w:rFonts w:hint="eastAsia" w:ascii="等线" w:hAnsi="等线" w:eastAsia="等线" w:cs="宋体"/>
                <w:color w:val="000000"/>
                <w:kern w:val="0"/>
                <w:szCs w:val="21"/>
              </w:rPr>
              <w:t>1000~3000元</w:t>
            </w:r>
          </w:p>
        </w:tc>
      </w:tr>
      <w:tr w14:paraId="3114D077">
        <w:tblPrEx>
          <w:tblCellMar>
            <w:top w:w="0" w:type="dxa"/>
            <w:left w:w="108" w:type="dxa"/>
            <w:bottom w:w="0" w:type="dxa"/>
            <w:right w:w="108" w:type="dxa"/>
          </w:tblCellMar>
        </w:tblPrEx>
        <w:trPr>
          <w:trHeight w:val="552" w:hRule="atLeast"/>
        </w:trPr>
        <w:tc>
          <w:tcPr>
            <w:tcW w:w="851" w:type="dxa"/>
            <w:tcBorders>
              <w:top w:val="nil"/>
              <w:left w:val="single" w:color="auto" w:sz="4" w:space="0"/>
              <w:bottom w:val="single" w:color="auto" w:sz="4" w:space="0"/>
              <w:right w:val="single" w:color="auto" w:sz="4" w:space="0"/>
            </w:tcBorders>
            <w:noWrap/>
            <w:vAlign w:val="center"/>
          </w:tcPr>
          <w:p w14:paraId="6FBA2324">
            <w:pPr>
              <w:widowControl/>
              <w:jc w:val="center"/>
              <w:rPr>
                <w:rFonts w:ascii="等线" w:hAnsi="等线" w:eastAsia="等线" w:cs="宋体"/>
                <w:color w:val="000000"/>
                <w:kern w:val="0"/>
                <w:szCs w:val="21"/>
              </w:rPr>
            </w:pPr>
            <w:r>
              <w:rPr>
                <w:rFonts w:hint="eastAsia" w:ascii="等线" w:hAnsi="等线" w:eastAsia="等线" w:cs="宋体"/>
                <w:color w:val="000000"/>
                <w:kern w:val="0"/>
                <w:szCs w:val="21"/>
              </w:rPr>
              <w:t>11</w:t>
            </w:r>
          </w:p>
        </w:tc>
        <w:tc>
          <w:tcPr>
            <w:tcW w:w="1069" w:type="dxa"/>
            <w:vMerge w:val="continue"/>
            <w:tcBorders>
              <w:top w:val="nil"/>
              <w:left w:val="single" w:color="auto" w:sz="4" w:space="0"/>
              <w:bottom w:val="single" w:color="auto" w:sz="4" w:space="0"/>
              <w:right w:val="single" w:color="auto" w:sz="4" w:space="0"/>
            </w:tcBorders>
            <w:vAlign w:val="center"/>
          </w:tcPr>
          <w:p w14:paraId="1102BB88">
            <w:pPr>
              <w:widowControl/>
              <w:jc w:val="left"/>
              <w:rPr>
                <w:rFonts w:ascii="等线" w:hAnsi="等线" w:eastAsia="等线" w:cs="宋体"/>
                <w:color w:val="000000"/>
                <w:kern w:val="0"/>
                <w:szCs w:val="21"/>
              </w:rPr>
            </w:pPr>
          </w:p>
        </w:tc>
        <w:tc>
          <w:tcPr>
            <w:tcW w:w="4459" w:type="dxa"/>
            <w:tcBorders>
              <w:top w:val="single" w:color="auto" w:sz="4" w:space="0"/>
              <w:left w:val="nil"/>
              <w:bottom w:val="single" w:color="auto" w:sz="4" w:space="0"/>
              <w:right w:val="single" w:color="auto" w:sz="4" w:space="0"/>
            </w:tcBorders>
            <w:vAlign w:val="center"/>
          </w:tcPr>
          <w:p w14:paraId="5B8FEAA0">
            <w:pPr>
              <w:widowControl/>
              <w:rPr>
                <w:rFonts w:ascii="等线" w:hAnsi="等线" w:eastAsia="等线" w:cs="宋体"/>
                <w:color w:val="000000"/>
                <w:kern w:val="0"/>
                <w:szCs w:val="21"/>
              </w:rPr>
            </w:pPr>
            <w:r>
              <w:rPr>
                <w:rFonts w:hint="eastAsia" w:ascii="等线" w:hAnsi="等线" w:eastAsia="等线" w:cs="宋体"/>
                <w:color w:val="000000"/>
                <w:kern w:val="0"/>
                <w:szCs w:val="21"/>
              </w:rPr>
              <w:t>图纸未经设计方或业主方认可，未经会审、会签，擅自施工</w:t>
            </w:r>
          </w:p>
        </w:tc>
        <w:tc>
          <w:tcPr>
            <w:tcW w:w="1985" w:type="dxa"/>
            <w:tcBorders>
              <w:top w:val="nil"/>
              <w:left w:val="nil"/>
              <w:bottom w:val="single" w:color="auto" w:sz="4" w:space="0"/>
              <w:right w:val="single" w:color="auto" w:sz="4" w:space="0"/>
            </w:tcBorders>
            <w:noWrap/>
            <w:vAlign w:val="bottom"/>
          </w:tcPr>
          <w:p w14:paraId="3DAEB839">
            <w:pPr>
              <w:widowControl/>
              <w:jc w:val="left"/>
              <w:rPr>
                <w:rFonts w:ascii="等线" w:hAnsi="等线" w:eastAsia="等线" w:cs="宋体"/>
                <w:color w:val="000000"/>
                <w:kern w:val="0"/>
                <w:szCs w:val="21"/>
              </w:rPr>
            </w:pPr>
            <w:r>
              <w:rPr>
                <w:rFonts w:hint="eastAsia" w:ascii="等线" w:hAnsi="等线" w:eastAsia="等线" w:cs="宋体"/>
                <w:color w:val="000000"/>
                <w:kern w:val="0"/>
                <w:szCs w:val="21"/>
              </w:rPr>
              <w:t>1000~3000元</w:t>
            </w:r>
          </w:p>
        </w:tc>
      </w:tr>
      <w:tr w14:paraId="5700DC58">
        <w:tblPrEx>
          <w:tblCellMar>
            <w:top w:w="0" w:type="dxa"/>
            <w:left w:w="108" w:type="dxa"/>
            <w:bottom w:w="0" w:type="dxa"/>
            <w:right w:w="108" w:type="dxa"/>
          </w:tblCellMar>
        </w:tblPrEx>
        <w:trPr>
          <w:trHeight w:val="828" w:hRule="atLeast"/>
        </w:trPr>
        <w:tc>
          <w:tcPr>
            <w:tcW w:w="851" w:type="dxa"/>
            <w:tcBorders>
              <w:top w:val="nil"/>
              <w:left w:val="single" w:color="auto" w:sz="4" w:space="0"/>
              <w:bottom w:val="single" w:color="auto" w:sz="4" w:space="0"/>
              <w:right w:val="single" w:color="auto" w:sz="4" w:space="0"/>
            </w:tcBorders>
            <w:noWrap/>
            <w:vAlign w:val="center"/>
          </w:tcPr>
          <w:p w14:paraId="2F3117DF">
            <w:pPr>
              <w:widowControl/>
              <w:jc w:val="center"/>
              <w:rPr>
                <w:rFonts w:ascii="等线" w:hAnsi="等线" w:eastAsia="等线" w:cs="宋体"/>
                <w:color w:val="000000"/>
                <w:kern w:val="0"/>
                <w:szCs w:val="21"/>
              </w:rPr>
            </w:pPr>
            <w:r>
              <w:rPr>
                <w:rFonts w:hint="eastAsia" w:ascii="等线" w:hAnsi="等线" w:eastAsia="等线" w:cs="宋体"/>
                <w:color w:val="000000"/>
                <w:kern w:val="0"/>
                <w:szCs w:val="21"/>
              </w:rPr>
              <w:t>12</w:t>
            </w:r>
          </w:p>
        </w:tc>
        <w:tc>
          <w:tcPr>
            <w:tcW w:w="1069" w:type="dxa"/>
            <w:vMerge w:val="continue"/>
            <w:tcBorders>
              <w:top w:val="nil"/>
              <w:left w:val="single" w:color="auto" w:sz="4" w:space="0"/>
              <w:bottom w:val="single" w:color="auto" w:sz="4" w:space="0"/>
              <w:right w:val="single" w:color="auto" w:sz="4" w:space="0"/>
            </w:tcBorders>
            <w:vAlign w:val="center"/>
          </w:tcPr>
          <w:p w14:paraId="46820B68">
            <w:pPr>
              <w:widowControl/>
              <w:jc w:val="left"/>
              <w:rPr>
                <w:rFonts w:ascii="等线" w:hAnsi="等线" w:eastAsia="等线" w:cs="宋体"/>
                <w:color w:val="000000"/>
                <w:kern w:val="0"/>
                <w:szCs w:val="21"/>
              </w:rPr>
            </w:pPr>
          </w:p>
        </w:tc>
        <w:tc>
          <w:tcPr>
            <w:tcW w:w="4459" w:type="dxa"/>
            <w:tcBorders>
              <w:top w:val="nil"/>
              <w:left w:val="nil"/>
              <w:bottom w:val="single" w:color="auto" w:sz="4" w:space="0"/>
              <w:right w:val="single" w:color="auto" w:sz="4" w:space="0"/>
            </w:tcBorders>
            <w:vAlign w:val="center"/>
          </w:tcPr>
          <w:p w14:paraId="63C89F1B">
            <w:pPr>
              <w:widowControl/>
              <w:rPr>
                <w:rFonts w:ascii="等线" w:hAnsi="等线" w:eastAsia="等线" w:cs="宋体"/>
                <w:color w:val="000000"/>
                <w:kern w:val="0"/>
                <w:szCs w:val="21"/>
              </w:rPr>
            </w:pPr>
            <w:r>
              <w:rPr>
                <w:rFonts w:hint="eastAsia" w:ascii="等线" w:hAnsi="等线" w:eastAsia="等线" w:cs="宋体"/>
                <w:color w:val="000000"/>
                <w:kern w:val="0"/>
                <w:szCs w:val="21"/>
              </w:rPr>
              <w:t>未按照设计图纸进行施工，擅自变更设计或图纸进行施工，设计变更（变更设计）未会签完，擅自施工</w:t>
            </w:r>
          </w:p>
        </w:tc>
        <w:tc>
          <w:tcPr>
            <w:tcW w:w="1985" w:type="dxa"/>
            <w:tcBorders>
              <w:top w:val="nil"/>
              <w:left w:val="nil"/>
              <w:bottom w:val="single" w:color="auto" w:sz="4" w:space="0"/>
              <w:right w:val="single" w:color="auto" w:sz="4" w:space="0"/>
            </w:tcBorders>
            <w:noWrap/>
            <w:vAlign w:val="bottom"/>
          </w:tcPr>
          <w:p w14:paraId="3044BADE">
            <w:pPr>
              <w:widowControl/>
              <w:jc w:val="left"/>
              <w:rPr>
                <w:rFonts w:ascii="等线" w:hAnsi="等线" w:eastAsia="等线" w:cs="宋体"/>
                <w:color w:val="000000"/>
                <w:kern w:val="0"/>
                <w:szCs w:val="21"/>
              </w:rPr>
            </w:pPr>
            <w:r>
              <w:rPr>
                <w:rFonts w:hint="eastAsia" w:ascii="等线" w:hAnsi="等线" w:eastAsia="等线" w:cs="宋体"/>
                <w:color w:val="000000"/>
                <w:kern w:val="0"/>
                <w:szCs w:val="21"/>
              </w:rPr>
              <w:t>1000~3000元</w:t>
            </w:r>
          </w:p>
        </w:tc>
      </w:tr>
      <w:tr w14:paraId="5B226C5B">
        <w:tblPrEx>
          <w:tblCellMar>
            <w:top w:w="0" w:type="dxa"/>
            <w:left w:w="108" w:type="dxa"/>
            <w:bottom w:w="0" w:type="dxa"/>
            <w:right w:w="108" w:type="dxa"/>
          </w:tblCellMar>
        </w:tblPrEx>
        <w:trPr>
          <w:trHeight w:val="276" w:hRule="atLeast"/>
        </w:trPr>
        <w:tc>
          <w:tcPr>
            <w:tcW w:w="851" w:type="dxa"/>
            <w:tcBorders>
              <w:top w:val="nil"/>
              <w:left w:val="single" w:color="auto" w:sz="4" w:space="0"/>
              <w:bottom w:val="single" w:color="auto" w:sz="4" w:space="0"/>
              <w:right w:val="single" w:color="auto" w:sz="4" w:space="0"/>
            </w:tcBorders>
            <w:noWrap/>
            <w:vAlign w:val="center"/>
          </w:tcPr>
          <w:p w14:paraId="0C73CECA">
            <w:pPr>
              <w:widowControl/>
              <w:jc w:val="center"/>
              <w:rPr>
                <w:rFonts w:ascii="等线" w:hAnsi="等线" w:eastAsia="等线" w:cs="宋体"/>
                <w:color w:val="000000"/>
                <w:kern w:val="0"/>
                <w:szCs w:val="21"/>
              </w:rPr>
            </w:pPr>
            <w:r>
              <w:rPr>
                <w:rFonts w:hint="eastAsia" w:ascii="等线" w:hAnsi="等线" w:eastAsia="等线" w:cs="宋体"/>
                <w:color w:val="000000"/>
                <w:kern w:val="0"/>
                <w:szCs w:val="21"/>
              </w:rPr>
              <w:t>13</w:t>
            </w:r>
          </w:p>
        </w:tc>
        <w:tc>
          <w:tcPr>
            <w:tcW w:w="1069" w:type="dxa"/>
            <w:vMerge w:val="continue"/>
            <w:tcBorders>
              <w:top w:val="nil"/>
              <w:left w:val="single" w:color="auto" w:sz="4" w:space="0"/>
              <w:bottom w:val="single" w:color="auto" w:sz="4" w:space="0"/>
              <w:right w:val="single" w:color="auto" w:sz="4" w:space="0"/>
            </w:tcBorders>
            <w:vAlign w:val="center"/>
          </w:tcPr>
          <w:p w14:paraId="76D68047">
            <w:pPr>
              <w:widowControl/>
              <w:jc w:val="left"/>
              <w:rPr>
                <w:rFonts w:ascii="等线" w:hAnsi="等线" w:eastAsia="等线" w:cs="宋体"/>
                <w:color w:val="000000"/>
                <w:kern w:val="0"/>
                <w:szCs w:val="21"/>
              </w:rPr>
            </w:pPr>
          </w:p>
        </w:tc>
        <w:tc>
          <w:tcPr>
            <w:tcW w:w="4459" w:type="dxa"/>
            <w:tcBorders>
              <w:top w:val="nil"/>
              <w:left w:val="nil"/>
              <w:bottom w:val="single" w:color="auto" w:sz="4" w:space="0"/>
              <w:right w:val="single" w:color="auto" w:sz="4" w:space="0"/>
            </w:tcBorders>
            <w:vAlign w:val="bottom"/>
          </w:tcPr>
          <w:p w14:paraId="5339D61D">
            <w:pPr>
              <w:widowControl/>
              <w:jc w:val="left"/>
              <w:rPr>
                <w:rFonts w:ascii="等线" w:hAnsi="等线" w:eastAsia="等线" w:cs="宋体"/>
                <w:color w:val="000000"/>
                <w:kern w:val="0"/>
                <w:szCs w:val="21"/>
              </w:rPr>
            </w:pPr>
            <w:r>
              <w:rPr>
                <w:rFonts w:hint="eastAsia" w:ascii="等线" w:hAnsi="等线" w:eastAsia="等线" w:cs="宋体"/>
                <w:color w:val="000000"/>
                <w:kern w:val="0"/>
                <w:szCs w:val="21"/>
              </w:rPr>
              <w:t>有设计变更而未按照变更施工的</w:t>
            </w:r>
          </w:p>
        </w:tc>
        <w:tc>
          <w:tcPr>
            <w:tcW w:w="1985" w:type="dxa"/>
            <w:tcBorders>
              <w:top w:val="nil"/>
              <w:left w:val="nil"/>
              <w:bottom w:val="single" w:color="auto" w:sz="4" w:space="0"/>
              <w:right w:val="single" w:color="auto" w:sz="4" w:space="0"/>
            </w:tcBorders>
            <w:noWrap/>
            <w:vAlign w:val="bottom"/>
          </w:tcPr>
          <w:p w14:paraId="7846719F">
            <w:pPr>
              <w:widowControl/>
              <w:jc w:val="left"/>
              <w:rPr>
                <w:rFonts w:ascii="等线" w:hAnsi="等线" w:eastAsia="等线" w:cs="宋体"/>
                <w:color w:val="000000"/>
                <w:kern w:val="0"/>
                <w:szCs w:val="21"/>
              </w:rPr>
            </w:pPr>
            <w:r>
              <w:rPr>
                <w:rFonts w:hint="eastAsia" w:ascii="等线" w:hAnsi="等线" w:eastAsia="等线" w:cs="宋体"/>
                <w:color w:val="000000"/>
                <w:kern w:val="0"/>
                <w:szCs w:val="21"/>
              </w:rPr>
              <w:t>1000~3000元</w:t>
            </w:r>
          </w:p>
        </w:tc>
      </w:tr>
      <w:tr w14:paraId="4F3365F8">
        <w:tblPrEx>
          <w:tblCellMar>
            <w:top w:w="0" w:type="dxa"/>
            <w:left w:w="108" w:type="dxa"/>
            <w:bottom w:w="0" w:type="dxa"/>
            <w:right w:w="108" w:type="dxa"/>
          </w:tblCellMar>
        </w:tblPrEx>
        <w:trPr>
          <w:trHeight w:val="276" w:hRule="atLeast"/>
        </w:trPr>
        <w:tc>
          <w:tcPr>
            <w:tcW w:w="851" w:type="dxa"/>
            <w:tcBorders>
              <w:top w:val="nil"/>
              <w:left w:val="single" w:color="auto" w:sz="4" w:space="0"/>
              <w:bottom w:val="single" w:color="auto" w:sz="4" w:space="0"/>
              <w:right w:val="single" w:color="auto" w:sz="4" w:space="0"/>
            </w:tcBorders>
            <w:noWrap/>
            <w:vAlign w:val="center"/>
          </w:tcPr>
          <w:p w14:paraId="7CF18919">
            <w:pPr>
              <w:widowControl/>
              <w:jc w:val="center"/>
              <w:rPr>
                <w:rFonts w:ascii="等线" w:hAnsi="等线" w:eastAsia="等线" w:cs="宋体"/>
                <w:color w:val="000000"/>
                <w:kern w:val="0"/>
                <w:szCs w:val="21"/>
              </w:rPr>
            </w:pPr>
            <w:r>
              <w:rPr>
                <w:rFonts w:hint="eastAsia" w:ascii="等线" w:hAnsi="等线" w:eastAsia="等线" w:cs="宋体"/>
                <w:color w:val="000000"/>
                <w:kern w:val="0"/>
                <w:szCs w:val="21"/>
              </w:rPr>
              <w:t>14</w:t>
            </w:r>
          </w:p>
        </w:tc>
        <w:tc>
          <w:tcPr>
            <w:tcW w:w="1069" w:type="dxa"/>
            <w:vMerge w:val="continue"/>
            <w:tcBorders>
              <w:top w:val="nil"/>
              <w:left w:val="single" w:color="auto" w:sz="4" w:space="0"/>
              <w:bottom w:val="single" w:color="auto" w:sz="4" w:space="0"/>
              <w:right w:val="single" w:color="auto" w:sz="4" w:space="0"/>
            </w:tcBorders>
            <w:vAlign w:val="center"/>
          </w:tcPr>
          <w:p w14:paraId="6B4AA473">
            <w:pPr>
              <w:widowControl/>
              <w:jc w:val="left"/>
              <w:rPr>
                <w:rFonts w:ascii="等线" w:hAnsi="等线" w:eastAsia="等线" w:cs="宋体"/>
                <w:color w:val="000000"/>
                <w:kern w:val="0"/>
                <w:szCs w:val="21"/>
              </w:rPr>
            </w:pPr>
          </w:p>
        </w:tc>
        <w:tc>
          <w:tcPr>
            <w:tcW w:w="4459" w:type="dxa"/>
            <w:tcBorders>
              <w:top w:val="nil"/>
              <w:left w:val="nil"/>
              <w:bottom w:val="single" w:color="auto" w:sz="4" w:space="0"/>
              <w:right w:val="single" w:color="auto" w:sz="4" w:space="0"/>
            </w:tcBorders>
            <w:vAlign w:val="bottom"/>
          </w:tcPr>
          <w:p w14:paraId="4502B126">
            <w:pPr>
              <w:widowControl/>
              <w:jc w:val="left"/>
              <w:rPr>
                <w:rFonts w:ascii="等线" w:hAnsi="等线" w:eastAsia="等线" w:cs="宋体"/>
                <w:color w:val="000000"/>
                <w:kern w:val="0"/>
                <w:szCs w:val="21"/>
              </w:rPr>
            </w:pPr>
            <w:r>
              <w:rPr>
                <w:rFonts w:hint="eastAsia" w:ascii="等线" w:hAnsi="等线" w:eastAsia="等线" w:cs="宋体"/>
                <w:color w:val="000000"/>
                <w:kern w:val="0"/>
                <w:szCs w:val="21"/>
              </w:rPr>
              <w:t>材料入场检验记录不全或记录作假</w:t>
            </w:r>
          </w:p>
        </w:tc>
        <w:tc>
          <w:tcPr>
            <w:tcW w:w="1985" w:type="dxa"/>
            <w:tcBorders>
              <w:top w:val="nil"/>
              <w:left w:val="nil"/>
              <w:bottom w:val="single" w:color="auto" w:sz="4" w:space="0"/>
              <w:right w:val="single" w:color="auto" w:sz="4" w:space="0"/>
            </w:tcBorders>
            <w:noWrap/>
            <w:vAlign w:val="bottom"/>
          </w:tcPr>
          <w:p w14:paraId="3D2735C9">
            <w:pPr>
              <w:widowControl/>
              <w:jc w:val="left"/>
              <w:rPr>
                <w:rFonts w:ascii="等线" w:hAnsi="等线" w:eastAsia="等线" w:cs="宋体"/>
                <w:color w:val="000000"/>
                <w:kern w:val="0"/>
                <w:szCs w:val="21"/>
              </w:rPr>
            </w:pPr>
            <w:r>
              <w:rPr>
                <w:rFonts w:hint="eastAsia" w:ascii="等线" w:hAnsi="等线" w:eastAsia="等线" w:cs="宋体"/>
                <w:color w:val="000000"/>
                <w:kern w:val="0"/>
                <w:szCs w:val="21"/>
              </w:rPr>
              <w:t>1000~3000元</w:t>
            </w:r>
          </w:p>
        </w:tc>
      </w:tr>
      <w:tr w14:paraId="766B2F12">
        <w:tblPrEx>
          <w:tblCellMar>
            <w:top w:w="0" w:type="dxa"/>
            <w:left w:w="108" w:type="dxa"/>
            <w:bottom w:w="0" w:type="dxa"/>
            <w:right w:w="108" w:type="dxa"/>
          </w:tblCellMar>
        </w:tblPrEx>
        <w:trPr>
          <w:trHeight w:val="828" w:hRule="atLeast"/>
        </w:trPr>
        <w:tc>
          <w:tcPr>
            <w:tcW w:w="851" w:type="dxa"/>
            <w:tcBorders>
              <w:top w:val="nil"/>
              <w:left w:val="single" w:color="auto" w:sz="4" w:space="0"/>
              <w:bottom w:val="single" w:color="auto" w:sz="4" w:space="0"/>
              <w:right w:val="single" w:color="auto" w:sz="4" w:space="0"/>
            </w:tcBorders>
            <w:noWrap/>
            <w:vAlign w:val="center"/>
          </w:tcPr>
          <w:p w14:paraId="19F2B306">
            <w:pPr>
              <w:widowControl/>
              <w:jc w:val="center"/>
              <w:rPr>
                <w:rFonts w:ascii="等线" w:hAnsi="等线" w:eastAsia="等线" w:cs="宋体"/>
                <w:color w:val="000000"/>
                <w:kern w:val="0"/>
                <w:szCs w:val="21"/>
              </w:rPr>
            </w:pPr>
            <w:r>
              <w:rPr>
                <w:rFonts w:hint="eastAsia" w:ascii="等线" w:hAnsi="等线" w:eastAsia="等线" w:cs="宋体"/>
                <w:color w:val="000000"/>
                <w:kern w:val="0"/>
                <w:szCs w:val="21"/>
              </w:rPr>
              <w:t>15</w:t>
            </w:r>
          </w:p>
        </w:tc>
        <w:tc>
          <w:tcPr>
            <w:tcW w:w="1069" w:type="dxa"/>
            <w:vMerge w:val="continue"/>
            <w:tcBorders>
              <w:top w:val="nil"/>
              <w:left w:val="single" w:color="auto" w:sz="4" w:space="0"/>
              <w:bottom w:val="single" w:color="auto" w:sz="4" w:space="0"/>
              <w:right w:val="single" w:color="auto" w:sz="4" w:space="0"/>
            </w:tcBorders>
            <w:vAlign w:val="center"/>
          </w:tcPr>
          <w:p w14:paraId="67E8B314">
            <w:pPr>
              <w:widowControl/>
              <w:jc w:val="left"/>
              <w:rPr>
                <w:rFonts w:ascii="等线" w:hAnsi="等线" w:eastAsia="等线" w:cs="宋体"/>
                <w:color w:val="000000"/>
                <w:kern w:val="0"/>
                <w:szCs w:val="21"/>
              </w:rPr>
            </w:pPr>
          </w:p>
        </w:tc>
        <w:tc>
          <w:tcPr>
            <w:tcW w:w="4459" w:type="dxa"/>
            <w:tcBorders>
              <w:top w:val="nil"/>
              <w:left w:val="nil"/>
              <w:bottom w:val="single" w:color="auto" w:sz="4" w:space="0"/>
              <w:right w:val="single" w:color="auto" w:sz="4" w:space="0"/>
            </w:tcBorders>
            <w:vAlign w:val="center"/>
          </w:tcPr>
          <w:p w14:paraId="593DC659">
            <w:pPr>
              <w:widowControl/>
              <w:rPr>
                <w:rFonts w:ascii="等线" w:hAnsi="等线" w:eastAsia="等线" w:cs="宋体"/>
                <w:color w:val="000000"/>
                <w:kern w:val="0"/>
                <w:szCs w:val="21"/>
              </w:rPr>
            </w:pPr>
            <w:r>
              <w:rPr>
                <w:rFonts w:hint="eastAsia" w:ascii="等线" w:hAnsi="等线" w:eastAsia="等线" w:cs="宋体"/>
                <w:color w:val="000000"/>
                <w:kern w:val="0"/>
                <w:szCs w:val="21"/>
              </w:rPr>
              <w:t>使用的原材料、成品、半成品、预制构件及外构件，无出厂合格证件、或按规定应复试而未复试，未经报验而擅自使用</w:t>
            </w:r>
          </w:p>
        </w:tc>
        <w:tc>
          <w:tcPr>
            <w:tcW w:w="1985" w:type="dxa"/>
            <w:tcBorders>
              <w:top w:val="nil"/>
              <w:left w:val="nil"/>
              <w:bottom w:val="single" w:color="auto" w:sz="4" w:space="0"/>
              <w:right w:val="single" w:color="auto" w:sz="4" w:space="0"/>
            </w:tcBorders>
            <w:noWrap/>
            <w:vAlign w:val="bottom"/>
          </w:tcPr>
          <w:p w14:paraId="11D9D14A">
            <w:pPr>
              <w:widowControl/>
              <w:jc w:val="left"/>
              <w:rPr>
                <w:rFonts w:ascii="等线" w:hAnsi="等线" w:eastAsia="等线" w:cs="宋体"/>
                <w:color w:val="000000"/>
                <w:kern w:val="0"/>
                <w:szCs w:val="21"/>
              </w:rPr>
            </w:pPr>
            <w:r>
              <w:rPr>
                <w:rFonts w:hint="eastAsia" w:ascii="等线" w:hAnsi="等线" w:eastAsia="等线" w:cs="宋体"/>
                <w:color w:val="000000"/>
                <w:kern w:val="0"/>
                <w:szCs w:val="21"/>
              </w:rPr>
              <w:t>1000~3000元</w:t>
            </w:r>
          </w:p>
        </w:tc>
      </w:tr>
      <w:tr w14:paraId="65695176">
        <w:tblPrEx>
          <w:tblCellMar>
            <w:top w:w="0" w:type="dxa"/>
            <w:left w:w="108" w:type="dxa"/>
            <w:bottom w:w="0" w:type="dxa"/>
            <w:right w:w="108" w:type="dxa"/>
          </w:tblCellMar>
        </w:tblPrEx>
        <w:trPr>
          <w:trHeight w:val="552" w:hRule="atLeast"/>
        </w:trPr>
        <w:tc>
          <w:tcPr>
            <w:tcW w:w="851" w:type="dxa"/>
            <w:tcBorders>
              <w:top w:val="nil"/>
              <w:left w:val="single" w:color="auto" w:sz="4" w:space="0"/>
              <w:bottom w:val="single" w:color="auto" w:sz="4" w:space="0"/>
              <w:right w:val="single" w:color="auto" w:sz="4" w:space="0"/>
            </w:tcBorders>
            <w:noWrap/>
            <w:vAlign w:val="center"/>
          </w:tcPr>
          <w:p w14:paraId="0A618BD4">
            <w:pPr>
              <w:widowControl/>
              <w:jc w:val="center"/>
              <w:rPr>
                <w:rFonts w:ascii="等线" w:hAnsi="等线" w:eastAsia="等线" w:cs="宋体"/>
                <w:color w:val="000000"/>
                <w:kern w:val="0"/>
                <w:szCs w:val="21"/>
              </w:rPr>
            </w:pPr>
            <w:r>
              <w:rPr>
                <w:rFonts w:hint="eastAsia" w:ascii="等线" w:hAnsi="等线" w:eastAsia="等线" w:cs="宋体"/>
                <w:color w:val="000000"/>
                <w:kern w:val="0"/>
                <w:szCs w:val="21"/>
              </w:rPr>
              <w:t>16</w:t>
            </w:r>
          </w:p>
        </w:tc>
        <w:tc>
          <w:tcPr>
            <w:tcW w:w="1069" w:type="dxa"/>
            <w:vMerge w:val="continue"/>
            <w:tcBorders>
              <w:top w:val="nil"/>
              <w:left w:val="single" w:color="auto" w:sz="4" w:space="0"/>
              <w:bottom w:val="single" w:color="auto" w:sz="4" w:space="0"/>
              <w:right w:val="single" w:color="auto" w:sz="4" w:space="0"/>
            </w:tcBorders>
            <w:vAlign w:val="center"/>
          </w:tcPr>
          <w:p w14:paraId="5F850DF9">
            <w:pPr>
              <w:widowControl/>
              <w:jc w:val="left"/>
              <w:rPr>
                <w:rFonts w:ascii="等线" w:hAnsi="等线" w:eastAsia="等线" w:cs="宋体"/>
                <w:color w:val="000000"/>
                <w:kern w:val="0"/>
                <w:szCs w:val="21"/>
              </w:rPr>
            </w:pPr>
          </w:p>
        </w:tc>
        <w:tc>
          <w:tcPr>
            <w:tcW w:w="4459" w:type="dxa"/>
            <w:tcBorders>
              <w:top w:val="nil"/>
              <w:left w:val="nil"/>
              <w:bottom w:val="single" w:color="auto" w:sz="4" w:space="0"/>
              <w:right w:val="single" w:color="auto" w:sz="4" w:space="0"/>
            </w:tcBorders>
            <w:vAlign w:val="center"/>
          </w:tcPr>
          <w:p w14:paraId="484FD8BB">
            <w:pPr>
              <w:widowControl/>
              <w:rPr>
                <w:rFonts w:ascii="等线" w:hAnsi="等线" w:eastAsia="等线" w:cs="宋体"/>
                <w:color w:val="000000"/>
                <w:kern w:val="0"/>
                <w:szCs w:val="21"/>
              </w:rPr>
            </w:pPr>
            <w:r>
              <w:rPr>
                <w:rFonts w:hint="eastAsia" w:ascii="等线" w:hAnsi="等线" w:eastAsia="等线" w:cs="宋体"/>
                <w:color w:val="000000"/>
                <w:kern w:val="0"/>
                <w:szCs w:val="21"/>
              </w:rPr>
              <w:t>凡属监理单位规定应见证取样的项目，未通知擅自取样者</w:t>
            </w:r>
          </w:p>
        </w:tc>
        <w:tc>
          <w:tcPr>
            <w:tcW w:w="1985" w:type="dxa"/>
            <w:tcBorders>
              <w:top w:val="nil"/>
              <w:left w:val="nil"/>
              <w:bottom w:val="single" w:color="auto" w:sz="4" w:space="0"/>
              <w:right w:val="single" w:color="auto" w:sz="4" w:space="0"/>
            </w:tcBorders>
            <w:noWrap/>
            <w:vAlign w:val="bottom"/>
          </w:tcPr>
          <w:p w14:paraId="62C59CDE">
            <w:pPr>
              <w:widowControl/>
              <w:jc w:val="left"/>
              <w:rPr>
                <w:rFonts w:ascii="等线" w:hAnsi="等线" w:eastAsia="等线" w:cs="宋体"/>
                <w:color w:val="000000"/>
                <w:kern w:val="0"/>
                <w:szCs w:val="21"/>
              </w:rPr>
            </w:pPr>
            <w:r>
              <w:rPr>
                <w:rFonts w:hint="eastAsia" w:ascii="等线" w:hAnsi="等线" w:eastAsia="等线" w:cs="宋体"/>
                <w:color w:val="000000"/>
                <w:kern w:val="0"/>
                <w:szCs w:val="21"/>
              </w:rPr>
              <w:t>1000~3000元</w:t>
            </w:r>
          </w:p>
        </w:tc>
      </w:tr>
      <w:tr w14:paraId="498A9EB0">
        <w:tblPrEx>
          <w:tblCellMar>
            <w:top w:w="0" w:type="dxa"/>
            <w:left w:w="108" w:type="dxa"/>
            <w:bottom w:w="0" w:type="dxa"/>
            <w:right w:w="108" w:type="dxa"/>
          </w:tblCellMar>
        </w:tblPrEx>
        <w:trPr>
          <w:trHeight w:val="552" w:hRule="atLeast"/>
        </w:trPr>
        <w:tc>
          <w:tcPr>
            <w:tcW w:w="851" w:type="dxa"/>
            <w:tcBorders>
              <w:top w:val="nil"/>
              <w:left w:val="single" w:color="auto" w:sz="4" w:space="0"/>
              <w:bottom w:val="single" w:color="auto" w:sz="4" w:space="0"/>
              <w:right w:val="single" w:color="auto" w:sz="4" w:space="0"/>
            </w:tcBorders>
            <w:noWrap/>
            <w:vAlign w:val="center"/>
          </w:tcPr>
          <w:p w14:paraId="1A5B1024">
            <w:pPr>
              <w:widowControl/>
              <w:jc w:val="center"/>
              <w:rPr>
                <w:rFonts w:ascii="等线" w:hAnsi="等线" w:eastAsia="等线" w:cs="宋体"/>
                <w:color w:val="000000"/>
                <w:kern w:val="0"/>
                <w:szCs w:val="21"/>
              </w:rPr>
            </w:pPr>
            <w:r>
              <w:rPr>
                <w:rFonts w:hint="eastAsia" w:ascii="等线" w:hAnsi="等线" w:eastAsia="等线" w:cs="宋体"/>
                <w:color w:val="000000"/>
                <w:kern w:val="0"/>
                <w:szCs w:val="21"/>
              </w:rPr>
              <w:t>17</w:t>
            </w:r>
          </w:p>
        </w:tc>
        <w:tc>
          <w:tcPr>
            <w:tcW w:w="1069" w:type="dxa"/>
            <w:vMerge w:val="continue"/>
            <w:tcBorders>
              <w:top w:val="nil"/>
              <w:left w:val="single" w:color="auto" w:sz="4" w:space="0"/>
              <w:bottom w:val="single" w:color="auto" w:sz="4" w:space="0"/>
              <w:right w:val="single" w:color="auto" w:sz="4" w:space="0"/>
            </w:tcBorders>
            <w:vAlign w:val="center"/>
          </w:tcPr>
          <w:p w14:paraId="1A39CF6B">
            <w:pPr>
              <w:widowControl/>
              <w:jc w:val="left"/>
              <w:rPr>
                <w:rFonts w:ascii="等线" w:hAnsi="等线" w:eastAsia="等线" w:cs="宋体"/>
                <w:color w:val="000000"/>
                <w:kern w:val="0"/>
                <w:szCs w:val="21"/>
              </w:rPr>
            </w:pPr>
          </w:p>
        </w:tc>
        <w:tc>
          <w:tcPr>
            <w:tcW w:w="4459" w:type="dxa"/>
            <w:tcBorders>
              <w:top w:val="nil"/>
              <w:left w:val="nil"/>
              <w:bottom w:val="single" w:color="auto" w:sz="4" w:space="0"/>
              <w:right w:val="single" w:color="auto" w:sz="4" w:space="0"/>
            </w:tcBorders>
            <w:vAlign w:val="center"/>
          </w:tcPr>
          <w:p w14:paraId="0DA227E1">
            <w:pPr>
              <w:widowControl/>
              <w:rPr>
                <w:rFonts w:ascii="等线" w:hAnsi="等线" w:eastAsia="等线" w:cs="宋体"/>
                <w:color w:val="000000"/>
                <w:kern w:val="0"/>
                <w:szCs w:val="21"/>
              </w:rPr>
            </w:pPr>
            <w:r>
              <w:rPr>
                <w:rFonts w:hint="eastAsia" w:ascii="等线" w:hAnsi="等线" w:eastAsia="等线" w:cs="宋体"/>
                <w:color w:val="000000"/>
                <w:kern w:val="0"/>
                <w:szCs w:val="21"/>
              </w:rPr>
              <w:t>工序完成后应进行检验未经检验，擅自进行下步工序施工的</w:t>
            </w:r>
          </w:p>
        </w:tc>
        <w:tc>
          <w:tcPr>
            <w:tcW w:w="1985" w:type="dxa"/>
            <w:tcBorders>
              <w:top w:val="nil"/>
              <w:left w:val="nil"/>
              <w:bottom w:val="single" w:color="auto" w:sz="4" w:space="0"/>
              <w:right w:val="single" w:color="auto" w:sz="4" w:space="0"/>
            </w:tcBorders>
            <w:noWrap/>
            <w:vAlign w:val="bottom"/>
          </w:tcPr>
          <w:p w14:paraId="3CF770BA">
            <w:pPr>
              <w:widowControl/>
              <w:jc w:val="left"/>
              <w:rPr>
                <w:rFonts w:ascii="等线" w:hAnsi="等线" w:eastAsia="等线" w:cs="宋体"/>
                <w:color w:val="000000"/>
                <w:kern w:val="0"/>
                <w:szCs w:val="21"/>
              </w:rPr>
            </w:pPr>
            <w:r>
              <w:rPr>
                <w:rFonts w:hint="eastAsia" w:ascii="等线" w:hAnsi="等线" w:eastAsia="等线" w:cs="宋体"/>
                <w:color w:val="000000"/>
                <w:kern w:val="0"/>
                <w:szCs w:val="21"/>
              </w:rPr>
              <w:t>1000~3000元</w:t>
            </w:r>
          </w:p>
        </w:tc>
      </w:tr>
      <w:tr w14:paraId="4EAFF0C9">
        <w:tblPrEx>
          <w:tblCellMar>
            <w:top w:w="0" w:type="dxa"/>
            <w:left w:w="108" w:type="dxa"/>
            <w:bottom w:w="0" w:type="dxa"/>
            <w:right w:w="108" w:type="dxa"/>
          </w:tblCellMar>
        </w:tblPrEx>
        <w:trPr>
          <w:trHeight w:val="552" w:hRule="atLeast"/>
        </w:trPr>
        <w:tc>
          <w:tcPr>
            <w:tcW w:w="851" w:type="dxa"/>
            <w:tcBorders>
              <w:top w:val="nil"/>
              <w:left w:val="single" w:color="auto" w:sz="4" w:space="0"/>
              <w:bottom w:val="single" w:color="auto" w:sz="4" w:space="0"/>
              <w:right w:val="single" w:color="auto" w:sz="4" w:space="0"/>
            </w:tcBorders>
            <w:noWrap/>
            <w:vAlign w:val="center"/>
          </w:tcPr>
          <w:p w14:paraId="3C073F42">
            <w:pPr>
              <w:widowControl/>
              <w:jc w:val="center"/>
              <w:rPr>
                <w:rFonts w:ascii="等线" w:hAnsi="等线" w:eastAsia="等线" w:cs="宋体"/>
                <w:color w:val="000000"/>
                <w:kern w:val="0"/>
                <w:szCs w:val="21"/>
              </w:rPr>
            </w:pPr>
            <w:r>
              <w:rPr>
                <w:rFonts w:hint="eastAsia" w:ascii="等线" w:hAnsi="等线" w:eastAsia="等线" w:cs="宋体"/>
                <w:color w:val="000000"/>
                <w:kern w:val="0"/>
                <w:szCs w:val="21"/>
              </w:rPr>
              <w:t>18</w:t>
            </w:r>
          </w:p>
        </w:tc>
        <w:tc>
          <w:tcPr>
            <w:tcW w:w="1069" w:type="dxa"/>
            <w:vMerge w:val="continue"/>
            <w:tcBorders>
              <w:top w:val="nil"/>
              <w:left w:val="single" w:color="auto" w:sz="4" w:space="0"/>
              <w:bottom w:val="single" w:color="auto" w:sz="4" w:space="0"/>
              <w:right w:val="single" w:color="auto" w:sz="4" w:space="0"/>
            </w:tcBorders>
            <w:vAlign w:val="center"/>
          </w:tcPr>
          <w:p w14:paraId="7FC63B61">
            <w:pPr>
              <w:widowControl/>
              <w:jc w:val="left"/>
              <w:rPr>
                <w:rFonts w:ascii="等线" w:hAnsi="等线" w:eastAsia="等线" w:cs="宋体"/>
                <w:color w:val="000000"/>
                <w:kern w:val="0"/>
                <w:szCs w:val="21"/>
              </w:rPr>
            </w:pPr>
          </w:p>
        </w:tc>
        <w:tc>
          <w:tcPr>
            <w:tcW w:w="4459" w:type="dxa"/>
            <w:tcBorders>
              <w:top w:val="nil"/>
              <w:left w:val="nil"/>
              <w:bottom w:val="single" w:color="auto" w:sz="4" w:space="0"/>
              <w:right w:val="single" w:color="auto" w:sz="4" w:space="0"/>
            </w:tcBorders>
            <w:vAlign w:val="center"/>
          </w:tcPr>
          <w:p w14:paraId="2AD27E7C">
            <w:pPr>
              <w:widowControl/>
              <w:rPr>
                <w:rFonts w:ascii="等线" w:hAnsi="等线" w:eastAsia="等线" w:cs="宋体"/>
                <w:color w:val="000000"/>
                <w:kern w:val="0"/>
                <w:szCs w:val="21"/>
              </w:rPr>
            </w:pPr>
            <w:r>
              <w:rPr>
                <w:rFonts w:hint="eastAsia" w:ascii="等线" w:hAnsi="等线" w:eastAsia="等线" w:cs="宋体"/>
                <w:color w:val="000000"/>
                <w:kern w:val="0"/>
                <w:szCs w:val="21"/>
              </w:rPr>
              <w:t>施工组织设计、施工技术方案、环境保护方案及施工进程控制文件无审批</w:t>
            </w:r>
          </w:p>
        </w:tc>
        <w:tc>
          <w:tcPr>
            <w:tcW w:w="1985" w:type="dxa"/>
            <w:tcBorders>
              <w:top w:val="nil"/>
              <w:left w:val="nil"/>
              <w:bottom w:val="single" w:color="auto" w:sz="4" w:space="0"/>
              <w:right w:val="single" w:color="auto" w:sz="4" w:space="0"/>
            </w:tcBorders>
            <w:noWrap/>
            <w:vAlign w:val="bottom"/>
          </w:tcPr>
          <w:p w14:paraId="1D106826">
            <w:pPr>
              <w:widowControl/>
              <w:jc w:val="left"/>
              <w:rPr>
                <w:rFonts w:ascii="等线" w:hAnsi="等线" w:eastAsia="等线" w:cs="宋体"/>
                <w:color w:val="000000"/>
                <w:kern w:val="0"/>
                <w:szCs w:val="21"/>
              </w:rPr>
            </w:pPr>
            <w:r>
              <w:rPr>
                <w:rFonts w:hint="eastAsia" w:ascii="等线" w:hAnsi="等线" w:eastAsia="等线" w:cs="宋体"/>
                <w:color w:val="000000"/>
                <w:kern w:val="0"/>
                <w:szCs w:val="21"/>
              </w:rPr>
              <w:t>1000~3000元</w:t>
            </w:r>
          </w:p>
        </w:tc>
      </w:tr>
      <w:tr w14:paraId="1994C4D1">
        <w:tblPrEx>
          <w:tblCellMar>
            <w:top w:w="0" w:type="dxa"/>
            <w:left w:w="108" w:type="dxa"/>
            <w:bottom w:w="0" w:type="dxa"/>
            <w:right w:w="108" w:type="dxa"/>
          </w:tblCellMar>
        </w:tblPrEx>
        <w:trPr>
          <w:trHeight w:val="828" w:hRule="atLeast"/>
        </w:trPr>
        <w:tc>
          <w:tcPr>
            <w:tcW w:w="851" w:type="dxa"/>
            <w:tcBorders>
              <w:top w:val="nil"/>
              <w:left w:val="single" w:color="auto" w:sz="4" w:space="0"/>
              <w:bottom w:val="single" w:color="auto" w:sz="4" w:space="0"/>
              <w:right w:val="single" w:color="auto" w:sz="4" w:space="0"/>
            </w:tcBorders>
            <w:noWrap/>
            <w:vAlign w:val="center"/>
          </w:tcPr>
          <w:p w14:paraId="41F8A2C8">
            <w:pPr>
              <w:widowControl/>
              <w:jc w:val="center"/>
              <w:rPr>
                <w:rFonts w:ascii="等线" w:hAnsi="等线" w:eastAsia="等线" w:cs="宋体"/>
                <w:color w:val="000000"/>
                <w:kern w:val="0"/>
                <w:szCs w:val="21"/>
              </w:rPr>
            </w:pPr>
            <w:r>
              <w:rPr>
                <w:rFonts w:hint="eastAsia" w:ascii="等线" w:hAnsi="等线" w:eastAsia="等线" w:cs="宋体"/>
                <w:color w:val="000000"/>
                <w:kern w:val="0"/>
                <w:szCs w:val="21"/>
              </w:rPr>
              <w:t>19</w:t>
            </w:r>
          </w:p>
        </w:tc>
        <w:tc>
          <w:tcPr>
            <w:tcW w:w="1069" w:type="dxa"/>
            <w:vMerge w:val="continue"/>
            <w:tcBorders>
              <w:top w:val="nil"/>
              <w:left w:val="single" w:color="auto" w:sz="4" w:space="0"/>
              <w:bottom w:val="single" w:color="auto" w:sz="4" w:space="0"/>
              <w:right w:val="single" w:color="auto" w:sz="4" w:space="0"/>
            </w:tcBorders>
            <w:vAlign w:val="center"/>
          </w:tcPr>
          <w:p w14:paraId="5A8A628F">
            <w:pPr>
              <w:widowControl/>
              <w:jc w:val="left"/>
              <w:rPr>
                <w:rFonts w:ascii="等线" w:hAnsi="等线" w:eastAsia="等线" w:cs="宋体"/>
                <w:color w:val="000000"/>
                <w:kern w:val="0"/>
                <w:szCs w:val="21"/>
              </w:rPr>
            </w:pPr>
          </w:p>
        </w:tc>
        <w:tc>
          <w:tcPr>
            <w:tcW w:w="4459" w:type="dxa"/>
            <w:tcBorders>
              <w:top w:val="nil"/>
              <w:left w:val="nil"/>
              <w:bottom w:val="single" w:color="auto" w:sz="4" w:space="0"/>
              <w:right w:val="single" w:color="auto" w:sz="4" w:space="0"/>
            </w:tcBorders>
            <w:vAlign w:val="bottom"/>
          </w:tcPr>
          <w:p w14:paraId="1FA35AB3">
            <w:pPr>
              <w:widowControl/>
              <w:jc w:val="left"/>
              <w:rPr>
                <w:rFonts w:ascii="等线" w:hAnsi="等线" w:eastAsia="等线" w:cs="宋体"/>
                <w:color w:val="000000"/>
                <w:kern w:val="0"/>
                <w:szCs w:val="21"/>
              </w:rPr>
            </w:pPr>
            <w:r>
              <w:rPr>
                <w:rFonts w:hint="eastAsia" w:ascii="等线" w:hAnsi="等线" w:eastAsia="等线" w:cs="宋体"/>
                <w:color w:val="000000"/>
                <w:kern w:val="0"/>
                <w:szCs w:val="21"/>
              </w:rPr>
              <w:t>各作业项目施工前未按要求编制作业指导书（包括现场质量计划措施）或没有进行技术交底的项目</w:t>
            </w:r>
          </w:p>
        </w:tc>
        <w:tc>
          <w:tcPr>
            <w:tcW w:w="1985" w:type="dxa"/>
            <w:tcBorders>
              <w:top w:val="nil"/>
              <w:left w:val="nil"/>
              <w:bottom w:val="single" w:color="auto" w:sz="4" w:space="0"/>
              <w:right w:val="single" w:color="auto" w:sz="4" w:space="0"/>
            </w:tcBorders>
            <w:noWrap/>
            <w:vAlign w:val="bottom"/>
          </w:tcPr>
          <w:p w14:paraId="09ECF4A2">
            <w:pPr>
              <w:widowControl/>
              <w:jc w:val="left"/>
              <w:rPr>
                <w:rFonts w:ascii="等线" w:hAnsi="等线" w:eastAsia="等线" w:cs="宋体"/>
                <w:color w:val="000000"/>
                <w:kern w:val="0"/>
                <w:szCs w:val="21"/>
              </w:rPr>
            </w:pPr>
            <w:r>
              <w:rPr>
                <w:rFonts w:hint="eastAsia" w:ascii="等线" w:hAnsi="等线" w:eastAsia="等线" w:cs="宋体"/>
                <w:color w:val="000000"/>
                <w:kern w:val="0"/>
                <w:szCs w:val="21"/>
              </w:rPr>
              <w:t>1000~3000元</w:t>
            </w:r>
          </w:p>
        </w:tc>
      </w:tr>
      <w:tr w14:paraId="2097E66D">
        <w:tblPrEx>
          <w:tblCellMar>
            <w:top w:w="0" w:type="dxa"/>
            <w:left w:w="108" w:type="dxa"/>
            <w:bottom w:w="0" w:type="dxa"/>
            <w:right w:w="108" w:type="dxa"/>
          </w:tblCellMar>
        </w:tblPrEx>
        <w:trPr>
          <w:trHeight w:val="276" w:hRule="atLeast"/>
        </w:trPr>
        <w:tc>
          <w:tcPr>
            <w:tcW w:w="851" w:type="dxa"/>
            <w:tcBorders>
              <w:top w:val="nil"/>
              <w:left w:val="single" w:color="auto" w:sz="4" w:space="0"/>
              <w:bottom w:val="single" w:color="auto" w:sz="4" w:space="0"/>
              <w:right w:val="single" w:color="auto" w:sz="4" w:space="0"/>
            </w:tcBorders>
            <w:noWrap/>
            <w:vAlign w:val="center"/>
          </w:tcPr>
          <w:p w14:paraId="34489547">
            <w:pPr>
              <w:widowControl/>
              <w:jc w:val="center"/>
              <w:rPr>
                <w:rFonts w:ascii="等线" w:hAnsi="等线" w:eastAsia="等线" w:cs="宋体"/>
                <w:color w:val="000000"/>
                <w:kern w:val="0"/>
                <w:szCs w:val="21"/>
              </w:rPr>
            </w:pPr>
            <w:r>
              <w:rPr>
                <w:rFonts w:hint="eastAsia" w:ascii="等线" w:hAnsi="等线" w:eastAsia="等线" w:cs="宋体"/>
                <w:color w:val="000000"/>
                <w:kern w:val="0"/>
                <w:szCs w:val="21"/>
              </w:rPr>
              <w:t>20</w:t>
            </w:r>
          </w:p>
        </w:tc>
        <w:tc>
          <w:tcPr>
            <w:tcW w:w="1069" w:type="dxa"/>
            <w:vMerge w:val="continue"/>
            <w:tcBorders>
              <w:top w:val="nil"/>
              <w:left w:val="single" w:color="auto" w:sz="4" w:space="0"/>
              <w:bottom w:val="single" w:color="auto" w:sz="4" w:space="0"/>
              <w:right w:val="single" w:color="auto" w:sz="4" w:space="0"/>
            </w:tcBorders>
            <w:vAlign w:val="center"/>
          </w:tcPr>
          <w:p w14:paraId="509E0EE6">
            <w:pPr>
              <w:widowControl/>
              <w:jc w:val="left"/>
              <w:rPr>
                <w:rFonts w:ascii="等线" w:hAnsi="等线" w:eastAsia="等线" w:cs="宋体"/>
                <w:color w:val="000000"/>
                <w:kern w:val="0"/>
                <w:szCs w:val="21"/>
              </w:rPr>
            </w:pPr>
          </w:p>
        </w:tc>
        <w:tc>
          <w:tcPr>
            <w:tcW w:w="4459" w:type="dxa"/>
            <w:tcBorders>
              <w:top w:val="nil"/>
              <w:left w:val="nil"/>
              <w:bottom w:val="single" w:color="auto" w:sz="4" w:space="0"/>
              <w:right w:val="single" w:color="auto" w:sz="4" w:space="0"/>
            </w:tcBorders>
            <w:vAlign w:val="center"/>
          </w:tcPr>
          <w:p w14:paraId="65A08F7B">
            <w:pPr>
              <w:widowControl/>
              <w:rPr>
                <w:rFonts w:ascii="等线" w:hAnsi="等线" w:eastAsia="等线" w:cs="宋体"/>
                <w:color w:val="000000"/>
                <w:kern w:val="0"/>
                <w:szCs w:val="21"/>
              </w:rPr>
            </w:pPr>
            <w:r>
              <w:rPr>
                <w:rFonts w:hint="eastAsia" w:ascii="等线" w:hAnsi="等线" w:eastAsia="等线" w:cs="宋体"/>
                <w:color w:val="000000"/>
                <w:kern w:val="0"/>
                <w:szCs w:val="21"/>
              </w:rPr>
              <w:t>已开工项目未经交底或无书面交底手续者</w:t>
            </w:r>
          </w:p>
        </w:tc>
        <w:tc>
          <w:tcPr>
            <w:tcW w:w="1985" w:type="dxa"/>
            <w:tcBorders>
              <w:top w:val="nil"/>
              <w:left w:val="nil"/>
              <w:bottom w:val="single" w:color="auto" w:sz="4" w:space="0"/>
              <w:right w:val="single" w:color="auto" w:sz="4" w:space="0"/>
            </w:tcBorders>
            <w:noWrap/>
            <w:vAlign w:val="bottom"/>
          </w:tcPr>
          <w:p w14:paraId="11B32629">
            <w:pPr>
              <w:widowControl/>
              <w:jc w:val="left"/>
              <w:rPr>
                <w:rFonts w:ascii="等线" w:hAnsi="等线" w:eastAsia="等线" w:cs="宋体"/>
                <w:color w:val="000000"/>
                <w:kern w:val="0"/>
                <w:szCs w:val="21"/>
              </w:rPr>
            </w:pPr>
            <w:r>
              <w:rPr>
                <w:rFonts w:hint="eastAsia" w:ascii="等线" w:hAnsi="等线" w:eastAsia="等线" w:cs="宋体"/>
                <w:color w:val="000000"/>
                <w:kern w:val="0"/>
                <w:szCs w:val="21"/>
              </w:rPr>
              <w:t>1000~3000元</w:t>
            </w:r>
          </w:p>
        </w:tc>
      </w:tr>
      <w:tr w14:paraId="4347F7A4">
        <w:tblPrEx>
          <w:tblCellMar>
            <w:top w:w="0" w:type="dxa"/>
            <w:left w:w="108" w:type="dxa"/>
            <w:bottom w:w="0" w:type="dxa"/>
            <w:right w:w="108" w:type="dxa"/>
          </w:tblCellMar>
        </w:tblPrEx>
        <w:trPr>
          <w:trHeight w:val="552" w:hRule="atLeast"/>
        </w:trPr>
        <w:tc>
          <w:tcPr>
            <w:tcW w:w="851" w:type="dxa"/>
            <w:tcBorders>
              <w:top w:val="nil"/>
              <w:left w:val="single" w:color="auto" w:sz="4" w:space="0"/>
              <w:bottom w:val="single" w:color="auto" w:sz="4" w:space="0"/>
              <w:right w:val="single" w:color="auto" w:sz="4" w:space="0"/>
            </w:tcBorders>
            <w:noWrap/>
            <w:vAlign w:val="center"/>
          </w:tcPr>
          <w:p w14:paraId="006B3D1C">
            <w:pPr>
              <w:widowControl/>
              <w:jc w:val="center"/>
              <w:rPr>
                <w:rFonts w:ascii="等线" w:hAnsi="等线" w:eastAsia="等线" w:cs="宋体"/>
                <w:color w:val="000000"/>
                <w:kern w:val="0"/>
                <w:szCs w:val="21"/>
              </w:rPr>
            </w:pPr>
            <w:r>
              <w:rPr>
                <w:rFonts w:hint="eastAsia" w:ascii="等线" w:hAnsi="等线" w:eastAsia="等线" w:cs="宋体"/>
                <w:color w:val="000000"/>
                <w:kern w:val="0"/>
                <w:szCs w:val="21"/>
              </w:rPr>
              <w:t>21</w:t>
            </w:r>
          </w:p>
        </w:tc>
        <w:tc>
          <w:tcPr>
            <w:tcW w:w="1069" w:type="dxa"/>
            <w:vMerge w:val="continue"/>
            <w:tcBorders>
              <w:top w:val="nil"/>
              <w:left w:val="single" w:color="auto" w:sz="4" w:space="0"/>
              <w:bottom w:val="single" w:color="auto" w:sz="4" w:space="0"/>
              <w:right w:val="single" w:color="auto" w:sz="4" w:space="0"/>
            </w:tcBorders>
            <w:vAlign w:val="center"/>
          </w:tcPr>
          <w:p w14:paraId="708FC10C">
            <w:pPr>
              <w:widowControl/>
              <w:jc w:val="left"/>
              <w:rPr>
                <w:rFonts w:ascii="等线" w:hAnsi="等线" w:eastAsia="等线" w:cs="宋体"/>
                <w:color w:val="000000"/>
                <w:kern w:val="0"/>
                <w:szCs w:val="21"/>
              </w:rPr>
            </w:pPr>
          </w:p>
        </w:tc>
        <w:tc>
          <w:tcPr>
            <w:tcW w:w="4459" w:type="dxa"/>
            <w:tcBorders>
              <w:top w:val="nil"/>
              <w:left w:val="nil"/>
              <w:bottom w:val="single" w:color="auto" w:sz="4" w:space="0"/>
              <w:right w:val="single" w:color="auto" w:sz="4" w:space="0"/>
            </w:tcBorders>
            <w:vAlign w:val="center"/>
          </w:tcPr>
          <w:p w14:paraId="5D15BF6F">
            <w:pPr>
              <w:widowControl/>
              <w:rPr>
                <w:rFonts w:ascii="等线" w:hAnsi="等线" w:eastAsia="等线" w:cs="宋体"/>
                <w:color w:val="000000"/>
                <w:kern w:val="0"/>
                <w:szCs w:val="21"/>
              </w:rPr>
            </w:pPr>
            <w:r>
              <w:rPr>
                <w:rFonts w:hint="eastAsia" w:ascii="等线" w:hAnsi="等线" w:eastAsia="等线" w:cs="宋体"/>
                <w:color w:val="000000"/>
                <w:kern w:val="0"/>
                <w:szCs w:val="21"/>
              </w:rPr>
              <w:t>未按施工技术措施（或技术交底）执行或执行不力的</w:t>
            </w:r>
          </w:p>
        </w:tc>
        <w:tc>
          <w:tcPr>
            <w:tcW w:w="1985" w:type="dxa"/>
            <w:tcBorders>
              <w:top w:val="nil"/>
              <w:left w:val="nil"/>
              <w:bottom w:val="single" w:color="auto" w:sz="4" w:space="0"/>
              <w:right w:val="single" w:color="auto" w:sz="4" w:space="0"/>
            </w:tcBorders>
            <w:noWrap/>
            <w:vAlign w:val="bottom"/>
          </w:tcPr>
          <w:p w14:paraId="3A68996D">
            <w:pPr>
              <w:widowControl/>
              <w:jc w:val="left"/>
              <w:rPr>
                <w:rFonts w:ascii="等线" w:hAnsi="等线" w:eastAsia="等线" w:cs="宋体"/>
                <w:color w:val="000000"/>
                <w:kern w:val="0"/>
                <w:szCs w:val="21"/>
              </w:rPr>
            </w:pPr>
            <w:r>
              <w:rPr>
                <w:rFonts w:hint="eastAsia" w:ascii="等线" w:hAnsi="等线" w:eastAsia="等线" w:cs="宋体"/>
                <w:color w:val="000000"/>
                <w:kern w:val="0"/>
                <w:szCs w:val="21"/>
              </w:rPr>
              <w:t>1000~3000元</w:t>
            </w:r>
          </w:p>
        </w:tc>
      </w:tr>
      <w:tr w14:paraId="114C25D0">
        <w:tblPrEx>
          <w:tblCellMar>
            <w:top w:w="0" w:type="dxa"/>
            <w:left w:w="108" w:type="dxa"/>
            <w:bottom w:w="0" w:type="dxa"/>
            <w:right w:w="108" w:type="dxa"/>
          </w:tblCellMar>
        </w:tblPrEx>
        <w:trPr>
          <w:trHeight w:val="276" w:hRule="atLeast"/>
        </w:trPr>
        <w:tc>
          <w:tcPr>
            <w:tcW w:w="851" w:type="dxa"/>
            <w:tcBorders>
              <w:top w:val="nil"/>
              <w:left w:val="single" w:color="auto" w:sz="4" w:space="0"/>
              <w:bottom w:val="single" w:color="auto" w:sz="4" w:space="0"/>
              <w:right w:val="single" w:color="auto" w:sz="4" w:space="0"/>
            </w:tcBorders>
            <w:noWrap/>
            <w:vAlign w:val="center"/>
          </w:tcPr>
          <w:p w14:paraId="76A5785A">
            <w:pPr>
              <w:widowControl/>
              <w:jc w:val="center"/>
              <w:rPr>
                <w:rFonts w:ascii="等线" w:hAnsi="等线" w:eastAsia="等线" w:cs="宋体"/>
                <w:color w:val="000000"/>
                <w:kern w:val="0"/>
                <w:szCs w:val="21"/>
              </w:rPr>
            </w:pPr>
            <w:r>
              <w:rPr>
                <w:rFonts w:hint="eastAsia" w:ascii="等线" w:hAnsi="等线" w:eastAsia="等线" w:cs="宋体"/>
                <w:color w:val="000000"/>
                <w:kern w:val="0"/>
                <w:szCs w:val="21"/>
              </w:rPr>
              <w:t>22</w:t>
            </w:r>
          </w:p>
        </w:tc>
        <w:tc>
          <w:tcPr>
            <w:tcW w:w="1069" w:type="dxa"/>
            <w:vMerge w:val="continue"/>
            <w:tcBorders>
              <w:top w:val="nil"/>
              <w:left w:val="single" w:color="auto" w:sz="4" w:space="0"/>
              <w:bottom w:val="single" w:color="auto" w:sz="4" w:space="0"/>
              <w:right w:val="single" w:color="auto" w:sz="4" w:space="0"/>
            </w:tcBorders>
            <w:vAlign w:val="center"/>
          </w:tcPr>
          <w:p w14:paraId="5A33401F">
            <w:pPr>
              <w:widowControl/>
              <w:jc w:val="left"/>
              <w:rPr>
                <w:rFonts w:ascii="等线" w:hAnsi="等线" w:eastAsia="等线" w:cs="宋体"/>
                <w:color w:val="000000"/>
                <w:kern w:val="0"/>
                <w:szCs w:val="21"/>
              </w:rPr>
            </w:pPr>
          </w:p>
        </w:tc>
        <w:tc>
          <w:tcPr>
            <w:tcW w:w="4459" w:type="dxa"/>
            <w:tcBorders>
              <w:top w:val="nil"/>
              <w:left w:val="nil"/>
              <w:bottom w:val="single" w:color="auto" w:sz="4" w:space="0"/>
              <w:right w:val="single" w:color="auto" w:sz="4" w:space="0"/>
            </w:tcBorders>
            <w:vAlign w:val="center"/>
          </w:tcPr>
          <w:p w14:paraId="1D8AE585">
            <w:pPr>
              <w:widowControl/>
              <w:rPr>
                <w:rFonts w:ascii="等线" w:hAnsi="等线" w:eastAsia="等线" w:cs="宋体"/>
                <w:color w:val="000000"/>
                <w:kern w:val="0"/>
                <w:szCs w:val="21"/>
              </w:rPr>
            </w:pPr>
            <w:r>
              <w:rPr>
                <w:rFonts w:hint="eastAsia" w:ascii="等线" w:hAnsi="等线" w:eastAsia="等线" w:cs="宋体"/>
                <w:color w:val="000000"/>
                <w:kern w:val="0"/>
                <w:szCs w:val="21"/>
              </w:rPr>
              <w:t>隐蔽工程未经验收擅自或强行隐蔽</w:t>
            </w:r>
          </w:p>
        </w:tc>
        <w:tc>
          <w:tcPr>
            <w:tcW w:w="1985" w:type="dxa"/>
            <w:tcBorders>
              <w:top w:val="nil"/>
              <w:left w:val="nil"/>
              <w:bottom w:val="single" w:color="auto" w:sz="4" w:space="0"/>
              <w:right w:val="single" w:color="auto" w:sz="4" w:space="0"/>
            </w:tcBorders>
            <w:noWrap/>
            <w:vAlign w:val="bottom"/>
          </w:tcPr>
          <w:p w14:paraId="61933C3E">
            <w:pPr>
              <w:widowControl/>
              <w:jc w:val="left"/>
              <w:rPr>
                <w:rFonts w:ascii="等线" w:hAnsi="等线" w:eastAsia="等线" w:cs="宋体"/>
                <w:color w:val="000000"/>
                <w:kern w:val="0"/>
                <w:szCs w:val="21"/>
              </w:rPr>
            </w:pPr>
            <w:r>
              <w:rPr>
                <w:rFonts w:hint="eastAsia" w:ascii="等线" w:hAnsi="等线" w:eastAsia="等线" w:cs="宋体"/>
                <w:color w:val="000000"/>
                <w:kern w:val="0"/>
                <w:szCs w:val="21"/>
              </w:rPr>
              <w:t>3000~5000元</w:t>
            </w:r>
          </w:p>
        </w:tc>
      </w:tr>
      <w:tr w14:paraId="4C37B5F8">
        <w:tblPrEx>
          <w:tblCellMar>
            <w:top w:w="0" w:type="dxa"/>
            <w:left w:w="108" w:type="dxa"/>
            <w:bottom w:w="0" w:type="dxa"/>
            <w:right w:w="108" w:type="dxa"/>
          </w:tblCellMar>
        </w:tblPrEx>
        <w:trPr>
          <w:trHeight w:val="552" w:hRule="atLeast"/>
        </w:trPr>
        <w:tc>
          <w:tcPr>
            <w:tcW w:w="851" w:type="dxa"/>
            <w:tcBorders>
              <w:top w:val="nil"/>
              <w:left w:val="single" w:color="auto" w:sz="4" w:space="0"/>
              <w:bottom w:val="single" w:color="auto" w:sz="4" w:space="0"/>
              <w:right w:val="single" w:color="auto" w:sz="4" w:space="0"/>
            </w:tcBorders>
            <w:noWrap/>
            <w:vAlign w:val="center"/>
          </w:tcPr>
          <w:p w14:paraId="35997A67">
            <w:pPr>
              <w:widowControl/>
              <w:jc w:val="center"/>
              <w:rPr>
                <w:rFonts w:ascii="等线" w:hAnsi="等线" w:eastAsia="等线" w:cs="宋体"/>
                <w:color w:val="000000"/>
                <w:kern w:val="0"/>
                <w:szCs w:val="21"/>
              </w:rPr>
            </w:pPr>
            <w:r>
              <w:rPr>
                <w:rFonts w:hint="eastAsia" w:ascii="等线" w:hAnsi="等线" w:eastAsia="等线" w:cs="宋体"/>
                <w:color w:val="000000"/>
                <w:kern w:val="0"/>
                <w:szCs w:val="21"/>
              </w:rPr>
              <w:t>23</w:t>
            </w:r>
          </w:p>
        </w:tc>
        <w:tc>
          <w:tcPr>
            <w:tcW w:w="1069" w:type="dxa"/>
            <w:vMerge w:val="continue"/>
            <w:tcBorders>
              <w:top w:val="nil"/>
              <w:left w:val="single" w:color="auto" w:sz="4" w:space="0"/>
              <w:bottom w:val="single" w:color="auto" w:sz="4" w:space="0"/>
              <w:right w:val="single" w:color="auto" w:sz="4" w:space="0"/>
            </w:tcBorders>
            <w:vAlign w:val="center"/>
          </w:tcPr>
          <w:p w14:paraId="2435434F">
            <w:pPr>
              <w:widowControl/>
              <w:jc w:val="left"/>
              <w:rPr>
                <w:rFonts w:ascii="等线" w:hAnsi="等线" w:eastAsia="等线" w:cs="宋体"/>
                <w:color w:val="000000"/>
                <w:kern w:val="0"/>
                <w:szCs w:val="21"/>
              </w:rPr>
            </w:pPr>
          </w:p>
        </w:tc>
        <w:tc>
          <w:tcPr>
            <w:tcW w:w="4459" w:type="dxa"/>
            <w:tcBorders>
              <w:top w:val="nil"/>
              <w:left w:val="nil"/>
              <w:bottom w:val="single" w:color="auto" w:sz="4" w:space="0"/>
              <w:right w:val="single" w:color="auto" w:sz="4" w:space="0"/>
            </w:tcBorders>
            <w:vAlign w:val="center"/>
          </w:tcPr>
          <w:p w14:paraId="7E7BEA2A">
            <w:pPr>
              <w:widowControl/>
              <w:rPr>
                <w:rFonts w:ascii="等线" w:hAnsi="等线" w:eastAsia="等线" w:cs="宋体"/>
                <w:color w:val="000000"/>
                <w:kern w:val="0"/>
                <w:szCs w:val="21"/>
              </w:rPr>
            </w:pPr>
            <w:r>
              <w:rPr>
                <w:rFonts w:hint="eastAsia" w:ascii="等线" w:hAnsi="等线" w:eastAsia="等线" w:cs="宋体"/>
                <w:color w:val="000000"/>
                <w:kern w:val="0"/>
                <w:szCs w:val="21"/>
              </w:rPr>
              <w:t>质量过程日志、记录、签证不齐全、造假记录或靠事后补记录者</w:t>
            </w:r>
          </w:p>
        </w:tc>
        <w:tc>
          <w:tcPr>
            <w:tcW w:w="1985" w:type="dxa"/>
            <w:tcBorders>
              <w:top w:val="nil"/>
              <w:left w:val="nil"/>
              <w:bottom w:val="single" w:color="auto" w:sz="4" w:space="0"/>
              <w:right w:val="single" w:color="auto" w:sz="4" w:space="0"/>
            </w:tcBorders>
            <w:noWrap/>
            <w:vAlign w:val="bottom"/>
          </w:tcPr>
          <w:p w14:paraId="23044AB6">
            <w:pPr>
              <w:widowControl/>
              <w:jc w:val="left"/>
              <w:rPr>
                <w:rFonts w:ascii="等线" w:hAnsi="等线" w:eastAsia="等线" w:cs="宋体"/>
                <w:color w:val="000000"/>
                <w:kern w:val="0"/>
                <w:szCs w:val="21"/>
              </w:rPr>
            </w:pPr>
            <w:r>
              <w:rPr>
                <w:rFonts w:hint="eastAsia" w:ascii="等线" w:hAnsi="等线" w:eastAsia="等线" w:cs="宋体"/>
                <w:color w:val="000000"/>
                <w:kern w:val="0"/>
                <w:szCs w:val="21"/>
              </w:rPr>
              <w:t>1000~3000元</w:t>
            </w:r>
          </w:p>
        </w:tc>
      </w:tr>
      <w:tr w14:paraId="35E51086">
        <w:tblPrEx>
          <w:tblCellMar>
            <w:top w:w="0" w:type="dxa"/>
            <w:left w:w="108" w:type="dxa"/>
            <w:bottom w:w="0" w:type="dxa"/>
            <w:right w:w="108" w:type="dxa"/>
          </w:tblCellMar>
        </w:tblPrEx>
        <w:trPr>
          <w:trHeight w:val="552" w:hRule="atLeast"/>
        </w:trPr>
        <w:tc>
          <w:tcPr>
            <w:tcW w:w="851" w:type="dxa"/>
            <w:tcBorders>
              <w:top w:val="nil"/>
              <w:left w:val="single" w:color="auto" w:sz="4" w:space="0"/>
              <w:bottom w:val="single" w:color="auto" w:sz="4" w:space="0"/>
              <w:right w:val="single" w:color="auto" w:sz="4" w:space="0"/>
            </w:tcBorders>
            <w:noWrap/>
            <w:vAlign w:val="center"/>
          </w:tcPr>
          <w:p w14:paraId="23B7BE86">
            <w:pPr>
              <w:widowControl/>
              <w:jc w:val="center"/>
              <w:rPr>
                <w:rFonts w:ascii="等线" w:hAnsi="等线" w:eastAsia="等线" w:cs="宋体"/>
                <w:color w:val="000000"/>
                <w:kern w:val="0"/>
                <w:szCs w:val="21"/>
              </w:rPr>
            </w:pPr>
            <w:r>
              <w:rPr>
                <w:rFonts w:hint="eastAsia" w:ascii="等线" w:hAnsi="等线" w:eastAsia="等线" w:cs="宋体"/>
                <w:color w:val="000000"/>
                <w:kern w:val="0"/>
                <w:szCs w:val="21"/>
              </w:rPr>
              <w:t>24</w:t>
            </w:r>
          </w:p>
        </w:tc>
        <w:tc>
          <w:tcPr>
            <w:tcW w:w="1069" w:type="dxa"/>
            <w:vMerge w:val="restart"/>
            <w:tcBorders>
              <w:top w:val="nil"/>
              <w:left w:val="single" w:color="auto" w:sz="4" w:space="0"/>
              <w:bottom w:val="single" w:color="auto" w:sz="4" w:space="0"/>
              <w:right w:val="single" w:color="auto" w:sz="4" w:space="0"/>
            </w:tcBorders>
            <w:vAlign w:val="center"/>
          </w:tcPr>
          <w:p w14:paraId="0C71730C">
            <w:pPr>
              <w:widowControl/>
              <w:jc w:val="center"/>
              <w:rPr>
                <w:rFonts w:ascii="等线" w:hAnsi="等线" w:eastAsia="等线" w:cs="宋体"/>
                <w:color w:val="000000"/>
                <w:kern w:val="0"/>
                <w:szCs w:val="21"/>
              </w:rPr>
            </w:pPr>
            <w:r>
              <w:rPr>
                <w:rFonts w:hint="eastAsia" w:ascii="等线" w:hAnsi="等线" w:eastAsia="等线" w:cs="宋体"/>
                <w:color w:val="000000"/>
                <w:kern w:val="0"/>
                <w:szCs w:val="21"/>
              </w:rPr>
              <w:t>现场质量管理</w:t>
            </w:r>
          </w:p>
        </w:tc>
        <w:tc>
          <w:tcPr>
            <w:tcW w:w="4459" w:type="dxa"/>
            <w:tcBorders>
              <w:top w:val="nil"/>
              <w:left w:val="nil"/>
              <w:bottom w:val="single" w:color="auto" w:sz="4" w:space="0"/>
              <w:right w:val="single" w:color="auto" w:sz="4" w:space="0"/>
            </w:tcBorders>
            <w:vAlign w:val="bottom"/>
          </w:tcPr>
          <w:p w14:paraId="18DC8CBC">
            <w:pPr>
              <w:widowControl/>
              <w:jc w:val="left"/>
              <w:rPr>
                <w:rFonts w:ascii="等线" w:hAnsi="等线" w:eastAsia="等线" w:cs="宋体"/>
                <w:color w:val="000000"/>
                <w:kern w:val="0"/>
                <w:szCs w:val="21"/>
              </w:rPr>
            </w:pPr>
            <w:r>
              <w:rPr>
                <w:rFonts w:hint="eastAsia" w:ascii="等线" w:hAnsi="等线" w:eastAsia="等线" w:cs="宋体"/>
                <w:color w:val="000000"/>
                <w:kern w:val="0"/>
                <w:szCs w:val="21"/>
              </w:rPr>
              <w:t>监理单位组织的质量管理体系及现场实物质量检查提出问题，责任单位在规定期限内未完成</w:t>
            </w:r>
          </w:p>
        </w:tc>
        <w:tc>
          <w:tcPr>
            <w:tcW w:w="1985" w:type="dxa"/>
            <w:tcBorders>
              <w:top w:val="nil"/>
              <w:left w:val="nil"/>
              <w:bottom w:val="single" w:color="auto" w:sz="4" w:space="0"/>
              <w:right w:val="single" w:color="auto" w:sz="4" w:space="0"/>
            </w:tcBorders>
            <w:noWrap/>
            <w:vAlign w:val="bottom"/>
          </w:tcPr>
          <w:p w14:paraId="680B2227">
            <w:pPr>
              <w:widowControl/>
              <w:jc w:val="left"/>
              <w:rPr>
                <w:rFonts w:ascii="等线" w:hAnsi="等线" w:eastAsia="等线" w:cs="宋体"/>
                <w:color w:val="000000"/>
                <w:kern w:val="0"/>
                <w:szCs w:val="21"/>
              </w:rPr>
            </w:pPr>
            <w:r>
              <w:rPr>
                <w:rFonts w:hint="eastAsia" w:ascii="等线" w:hAnsi="等线" w:eastAsia="等线" w:cs="宋体"/>
                <w:color w:val="000000"/>
                <w:kern w:val="0"/>
                <w:szCs w:val="21"/>
              </w:rPr>
              <w:t>1000~3000元</w:t>
            </w:r>
          </w:p>
        </w:tc>
      </w:tr>
      <w:tr w14:paraId="5AD385D4">
        <w:tblPrEx>
          <w:tblCellMar>
            <w:top w:w="0" w:type="dxa"/>
            <w:left w:w="108" w:type="dxa"/>
            <w:bottom w:w="0" w:type="dxa"/>
            <w:right w:w="108" w:type="dxa"/>
          </w:tblCellMar>
        </w:tblPrEx>
        <w:trPr>
          <w:trHeight w:val="552" w:hRule="atLeast"/>
        </w:trPr>
        <w:tc>
          <w:tcPr>
            <w:tcW w:w="851" w:type="dxa"/>
            <w:tcBorders>
              <w:top w:val="nil"/>
              <w:left w:val="single" w:color="auto" w:sz="4" w:space="0"/>
              <w:bottom w:val="single" w:color="auto" w:sz="4" w:space="0"/>
              <w:right w:val="single" w:color="auto" w:sz="4" w:space="0"/>
            </w:tcBorders>
            <w:noWrap/>
            <w:vAlign w:val="center"/>
          </w:tcPr>
          <w:p w14:paraId="77B8BE00">
            <w:pPr>
              <w:widowControl/>
              <w:jc w:val="center"/>
              <w:rPr>
                <w:rFonts w:ascii="等线" w:hAnsi="等线" w:eastAsia="等线" w:cs="宋体"/>
                <w:color w:val="000000"/>
                <w:kern w:val="0"/>
                <w:szCs w:val="21"/>
              </w:rPr>
            </w:pPr>
            <w:r>
              <w:rPr>
                <w:rFonts w:hint="eastAsia" w:ascii="等线" w:hAnsi="等线" w:eastAsia="等线" w:cs="宋体"/>
                <w:color w:val="000000"/>
                <w:kern w:val="0"/>
                <w:szCs w:val="21"/>
              </w:rPr>
              <w:t>25</w:t>
            </w:r>
          </w:p>
        </w:tc>
        <w:tc>
          <w:tcPr>
            <w:tcW w:w="1069" w:type="dxa"/>
            <w:vMerge w:val="continue"/>
            <w:tcBorders>
              <w:top w:val="nil"/>
              <w:left w:val="single" w:color="auto" w:sz="4" w:space="0"/>
              <w:bottom w:val="single" w:color="auto" w:sz="4" w:space="0"/>
              <w:right w:val="single" w:color="auto" w:sz="4" w:space="0"/>
            </w:tcBorders>
            <w:vAlign w:val="center"/>
          </w:tcPr>
          <w:p w14:paraId="1D048886">
            <w:pPr>
              <w:widowControl/>
              <w:jc w:val="left"/>
              <w:rPr>
                <w:rFonts w:ascii="等线" w:hAnsi="等线" w:eastAsia="等线" w:cs="宋体"/>
                <w:color w:val="000000"/>
                <w:kern w:val="0"/>
                <w:szCs w:val="21"/>
              </w:rPr>
            </w:pPr>
          </w:p>
        </w:tc>
        <w:tc>
          <w:tcPr>
            <w:tcW w:w="4459" w:type="dxa"/>
            <w:tcBorders>
              <w:top w:val="nil"/>
              <w:left w:val="nil"/>
              <w:bottom w:val="single" w:color="auto" w:sz="4" w:space="0"/>
              <w:right w:val="single" w:color="auto" w:sz="4" w:space="0"/>
            </w:tcBorders>
            <w:vAlign w:val="bottom"/>
          </w:tcPr>
          <w:p w14:paraId="24B100F9">
            <w:pPr>
              <w:widowControl/>
              <w:jc w:val="left"/>
              <w:rPr>
                <w:rFonts w:ascii="等线" w:hAnsi="等线" w:eastAsia="等线" w:cs="宋体"/>
                <w:color w:val="000000"/>
                <w:kern w:val="0"/>
                <w:szCs w:val="21"/>
              </w:rPr>
            </w:pPr>
            <w:r>
              <w:rPr>
                <w:rFonts w:hint="eastAsia" w:ascii="等线" w:hAnsi="等线" w:eastAsia="等线" w:cs="宋体"/>
                <w:color w:val="000000"/>
                <w:kern w:val="0"/>
                <w:szCs w:val="21"/>
              </w:rPr>
              <w:t>不按照规程、标准及作业指导书进行施工，造成质量缺陷的</w:t>
            </w:r>
          </w:p>
        </w:tc>
        <w:tc>
          <w:tcPr>
            <w:tcW w:w="1985" w:type="dxa"/>
            <w:tcBorders>
              <w:top w:val="nil"/>
              <w:left w:val="nil"/>
              <w:bottom w:val="single" w:color="auto" w:sz="4" w:space="0"/>
              <w:right w:val="single" w:color="auto" w:sz="4" w:space="0"/>
            </w:tcBorders>
            <w:noWrap/>
            <w:vAlign w:val="bottom"/>
          </w:tcPr>
          <w:p w14:paraId="2CEE2C6E">
            <w:pPr>
              <w:widowControl/>
              <w:jc w:val="left"/>
              <w:rPr>
                <w:rFonts w:ascii="等线" w:hAnsi="等线" w:eastAsia="等线" w:cs="宋体"/>
                <w:color w:val="000000"/>
                <w:kern w:val="0"/>
                <w:szCs w:val="21"/>
              </w:rPr>
            </w:pPr>
            <w:r>
              <w:rPr>
                <w:rFonts w:hint="eastAsia" w:ascii="等线" w:hAnsi="等线" w:eastAsia="等线" w:cs="宋体"/>
                <w:color w:val="000000"/>
                <w:kern w:val="0"/>
                <w:szCs w:val="21"/>
              </w:rPr>
              <w:t>1000~3000元</w:t>
            </w:r>
          </w:p>
        </w:tc>
      </w:tr>
      <w:tr w14:paraId="66C23D08">
        <w:tblPrEx>
          <w:tblCellMar>
            <w:top w:w="0" w:type="dxa"/>
            <w:left w:w="108" w:type="dxa"/>
            <w:bottom w:w="0" w:type="dxa"/>
            <w:right w:w="108" w:type="dxa"/>
          </w:tblCellMar>
        </w:tblPrEx>
        <w:trPr>
          <w:trHeight w:val="276" w:hRule="atLeast"/>
        </w:trPr>
        <w:tc>
          <w:tcPr>
            <w:tcW w:w="851" w:type="dxa"/>
            <w:tcBorders>
              <w:top w:val="nil"/>
              <w:left w:val="single" w:color="auto" w:sz="4" w:space="0"/>
              <w:bottom w:val="single" w:color="auto" w:sz="4" w:space="0"/>
              <w:right w:val="single" w:color="auto" w:sz="4" w:space="0"/>
            </w:tcBorders>
            <w:noWrap/>
            <w:vAlign w:val="center"/>
          </w:tcPr>
          <w:p w14:paraId="50419B9C">
            <w:pPr>
              <w:widowControl/>
              <w:jc w:val="center"/>
              <w:rPr>
                <w:rFonts w:ascii="等线" w:hAnsi="等线" w:eastAsia="等线" w:cs="宋体"/>
                <w:color w:val="000000"/>
                <w:kern w:val="0"/>
                <w:szCs w:val="21"/>
              </w:rPr>
            </w:pPr>
            <w:r>
              <w:rPr>
                <w:rFonts w:hint="eastAsia" w:ascii="等线" w:hAnsi="等线" w:eastAsia="等线" w:cs="宋体"/>
                <w:color w:val="000000"/>
                <w:kern w:val="0"/>
                <w:szCs w:val="21"/>
              </w:rPr>
              <w:t>26</w:t>
            </w:r>
          </w:p>
        </w:tc>
        <w:tc>
          <w:tcPr>
            <w:tcW w:w="1069" w:type="dxa"/>
            <w:vMerge w:val="continue"/>
            <w:tcBorders>
              <w:top w:val="nil"/>
              <w:left w:val="single" w:color="auto" w:sz="4" w:space="0"/>
              <w:bottom w:val="single" w:color="auto" w:sz="4" w:space="0"/>
              <w:right w:val="single" w:color="auto" w:sz="4" w:space="0"/>
            </w:tcBorders>
            <w:vAlign w:val="center"/>
          </w:tcPr>
          <w:p w14:paraId="12CADE63">
            <w:pPr>
              <w:widowControl/>
              <w:jc w:val="left"/>
              <w:rPr>
                <w:rFonts w:ascii="等线" w:hAnsi="等线" w:eastAsia="等线" w:cs="宋体"/>
                <w:color w:val="000000"/>
                <w:kern w:val="0"/>
                <w:szCs w:val="21"/>
              </w:rPr>
            </w:pPr>
          </w:p>
        </w:tc>
        <w:tc>
          <w:tcPr>
            <w:tcW w:w="4459" w:type="dxa"/>
            <w:tcBorders>
              <w:top w:val="nil"/>
              <w:left w:val="nil"/>
              <w:bottom w:val="single" w:color="auto" w:sz="4" w:space="0"/>
              <w:right w:val="single" w:color="auto" w:sz="4" w:space="0"/>
            </w:tcBorders>
            <w:vAlign w:val="bottom"/>
          </w:tcPr>
          <w:p w14:paraId="3EBFF430">
            <w:pPr>
              <w:widowControl/>
              <w:jc w:val="left"/>
              <w:rPr>
                <w:rFonts w:ascii="等线" w:hAnsi="等线" w:eastAsia="等线" w:cs="宋体"/>
                <w:color w:val="000000"/>
                <w:kern w:val="0"/>
                <w:szCs w:val="21"/>
              </w:rPr>
            </w:pPr>
            <w:r>
              <w:rPr>
                <w:rFonts w:hint="eastAsia" w:ascii="等线" w:hAnsi="等线" w:eastAsia="等线" w:cs="宋体"/>
                <w:color w:val="000000"/>
                <w:kern w:val="0"/>
                <w:szCs w:val="21"/>
              </w:rPr>
              <w:t>野蛮施工造成后果的</w:t>
            </w:r>
          </w:p>
        </w:tc>
        <w:tc>
          <w:tcPr>
            <w:tcW w:w="1985" w:type="dxa"/>
            <w:tcBorders>
              <w:top w:val="nil"/>
              <w:left w:val="nil"/>
              <w:bottom w:val="single" w:color="auto" w:sz="4" w:space="0"/>
              <w:right w:val="single" w:color="auto" w:sz="4" w:space="0"/>
            </w:tcBorders>
            <w:noWrap/>
            <w:vAlign w:val="bottom"/>
          </w:tcPr>
          <w:p w14:paraId="1FD27B50">
            <w:pPr>
              <w:widowControl/>
              <w:jc w:val="left"/>
              <w:rPr>
                <w:rFonts w:ascii="等线" w:hAnsi="等线" w:eastAsia="等线" w:cs="宋体"/>
                <w:color w:val="000000"/>
                <w:kern w:val="0"/>
                <w:szCs w:val="21"/>
              </w:rPr>
            </w:pPr>
            <w:r>
              <w:rPr>
                <w:rFonts w:hint="eastAsia" w:ascii="等线" w:hAnsi="等线" w:eastAsia="等线" w:cs="宋体"/>
                <w:color w:val="000000"/>
                <w:kern w:val="0"/>
                <w:szCs w:val="21"/>
              </w:rPr>
              <w:t>1000~3000元</w:t>
            </w:r>
          </w:p>
        </w:tc>
      </w:tr>
      <w:tr w14:paraId="33D83FD2">
        <w:tblPrEx>
          <w:tblCellMar>
            <w:top w:w="0" w:type="dxa"/>
            <w:left w:w="108" w:type="dxa"/>
            <w:bottom w:w="0" w:type="dxa"/>
            <w:right w:w="108" w:type="dxa"/>
          </w:tblCellMar>
        </w:tblPrEx>
        <w:trPr>
          <w:trHeight w:val="552" w:hRule="atLeast"/>
        </w:trPr>
        <w:tc>
          <w:tcPr>
            <w:tcW w:w="851" w:type="dxa"/>
            <w:tcBorders>
              <w:top w:val="nil"/>
              <w:left w:val="single" w:color="auto" w:sz="4" w:space="0"/>
              <w:bottom w:val="single" w:color="auto" w:sz="4" w:space="0"/>
              <w:right w:val="single" w:color="auto" w:sz="4" w:space="0"/>
            </w:tcBorders>
            <w:noWrap/>
            <w:vAlign w:val="center"/>
          </w:tcPr>
          <w:p w14:paraId="32A45B36">
            <w:pPr>
              <w:widowControl/>
              <w:jc w:val="center"/>
              <w:rPr>
                <w:rFonts w:ascii="等线" w:hAnsi="等线" w:eastAsia="等线" w:cs="宋体"/>
                <w:color w:val="000000"/>
                <w:kern w:val="0"/>
                <w:szCs w:val="21"/>
              </w:rPr>
            </w:pPr>
            <w:r>
              <w:rPr>
                <w:rFonts w:hint="eastAsia" w:ascii="等线" w:hAnsi="等线" w:eastAsia="等线" w:cs="宋体"/>
                <w:color w:val="000000"/>
                <w:kern w:val="0"/>
                <w:szCs w:val="21"/>
              </w:rPr>
              <w:t>27</w:t>
            </w:r>
          </w:p>
        </w:tc>
        <w:tc>
          <w:tcPr>
            <w:tcW w:w="1069" w:type="dxa"/>
            <w:vMerge w:val="continue"/>
            <w:tcBorders>
              <w:top w:val="nil"/>
              <w:left w:val="single" w:color="auto" w:sz="4" w:space="0"/>
              <w:bottom w:val="single" w:color="auto" w:sz="4" w:space="0"/>
              <w:right w:val="single" w:color="auto" w:sz="4" w:space="0"/>
            </w:tcBorders>
            <w:vAlign w:val="center"/>
          </w:tcPr>
          <w:p w14:paraId="3AD16310">
            <w:pPr>
              <w:widowControl/>
              <w:jc w:val="left"/>
              <w:rPr>
                <w:rFonts w:ascii="等线" w:hAnsi="等线" w:eastAsia="等线" w:cs="宋体"/>
                <w:color w:val="000000"/>
                <w:kern w:val="0"/>
                <w:szCs w:val="21"/>
              </w:rPr>
            </w:pPr>
          </w:p>
        </w:tc>
        <w:tc>
          <w:tcPr>
            <w:tcW w:w="4459" w:type="dxa"/>
            <w:tcBorders>
              <w:top w:val="nil"/>
              <w:left w:val="nil"/>
              <w:bottom w:val="single" w:color="auto" w:sz="4" w:space="0"/>
              <w:right w:val="single" w:color="auto" w:sz="4" w:space="0"/>
            </w:tcBorders>
            <w:vAlign w:val="bottom"/>
          </w:tcPr>
          <w:p w14:paraId="2F06C4D6">
            <w:pPr>
              <w:widowControl/>
              <w:jc w:val="left"/>
              <w:rPr>
                <w:rFonts w:ascii="等线" w:hAnsi="等线" w:eastAsia="等线" w:cs="宋体"/>
                <w:color w:val="000000"/>
                <w:kern w:val="0"/>
                <w:szCs w:val="21"/>
              </w:rPr>
            </w:pPr>
            <w:r>
              <w:rPr>
                <w:rFonts w:hint="eastAsia" w:ascii="等线" w:hAnsi="等线" w:eastAsia="等线" w:cs="宋体"/>
                <w:color w:val="000000"/>
                <w:kern w:val="0"/>
                <w:szCs w:val="21"/>
              </w:rPr>
              <w:t>发生质量问题，隐瞒不报或未经监理单位许可，擅自掩盖或处理</w:t>
            </w:r>
          </w:p>
        </w:tc>
        <w:tc>
          <w:tcPr>
            <w:tcW w:w="1985" w:type="dxa"/>
            <w:tcBorders>
              <w:top w:val="nil"/>
              <w:left w:val="nil"/>
              <w:bottom w:val="single" w:color="auto" w:sz="4" w:space="0"/>
              <w:right w:val="single" w:color="auto" w:sz="4" w:space="0"/>
            </w:tcBorders>
            <w:noWrap/>
            <w:vAlign w:val="bottom"/>
          </w:tcPr>
          <w:p w14:paraId="2B1EA5FC">
            <w:pPr>
              <w:widowControl/>
              <w:jc w:val="left"/>
              <w:rPr>
                <w:rFonts w:ascii="等线" w:hAnsi="等线" w:eastAsia="等线" w:cs="宋体"/>
                <w:color w:val="000000"/>
                <w:kern w:val="0"/>
                <w:szCs w:val="21"/>
              </w:rPr>
            </w:pPr>
            <w:r>
              <w:rPr>
                <w:rFonts w:hint="eastAsia" w:ascii="等线" w:hAnsi="等线" w:eastAsia="等线" w:cs="宋体"/>
                <w:color w:val="000000"/>
                <w:kern w:val="0"/>
                <w:szCs w:val="21"/>
              </w:rPr>
              <w:t>1000~3000元</w:t>
            </w:r>
          </w:p>
        </w:tc>
      </w:tr>
      <w:tr w14:paraId="1E9D30EE">
        <w:tblPrEx>
          <w:tblCellMar>
            <w:top w:w="0" w:type="dxa"/>
            <w:left w:w="108" w:type="dxa"/>
            <w:bottom w:w="0" w:type="dxa"/>
            <w:right w:w="108" w:type="dxa"/>
          </w:tblCellMar>
        </w:tblPrEx>
        <w:trPr>
          <w:trHeight w:val="276" w:hRule="atLeast"/>
        </w:trPr>
        <w:tc>
          <w:tcPr>
            <w:tcW w:w="851" w:type="dxa"/>
            <w:tcBorders>
              <w:top w:val="nil"/>
              <w:left w:val="single" w:color="auto" w:sz="4" w:space="0"/>
              <w:bottom w:val="single" w:color="auto" w:sz="4" w:space="0"/>
              <w:right w:val="single" w:color="auto" w:sz="4" w:space="0"/>
            </w:tcBorders>
            <w:noWrap/>
            <w:vAlign w:val="center"/>
          </w:tcPr>
          <w:p w14:paraId="705B47D5">
            <w:pPr>
              <w:widowControl/>
              <w:jc w:val="center"/>
              <w:rPr>
                <w:rFonts w:ascii="等线" w:hAnsi="等线" w:eastAsia="等线" w:cs="宋体"/>
                <w:color w:val="000000"/>
                <w:kern w:val="0"/>
                <w:szCs w:val="21"/>
              </w:rPr>
            </w:pPr>
            <w:r>
              <w:rPr>
                <w:rFonts w:hint="eastAsia" w:ascii="等线" w:hAnsi="等线" w:eastAsia="等线" w:cs="宋体"/>
                <w:color w:val="000000"/>
                <w:kern w:val="0"/>
                <w:szCs w:val="21"/>
              </w:rPr>
              <w:t>28</w:t>
            </w:r>
          </w:p>
        </w:tc>
        <w:tc>
          <w:tcPr>
            <w:tcW w:w="1069" w:type="dxa"/>
            <w:vMerge w:val="continue"/>
            <w:tcBorders>
              <w:top w:val="nil"/>
              <w:left w:val="single" w:color="auto" w:sz="4" w:space="0"/>
              <w:bottom w:val="single" w:color="auto" w:sz="4" w:space="0"/>
              <w:right w:val="single" w:color="auto" w:sz="4" w:space="0"/>
            </w:tcBorders>
            <w:vAlign w:val="center"/>
          </w:tcPr>
          <w:p w14:paraId="7EF696F5">
            <w:pPr>
              <w:widowControl/>
              <w:jc w:val="left"/>
              <w:rPr>
                <w:rFonts w:ascii="等线" w:hAnsi="等线" w:eastAsia="等线" w:cs="宋体"/>
                <w:color w:val="000000"/>
                <w:kern w:val="0"/>
                <w:szCs w:val="21"/>
              </w:rPr>
            </w:pPr>
          </w:p>
        </w:tc>
        <w:tc>
          <w:tcPr>
            <w:tcW w:w="4459" w:type="dxa"/>
            <w:tcBorders>
              <w:top w:val="nil"/>
              <w:left w:val="nil"/>
              <w:bottom w:val="single" w:color="auto" w:sz="4" w:space="0"/>
              <w:right w:val="single" w:color="auto" w:sz="4" w:space="0"/>
            </w:tcBorders>
            <w:vAlign w:val="bottom"/>
          </w:tcPr>
          <w:p w14:paraId="2527BA4E">
            <w:pPr>
              <w:widowControl/>
              <w:jc w:val="left"/>
              <w:rPr>
                <w:rFonts w:ascii="等线" w:hAnsi="等线" w:eastAsia="等线" w:cs="宋体"/>
                <w:color w:val="000000"/>
                <w:kern w:val="0"/>
                <w:szCs w:val="21"/>
              </w:rPr>
            </w:pPr>
            <w:r>
              <w:rPr>
                <w:rFonts w:hint="eastAsia" w:ascii="等线" w:hAnsi="等线" w:eastAsia="等线" w:cs="宋体"/>
                <w:color w:val="000000"/>
                <w:kern w:val="0"/>
                <w:szCs w:val="21"/>
              </w:rPr>
              <w:t>对重复出现类似质量问题，没有得到有效改进</w:t>
            </w:r>
          </w:p>
        </w:tc>
        <w:tc>
          <w:tcPr>
            <w:tcW w:w="1985" w:type="dxa"/>
            <w:tcBorders>
              <w:top w:val="nil"/>
              <w:left w:val="nil"/>
              <w:bottom w:val="single" w:color="auto" w:sz="4" w:space="0"/>
              <w:right w:val="single" w:color="auto" w:sz="4" w:space="0"/>
            </w:tcBorders>
            <w:noWrap/>
            <w:vAlign w:val="bottom"/>
          </w:tcPr>
          <w:p w14:paraId="7A93CF3B">
            <w:pPr>
              <w:widowControl/>
              <w:jc w:val="left"/>
              <w:rPr>
                <w:rFonts w:ascii="等线" w:hAnsi="等线" w:eastAsia="等线" w:cs="宋体"/>
                <w:color w:val="000000"/>
                <w:kern w:val="0"/>
                <w:szCs w:val="21"/>
              </w:rPr>
            </w:pPr>
            <w:r>
              <w:rPr>
                <w:rFonts w:hint="eastAsia" w:ascii="等线" w:hAnsi="等线" w:eastAsia="等线" w:cs="宋体"/>
                <w:color w:val="000000"/>
                <w:kern w:val="0"/>
                <w:szCs w:val="21"/>
              </w:rPr>
              <w:t>3000~5000元</w:t>
            </w:r>
          </w:p>
        </w:tc>
      </w:tr>
      <w:tr w14:paraId="5F0CD110">
        <w:tblPrEx>
          <w:tblCellMar>
            <w:top w:w="0" w:type="dxa"/>
            <w:left w:w="108" w:type="dxa"/>
            <w:bottom w:w="0" w:type="dxa"/>
            <w:right w:w="108" w:type="dxa"/>
          </w:tblCellMar>
        </w:tblPrEx>
        <w:trPr>
          <w:trHeight w:val="552" w:hRule="atLeast"/>
        </w:trPr>
        <w:tc>
          <w:tcPr>
            <w:tcW w:w="851" w:type="dxa"/>
            <w:tcBorders>
              <w:top w:val="nil"/>
              <w:left w:val="single" w:color="auto" w:sz="4" w:space="0"/>
              <w:bottom w:val="single" w:color="auto" w:sz="4" w:space="0"/>
              <w:right w:val="single" w:color="auto" w:sz="4" w:space="0"/>
            </w:tcBorders>
            <w:noWrap/>
            <w:vAlign w:val="center"/>
          </w:tcPr>
          <w:p w14:paraId="1C995E14">
            <w:pPr>
              <w:widowControl/>
              <w:jc w:val="center"/>
              <w:rPr>
                <w:rFonts w:ascii="等线" w:hAnsi="等线" w:eastAsia="等线" w:cs="宋体"/>
                <w:color w:val="000000"/>
                <w:kern w:val="0"/>
                <w:szCs w:val="21"/>
              </w:rPr>
            </w:pPr>
            <w:r>
              <w:rPr>
                <w:rFonts w:hint="eastAsia" w:ascii="等线" w:hAnsi="等线" w:eastAsia="等线" w:cs="宋体"/>
                <w:color w:val="000000"/>
                <w:kern w:val="0"/>
                <w:szCs w:val="21"/>
              </w:rPr>
              <w:t>29</w:t>
            </w:r>
          </w:p>
        </w:tc>
        <w:tc>
          <w:tcPr>
            <w:tcW w:w="1069" w:type="dxa"/>
            <w:vMerge w:val="continue"/>
            <w:tcBorders>
              <w:top w:val="nil"/>
              <w:left w:val="single" w:color="auto" w:sz="4" w:space="0"/>
              <w:bottom w:val="single" w:color="auto" w:sz="4" w:space="0"/>
              <w:right w:val="single" w:color="auto" w:sz="4" w:space="0"/>
            </w:tcBorders>
            <w:vAlign w:val="center"/>
          </w:tcPr>
          <w:p w14:paraId="1BE3A01B">
            <w:pPr>
              <w:widowControl/>
              <w:jc w:val="left"/>
              <w:rPr>
                <w:rFonts w:ascii="等线" w:hAnsi="等线" w:eastAsia="等线" w:cs="宋体"/>
                <w:color w:val="000000"/>
                <w:kern w:val="0"/>
                <w:szCs w:val="21"/>
              </w:rPr>
            </w:pPr>
          </w:p>
        </w:tc>
        <w:tc>
          <w:tcPr>
            <w:tcW w:w="4459" w:type="dxa"/>
            <w:tcBorders>
              <w:top w:val="nil"/>
              <w:left w:val="nil"/>
              <w:bottom w:val="single" w:color="auto" w:sz="4" w:space="0"/>
              <w:right w:val="single" w:color="auto" w:sz="4" w:space="0"/>
            </w:tcBorders>
            <w:vAlign w:val="bottom"/>
          </w:tcPr>
          <w:p w14:paraId="147D01E6">
            <w:pPr>
              <w:widowControl/>
              <w:jc w:val="left"/>
              <w:rPr>
                <w:rFonts w:ascii="等线" w:hAnsi="等线" w:eastAsia="等线" w:cs="宋体"/>
                <w:color w:val="000000"/>
                <w:kern w:val="0"/>
                <w:szCs w:val="21"/>
              </w:rPr>
            </w:pPr>
            <w:r>
              <w:rPr>
                <w:rFonts w:hint="eastAsia" w:ascii="等线" w:hAnsi="等线" w:eastAsia="等线" w:cs="宋体"/>
                <w:color w:val="000000"/>
                <w:kern w:val="0"/>
                <w:szCs w:val="21"/>
              </w:rPr>
              <w:t>在施工过程中不服从工程部业主代表、监理工程师的正确指导，态度恶劣的</w:t>
            </w:r>
          </w:p>
        </w:tc>
        <w:tc>
          <w:tcPr>
            <w:tcW w:w="1985" w:type="dxa"/>
            <w:tcBorders>
              <w:top w:val="nil"/>
              <w:left w:val="nil"/>
              <w:bottom w:val="single" w:color="auto" w:sz="4" w:space="0"/>
              <w:right w:val="single" w:color="auto" w:sz="4" w:space="0"/>
            </w:tcBorders>
            <w:noWrap/>
            <w:vAlign w:val="bottom"/>
          </w:tcPr>
          <w:p w14:paraId="30328FE5">
            <w:pPr>
              <w:widowControl/>
              <w:jc w:val="left"/>
              <w:rPr>
                <w:rFonts w:ascii="等线" w:hAnsi="等线" w:eastAsia="等线" w:cs="宋体"/>
                <w:color w:val="000000"/>
                <w:kern w:val="0"/>
                <w:szCs w:val="21"/>
              </w:rPr>
            </w:pPr>
            <w:r>
              <w:rPr>
                <w:rFonts w:hint="eastAsia" w:ascii="等线" w:hAnsi="等线" w:eastAsia="等线" w:cs="宋体"/>
                <w:color w:val="000000"/>
                <w:kern w:val="0"/>
                <w:szCs w:val="21"/>
              </w:rPr>
              <w:t>1000~3000元</w:t>
            </w:r>
          </w:p>
        </w:tc>
      </w:tr>
      <w:tr w14:paraId="22A247ED">
        <w:tblPrEx>
          <w:tblCellMar>
            <w:top w:w="0" w:type="dxa"/>
            <w:left w:w="108" w:type="dxa"/>
            <w:bottom w:w="0" w:type="dxa"/>
            <w:right w:w="108" w:type="dxa"/>
          </w:tblCellMar>
        </w:tblPrEx>
        <w:trPr>
          <w:trHeight w:val="276" w:hRule="atLeast"/>
        </w:trPr>
        <w:tc>
          <w:tcPr>
            <w:tcW w:w="851" w:type="dxa"/>
            <w:tcBorders>
              <w:top w:val="nil"/>
              <w:left w:val="single" w:color="auto" w:sz="4" w:space="0"/>
              <w:bottom w:val="single" w:color="auto" w:sz="4" w:space="0"/>
              <w:right w:val="single" w:color="auto" w:sz="4" w:space="0"/>
            </w:tcBorders>
            <w:noWrap/>
            <w:vAlign w:val="center"/>
          </w:tcPr>
          <w:p w14:paraId="5E53E48C">
            <w:pPr>
              <w:widowControl/>
              <w:jc w:val="center"/>
              <w:rPr>
                <w:rFonts w:ascii="等线" w:hAnsi="等线" w:eastAsia="等线" w:cs="宋体"/>
                <w:color w:val="000000"/>
                <w:kern w:val="0"/>
                <w:szCs w:val="21"/>
              </w:rPr>
            </w:pPr>
            <w:r>
              <w:rPr>
                <w:rFonts w:hint="eastAsia" w:ascii="等线" w:hAnsi="等线" w:eastAsia="等线" w:cs="宋体"/>
                <w:color w:val="000000"/>
                <w:kern w:val="0"/>
                <w:szCs w:val="21"/>
              </w:rPr>
              <w:t>30</w:t>
            </w:r>
          </w:p>
        </w:tc>
        <w:tc>
          <w:tcPr>
            <w:tcW w:w="1069" w:type="dxa"/>
            <w:vMerge w:val="restart"/>
            <w:tcBorders>
              <w:top w:val="nil"/>
              <w:left w:val="single" w:color="auto" w:sz="4" w:space="0"/>
              <w:bottom w:val="single" w:color="000000" w:sz="4" w:space="0"/>
              <w:right w:val="single" w:color="auto" w:sz="4" w:space="0"/>
            </w:tcBorders>
            <w:vAlign w:val="center"/>
          </w:tcPr>
          <w:p w14:paraId="0A59DC81">
            <w:pPr>
              <w:widowControl/>
              <w:jc w:val="center"/>
              <w:rPr>
                <w:rFonts w:ascii="等线" w:hAnsi="等线" w:eastAsia="等线" w:cs="宋体"/>
                <w:color w:val="000000"/>
                <w:kern w:val="0"/>
                <w:szCs w:val="21"/>
              </w:rPr>
            </w:pPr>
            <w:r>
              <w:rPr>
                <w:rFonts w:hint="eastAsia" w:ascii="等线" w:hAnsi="等线" w:eastAsia="等线" w:cs="宋体"/>
                <w:color w:val="000000"/>
                <w:kern w:val="0"/>
                <w:szCs w:val="21"/>
              </w:rPr>
              <w:t>成品保护</w:t>
            </w:r>
          </w:p>
        </w:tc>
        <w:tc>
          <w:tcPr>
            <w:tcW w:w="4459" w:type="dxa"/>
            <w:tcBorders>
              <w:top w:val="nil"/>
              <w:left w:val="nil"/>
              <w:bottom w:val="single" w:color="auto" w:sz="4" w:space="0"/>
              <w:right w:val="single" w:color="auto" w:sz="4" w:space="0"/>
            </w:tcBorders>
            <w:vAlign w:val="bottom"/>
          </w:tcPr>
          <w:p w14:paraId="22F861D1">
            <w:pPr>
              <w:widowControl/>
              <w:jc w:val="left"/>
              <w:rPr>
                <w:rFonts w:ascii="等线" w:hAnsi="等线" w:eastAsia="等线" w:cs="宋体"/>
                <w:color w:val="000000"/>
                <w:kern w:val="0"/>
                <w:szCs w:val="21"/>
              </w:rPr>
            </w:pPr>
            <w:r>
              <w:rPr>
                <w:rFonts w:hint="eastAsia" w:ascii="等线" w:hAnsi="等线" w:eastAsia="等线" w:cs="宋体"/>
                <w:color w:val="000000"/>
                <w:kern w:val="0"/>
                <w:szCs w:val="21"/>
              </w:rPr>
              <w:t>对野蛮施工，造成破坏的</w:t>
            </w:r>
          </w:p>
        </w:tc>
        <w:tc>
          <w:tcPr>
            <w:tcW w:w="1985" w:type="dxa"/>
            <w:tcBorders>
              <w:top w:val="nil"/>
              <w:left w:val="nil"/>
              <w:bottom w:val="single" w:color="auto" w:sz="4" w:space="0"/>
              <w:right w:val="single" w:color="auto" w:sz="4" w:space="0"/>
            </w:tcBorders>
            <w:noWrap/>
            <w:vAlign w:val="bottom"/>
          </w:tcPr>
          <w:p w14:paraId="238F8D22">
            <w:pPr>
              <w:widowControl/>
              <w:jc w:val="left"/>
              <w:rPr>
                <w:rFonts w:ascii="等线" w:hAnsi="等线" w:eastAsia="等线" w:cs="宋体"/>
                <w:color w:val="000000"/>
                <w:kern w:val="0"/>
                <w:szCs w:val="21"/>
              </w:rPr>
            </w:pPr>
            <w:r>
              <w:rPr>
                <w:rFonts w:hint="eastAsia" w:ascii="等线" w:hAnsi="等线" w:eastAsia="等线" w:cs="宋体"/>
                <w:color w:val="000000"/>
                <w:kern w:val="0"/>
                <w:szCs w:val="21"/>
              </w:rPr>
              <w:t>3000~10000元</w:t>
            </w:r>
          </w:p>
        </w:tc>
      </w:tr>
      <w:tr w14:paraId="750E664D">
        <w:tblPrEx>
          <w:tblCellMar>
            <w:top w:w="0" w:type="dxa"/>
            <w:left w:w="108" w:type="dxa"/>
            <w:bottom w:w="0" w:type="dxa"/>
            <w:right w:w="108" w:type="dxa"/>
          </w:tblCellMar>
        </w:tblPrEx>
        <w:trPr>
          <w:trHeight w:val="552" w:hRule="atLeast"/>
        </w:trPr>
        <w:tc>
          <w:tcPr>
            <w:tcW w:w="851" w:type="dxa"/>
            <w:tcBorders>
              <w:top w:val="nil"/>
              <w:left w:val="single" w:color="auto" w:sz="4" w:space="0"/>
              <w:bottom w:val="single" w:color="auto" w:sz="4" w:space="0"/>
              <w:right w:val="single" w:color="auto" w:sz="4" w:space="0"/>
            </w:tcBorders>
            <w:noWrap/>
            <w:vAlign w:val="center"/>
          </w:tcPr>
          <w:p w14:paraId="3BBF0C12">
            <w:pPr>
              <w:widowControl/>
              <w:jc w:val="center"/>
              <w:rPr>
                <w:rFonts w:ascii="等线" w:hAnsi="等线" w:eastAsia="等线" w:cs="宋体"/>
                <w:color w:val="000000"/>
                <w:kern w:val="0"/>
                <w:szCs w:val="21"/>
              </w:rPr>
            </w:pPr>
            <w:r>
              <w:rPr>
                <w:rFonts w:hint="eastAsia" w:ascii="等线" w:hAnsi="等线" w:eastAsia="等线" w:cs="宋体"/>
                <w:color w:val="000000"/>
                <w:kern w:val="0"/>
                <w:szCs w:val="21"/>
              </w:rPr>
              <w:t>31</w:t>
            </w:r>
          </w:p>
        </w:tc>
        <w:tc>
          <w:tcPr>
            <w:tcW w:w="1069" w:type="dxa"/>
            <w:vMerge w:val="continue"/>
            <w:tcBorders>
              <w:top w:val="nil"/>
              <w:left w:val="single" w:color="auto" w:sz="4" w:space="0"/>
              <w:bottom w:val="single" w:color="000000" w:sz="4" w:space="0"/>
              <w:right w:val="single" w:color="auto" w:sz="4" w:space="0"/>
            </w:tcBorders>
            <w:vAlign w:val="center"/>
          </w:tcPr>
          <w:p w14:paraId="6F43C7B6">
            <w:pPr>
              <w:widowControl/>
              <w:jc w:val="left"/>
              <w:rPr>
                <w:rFonts w:ascii="等线" w:hAnsi="等线" w:eastAsia="等线" w:cs="宋体"/>
                <w:color w:val="000000"/>
                <w:kern w:val="0"/>
                <w:szCs w:val="21"/>
              </w:rPr>
            </w:pPr>
          </w:p>
        </w:tc>
        <w:tc>
          <w:tcPr>
            <w:tcW w:w="4459" w:type="dxa"/>
            <w:tcBorders>
              <w:top w:val="nil"/>
              <w:left w:val="nil"/>
              <w:bottom w:val="single" w:color="auto" w:sz="4" w:space="0"/>
              <w:right w:val="single" w:color="auto" w:sz="4" w:space="0"/>
            </w:tcBorders>
            <w:vAlign w:val="bottom"/>
          </w:tcPr>
          <w:p w14:paraId="71FF40E1">
            <w:pPr>
              <w:widowControl/>
              <w:jc w:val="left"/>
              <w:rPr>
                <w:rFonts w:ascii="等线" w:hAnsi="等线" w:eastAsia="等线" w:cs="宋体"/>
                <w:color w:val="000000"/>
                <w:kern w:val="0"/>
                <w:szCs w:val="21"/>
              </w:rPr>
            </w:pPr>
            <w:r>
              <w:rPr>
                <w:rFonts w:hint="eastAsia" w:ascii="等线" w:hAnsi="等线" w:eastAsia="等线" w:cs="宋体"/>
                <w:color w:val="000000"/>
                <w:kern w:val="0"/>
                <w:szCs w:val="21"/>
              </w:rPr>
              <w:t>未落实成品保护交底、交接手续、设置警告、警示标识、围挡的</w:t>
            </w:r>
          </w:p>
        </w:tc>
        <w:tc>
          <w:tcPr>
            <w:tcW w:w="1985" w:type="dxa"/>
            <w:tcBorders>
              <w:top w:val="nil"/>
              <w:left w:val="nil"/>
              <w:bottom w:val="single" w:color="auto" w:sz="4" w:space="0"/>
              <w:right w:val="single" w:color="auto" w:sz="4" w:space="0"/>
            </w:tcBorders>
            <w:noWrap/>
            <w:vAlign w:val="bottom"/>
          </w:tcPr>
          <w:p w14:paraId="1555C3B2">
            <w:pPr>
              <w:widowControl/>
              <w:jc w:val="left"/>
              <w:rPr>
                <w:rFonts w:ascii="等线" w:hAnsi="等线" w:eastAsia="等线" w:cs="宋体"/>
                <w:color w:val="000000"/>
                <w:kern w:val="0"/>
                <w:szCs w:val="21"/>
              </w:rPr>
            </w:pPr>
            <w:r>
              <w:rPr>
                <w:rFonts w:hint="eastAsia" w:ascii="等线" w:hAnsi="等线" w:eastAsia="等线" w:cs="宋体"/>
                <w:color w:val="000000"/>
                <w:kern w:val="0"/>
                <w:szCs w:val="21"/>
              </w:rPr>
              <w:t>1000~3000元</w:t>
            </w:r>
          </w:p>
        </w:tc>
      </w:tr>
      <w:tr w14:paraId="59ADFF98">
        <w:tblPrEx>
          <w:tblCellMar>
            <w:top w:w="0" w:type="dxa"/>
            <w:left w:w="108" w:type="dxa"/>
            <w:bottom w:w="0" w:type="dxa"/>
            <w:right w:w="108" w:type="dxa"/>
          </w:tblCellMar>
        </w:tblPrEx>
        <w:trPr>
          <w:trHeight w:val="552" w:hRule="atLeast"/>
        </w:trPr>
        <w:tc>
          <w:tcPr>
            <w:tcW w:w="851" w:type="dxa"/>
            <w:tcBorders>
              <w:top w:val="nil"/>
              <w:left w:val="single" w:color="auto" w:sz="4" w:space="0"/>
              <w:bottom w:val="single" w:color="auto" w:sz="4" w:space="0"/>
              <w:right w:val="single" w:color="auto" w:sz="4" w:space="0"/>
            </w:tcBorders>
            <w:noWrap/>
            <w:vAlign w:val="center"/>
          </w:tcPr>
          <w:p w14:paraId="653BB99E">
            <w:pPr>
              <w:widowControl/>
              <w:jc w:val="center"/>
              <w:rPr>
                <w:rFonts w:ascii="等线" w:hAnsi="等线" w:eastAsia="等线" w:cs="宋体"/>
                <w:color w:val="000000"/>
                <w:kern w:val="0"/>
                <w:szCs w:val="21"/>
              </w:rPr>
            </w:pPr>
            <w:r>
              <w:rPr>
                <w:rFonts w:hint="eastAsia" w:ascii="等线" w:hAnsi="等线" w:eastAsia="等线" w:cs="宋体"/>
                <w:color w:val="000000"/>
                <w:kern w:val="0"/>
                <w:szCs w:val="21"/>
              </w:rPr>
              <w:t>32</w:t>
            </w:r>
          </w:p>
        </w:tc>
        <w:tc>
          <w:tcPr>
            <w:tcW w:w="1069" w:type="dxa"/>
            <w:vMerge w:val="continue"/>
            <w:tcBorders>
              <w:top w:val="nil"/>
              <w:left w:val="single" w:color="auto" w:sz="4" w:space="0"/>
              <w:bottom w:val="single" w:color="000000" w:sz="4" w:space="0"/>
              <w:right w:val="single" w:color="auto" w:sz="4" w:space="0"/>
            </w:tcBorders>
            <w:vAlign w:val="center"/>
          </w:tcPr>
          <w:p w14:paraId="05851E6F">
            <w:pPr>
              <w:widowControl/>
              <w:jc w:val="left"/>
              <w:rPr>
                <w:rFonts w:ascii="等线" w:hAnsi="等线" w:eastAsia="等线" w:cs="宋体"/>
                <w:color w:val="000000"/>
                <w:kern w:val="0"/>
                <w:szCs w:val="21"/>
              </w:rPr>
            </w:pPr>
          </w:p>
        </w:tc>
        <w:tc>
          <w:tcPr>
            <w:tcW w:w="4459" w:type="dxa"/>
            <w:tcBorders>
              <w:top w:val="nil"/>
              <w:left w:val="nil"/>
              <w:bottom w:val="single" w:color="auto" w:sz="4" w:space="0"/>
              <w:right w:val="single" w:color="auto" w:sz="4" w:space="0"/>
            </w:tcBorders>
            <w:vAlign w:val="bottom"/>
          </w:tcPr>
          <w:p w14:paraId="4C8CC9B3">
            <w:pPr>
              <w:widowControl/>
              <w:jc w:val="left"/>
              <w:rPr>
                <w:rFonts w:ascii="等线" w:hAnsi="等线" w:eastAsia="等线" w:cs="宋体"/>
                <w:color w:val="000000"/>
                <w:kern w:val="0"/>
                <w:szCs w:val="21"/>
              </w:rPr>
            </w:pPr>
            <w:r>
              <w:rPr>
                <w:rFonts w:hint="eastAsia" w:ascii="等线" w:hAnsi="等线" w:eastAsia="等线" w:cs="宋体"/>
                <w:color w:val="000000"/>
                <w:kern w:val="0"/>
                <w:szCs w:val="21"/>
              </w:rPr>
              <w:t>成品保护措施不力，造成成品损毁、破坏的，应赔偿损失并处责任单位违约金3000~10000元；</w:t>
            </w:r>
          </w:p>
        </w:tc>
        <w:tc>
          <w:tcPr>
            <w:tcW w:w="1985" w:type="dxa"/>
            <w:tcBorders>
              <w:top w:val="nil"/>
              <w:left w:val="nil"/>
              <w:bottom w:val="single" w:color="auto" w:sz="4" w:space="0"/>
              <w:right w:val="single" w:color="auto" w:sz="4" w:space="0"/>
            </w:tcBorders>
            <w:noWrap/>
            <w:vAlign w:val="bottom"/>
          </w:tcPr>
          <w:p w14:paraId="5A2C61B5">
            <w:pPr>
              <w:widowControl/>
              <w:jc w:val="left"/>
              <w:rPr>
                <w:rFonts w:ascii="等线" w:hAnsi="等线" w:eastAsia="等线" w:cs="宋体"/>
                <w:color w:val="000000"/>
                <w:kern w:val="0"/>
                <w:szCs w:val="21"/>
              </w:rPr>
            </w:pPr>
            <w:r>
              <w:rPr>
                <w:rFonts w:hint="eastAsia" w:ascii="等线" w:hAnsi="等线" w:eastAsia="等线" w:cs="宋体"/>
                <w:color w:val="000000"/>
                <w:kern w:val="0"/>
                <w:szCs w:val="21"/>
              </w:rPr>
              <w:t>3000~10000元</w:t>
            </w:r>
          </w:p>
        </w:tc>
      </w:tr>
      <w:tr w14:paraId="73A41E02">
        <w:tblPrEx>
          <w:tblCellMar>
            <w:top w:w="0" w:type="dxa"/>
            <w:left w:w="108" w:type="dxa"/>
            <w:bottom w:w="0" w:type="dxa"/>
            <w:right w:w="108" w:type="dxa"/>
          </w:tblCellMar>
        </w:tblPrEx>
        <w:trPr>
          <w:trHeight w:val="828" w:hRule="atLeast"/>
        </w:trPr>
        <w:tc>
          <w:tcPr>
            <w:tcW w:w="851" w:type="dxa"/>
            <w:tcBorders>
              <w:top w:val="nil"/>
              <w:left w:val="single" w:color="auto" w:sz="4" w:space="0"/>
              <w:bottom w:val="single" w:color="auto" w:sz="4" w:space="0"/>
              <w:right w:val="single" w:color="auto" w:sz="4" w:space="0"/>
            </w:tcBorders>
            <w:noWrap/>
            <w:vAlign w:val="center"/>
          </w:tcPr>
          <w:p w14:paraId="1001080B">
            <w:pPr>
              <w:widowControl/>
              <w:jc w:val="center"/>
              <w:rPr>
                <w:rFonts w:ascii="等线" w:hAnsi="等线" w:eastAsia="等线" w:cs="宋体"/>
                <w:color w:val="000000"/>
                <w:kern w:val="0"/>
                <w:szCs w:val="21"/>
              </w:rPr>
            </w:pPr>
            <w:r>
              <w:rPr>
                <w:rFonts w:hint="eastAsia" w:ascii="等线" w:hAnsi="等线" w:eastAsia="等线" w:cs="宋体"/>
                <w:color w:val="000000"/>
                <w:kern w:val="0"/>
                <w:szCs w:val="21"/>
              </w:rPr>
              <w:t>33</w:t>
            </w:r>
          </w:p>
        </w:tc>
        <w:tc>
          <w:tcPr>
            <w:tcW w:w="1069" w:type="dxa"/>
            <w:vMerge w:val="continue"/>
            <w:tcBorders>
              <w:top w:val="nil"/>
              <w:left w:val="single" w:color="auto" w:sz="4" w:space="0"/>
              <w:bottom w:val="single" w:color="000000" w:sz="4" w:space="0"/>
              <w:right w:val="single" w:color="auto" w:sz="4" w:space="0"/>
            </w:tcBorders>
            <w:vAlign w:val="center"/>
          </w:tcPr>
          <w:p w14:paraId="6502CD99">
            <w:pPr>
              <w:widowControl/>
              <w:jc w:val="left"/>
              <w:rPr>
                <w:rFonts w:ascii="等线" w:hAnsi="等线" w:eastAsia="等线" w:cs="宋体"/>
                <w:color w:val="000000"/>
                <w:kern w:val="0"/>
                <w:szCs w:val="21"/>
              </w:rPr>
            </w:pPr>
          </w:p>
        </w:tc>
        <w:tc>
          <w:tcPr>
            <w:tcW w:w="4459" w:type="dxa"/>
            <w:tcBorders>
              <w:top w:val="nil"/>
              <w:left w:val="nil"/>
              <w:bottom w:val="single" w:color="auto" w:sz="4" w:space="0"/>
              <w:right w:val="single" w:color="auto" w:sz="4" w:space="0"/>
            </w:tcBorders>
            <w:vAlign w:val="bottom"/>
          </w:tcPr>
          <w:p w14:paraId="2399FCA7">
            <w:pPr>
              <w:widowControl/>
              <w:jc w:val="left"/>
              <w:rPr>
                <w:rFonts w:ascii="等线" w:hAnsi="等线" w:eastAsia="等线" w:cs="宋体"/>
                <w:color w:val="000000"/>
                <w:kern w:val="0"/>
                <w:szCs w:val="21"/>
              </w:rPr>
            </w:pPr>
            <w:r>
              <w:rPr>
                <w:rFonts w:hint="eastAsia" w:ascii="等线" w:hAnsi="等线" w:eastAsia="等线" w:cs="宋体"/>
                <w:color w:val="000000"/>
                <w:kern w:val="0"/>
                <w:szCs w:val="21"/>
              </w:rPr>
              <w:t>完工交接前，未尽到检查责任，发生成品损毁、破坏的，由原施工单位负责修复，处责任单位违约金3000~10000元。</w:t>
            </w:r>
          </w:p>
        </w:tc>
        <w:tc>
          <w:tcPr>
            <w:tcW w:w="1985" w:type="dxa"/>
            <w:tcBorders>
              <w:top w:val="nil"/>
              <w:left w:val="nil"/>
              <w:bottom w:val="single" w:color="auto" w:sz="4" w:space="0"/>
              <w:right w:val="single" w:color="auto" w:sz="4" w:space="0"/>
            </w:tcBorders>
            <w:noWrap/>
            <w:vAlign w:val="bottom"/>
          </w:tcPr>
          <w:p w14:paraId="4F45C278">
            <w:pPr>
              <w:widowControl/>
              <w:jc w:val="left"/>
              <w:rPr>
                <w:rFonts w:ascii="等线" w:hAnsi="等线" w:eastAsia="等线" w:cs="宋体"/>
                <w:color w:val="000000"/>
                <w:kern w:val="0"/>
                <w:szCs w:val="21"/>
              </w:rPr>
            </w:pPr>
            <w:r>
              <w:rPr>
                <w:rFonts w:hint="eastAsia" w:ascii="等线" w:hAnsi="等线" w:eastAsia="等线" w:cs="宋体"/>
                <w:color w:val="000000"/>
                <w:kern w:val="0"/>
                <w:szCs w:val="21"/>
              </w:rPr>
              <w:t>3000~10000元</w:t>
            </w:r>
          </w:p>
        </w:tc>
      </w:tr>
    </w:tbl>
    <w:p w14:paraId="3E2193B8"/>
    <w:p w14:paraId="71710902"/>
    <w:p w14:paraId="5AE5E520"/>
    <w:p w14:paraId="4E94DF82"/>
    <w:p w14:paraId="5753B541"/>
    <w:p w14:paraId="4637FA8D"/>
    <w:p w14:paraId="36EBD2EA"/>
    <w:p w14:paraId="08F22253"/>
    <w:p w14:paraId="3906875E"/>
    <w:p w14:paraId="3ECA4A1C"/>
    <w:p w14:paraId="14281EA9"/>
    <w:p w14:paraId="4F426099"/>
    <w:p w14:paraId="6DCCDA35"/>
    <w:p w14:paraId="609F1EC3"/>
    <w:p w14:paraId="34B56850"/>
    <w:p w14:paraId="07FA9ED1"/>
    <w:p w14:paraId="64DCE63B"/>
    <w:p w14:paraId="29157D12"/>
    <w:p w14:paraId="2D42A47A"/>
    <w:p w14:paraId="56046229"/>
    <w:p w14:paraId="529AB891">
      <w:pPr>
        <w:jc w:val="left"/>
        <w:rPr>
          <w:sz w:val="28"/>
          <w:szCs w:val="28"/>
        </w:rPr>
      </w:pPr>
      <w:r>
        <w:br w:type="page"/>
      </w:r>
      <w:r>
        <w:rPr>
          <w:rFonts w:hint="eastAsia"/>
        </w:rPr>
        <w:t>附表2</w:t>
      </w:r>
    </w:p>
    <w:p w14:paraId="5A41B538">
      <w:pPr>
        <w:jc w:val="center"/>
        <w:rPr>
          <w:rFonts w:ascii="黑体" w:hAnsi="黑体" w:eastAsia="黑体"/>
          <w:sz w:val="32"/>
          <w:szCs w:val="32"/>
        </w:rPr>
      </w:pPr>
      <w:r>
        <w:rPr>
          <w:rFonts w:hint="eastAsia" w:ascii="黑体" w:hAnsi="黑体" w:eastAsia="黑体"/>
          <w:sz w:val="32"/>
          <w:szCs w:val="32"/>
        </w:rPr>
        <w:t>质量违约函</w:t>
      </w:r>
    </w:p>
    <w:p w14:paraId="753FD0C5">
      <w:pPr>
        <w:jc w:val="left"/>
        <w:rPr>
          <w:sz w:val="28"/>
          <w:szCs w:val="28"/>
        </w:rPr>
      </w:pPr>
      <w:r>
        <w:rPr>
          <w:rFonts w:hint="eastAsia"/>
          <w:sz w:val="28"/>
          <w:szCs w:val="28"/>
          <w:u w:val="single"/>
        </w:rPr>
        <w:t>XXXX公司</w:t>
      </w:r>
      <w:r>
        <w:rPr>
          <w:rFonts w:hint="eastAsia"/>
          <w:sz w:val="28"/>
          <w:szCs w:val="28"/>
        </w:rPr>
        <w:t>：</w:t>
      </w:r>
    </w:p>
    <w:p w14:paraId="123066DD">
      <w:pPr>
        <w:ind w:firstLine="560" w:firstLineChars="200"/>
        <w:jc w:val="left"/>
        <w:rPr>
          <w:sz w:val="28"/>
          <w:szCs w:val="28"/>
        </w:rPr>
      </w:pPr>
      <w:r>
        <w:rPr>
          <w:rFonts w:hint="eastAsia"/>
          <w:sz w:val="28"/>
          <w:szCs w:val="28"/>
        </w:rPr>
        <w:t>你单位人员在我公司XX年X月施工中存在如下违反质量管理规定的行为，按照双方施工承包合同和协议，相关处理如下：</w:t>
      </w:r>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89"/>
        <w:gridCol w:w="3402"/>
        <w:gridCol w:w="2205"/>
      </w:tblGrid>
      <w:tr w14:paraId="3BC8F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vAlign w:val="center"/>
          </w:tcPr>
          <w:p w14:paraId="64A131A8">
            <w:pPr>
              <w:widowControl/>
              <w:jc w:val="center"/>
              <w:rPr>
                <w:rFonts w:ascii="等线" w:hAnsi="等线" w:eastAsia="等线"/>
                <w:color w:val="000000"/>
                <w:sz w:val="28"/>
                <w:szCs w:val="28"/>
              </w:rPr>
            </w:pPr>
            <w:r>
              <w:rPr>
                <w:rFonts w:hint="eastAsia" w:ascii="等线" w:hAnsi="等线" w:eastAsia="等线"/>
                <w:color w:val="000000"/>
                <w:sz w:val="28"/>
                <w:szCs w:val="28"/>
              </w:rPr>
              <w:t>事件经过</w:t>
            </w:r>
          </w:p>
        </w:tc>
        <w:tc>
          <w:tcPr>
            <w:tcW w:w="3402" w:type="dxa"/>
            <w:vAlign w:val="center"/>
          </w:tcPr>
          <w:p w14:paraId="74FB41D3">
            <w:pPr>
              <w:jc w:val="center"/>
              <w:rPr>
                <w:rFonts w:ascii="等线" w:hAnsi="等线" w:eastAsia="等线"/>
                <w:color w:val="000000"/>
                <w:sz w:val="28"/>
                <w:szCs w:val="28"/>
              </w:rPr>
            </w:pPr>
            <w:r>
              <w:rPr>
                <w:rFonts w:hint="eastAsia" w:ascii="等线" w:hAnsi="等线" w:eastAsia="等线"/>
                <w:color w:val="000000"/>
                <w:sz w:val="28"/>
                <w:szCs w:val="28"/>
              </w:rPr>
              <w:t>照 片</w:t>
            </w:r>
          </w:p>
        </w:tc>
        <w:tc>
          <w:tcPr>
            <w:tcW w:w="2205" w:type="dxa"/>
            <w:vAlign w:val="center"/>
          </w:tcPr>
          <w:p w14:paraId="3E200E33">
            <w:pPr>
              <w:jc w:val="center"/>
              <w:rPr>
                <w:rFonts w:ascii="等线" w:hAnsi="等线" w:eastAsia="等线"/>
                <w:color w:val="000000"/>
                <w:sz w:val="28"/>
                <w:szCs w:val="28"/>
              </w:rPr>
            </w:pPr>
            <w:r>
              <w:rPr>
                <w:rFonts w:hint="eastAsia" w:ascii="等线" w:hAnsi="等线" w:eastAsia="等线"/>
                <w:color w:val="000000"/>
                <w:sz w:val="28"/>
                <w:szCs w:val="28"/>
              </w:rPr>
              <w:t>处理决定</w:t>
            </w:r>
          </w:p>
        </w:tc>
      </w:tr>
      <w:tr w14:paraId="7503C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9" w:hRule="atLeast"/>
        </w:trPr>
        <w:tc>
          <w:tcPr>
            <w:tcW w:w="2689" w:type="dxa"/>
          </w:tcPr>
          <w:p w14:paraId="6D2F66A4">
            <w:pPr>
              <w:jc w:val="left"/>
              <w:rPr>
                <w:rFonts w:ascii="等线" w:hAnsi="等线" w:eastAsia="等线"/>
              </w:rPr>
            </w:pPr>
          </w:p>
        </w:tc>
        <w:tc>
          <w:tcPr>
            <w:tcW w:w="3402" w:type="dxa"/>
          </w:tcPr>
          <w:p w14:paraId="47D4D620">
            <w:pPr>
              <w:jc w:val="left"/>
              <w:rPr>
                <w:rFonts w:ascii="等线" w:hAnsi="等线" w:eastAsia="等线"/>
              </w:rPr>
            </w:pPr>
          </w:p>
        </w:tc>
        <w:tc>
          <w:tcPr>
            <w:tcW w:w="2205" w:type="dxa"/>
          </w:tcPr>
          <w:p w14:paraId="72544715">
            <w:pPr>
              <w:jc w:val="left"/>
              <w:rPr>
                <w:rFonts w:ascii="等线" w:hAnsi="等线" w:eastAsia="等线"/>
              </w:rPr>
            </w:pPr>
          </w:p>
        </w:tc>
      </w:tr>
    </w:tbl>
    <w:p w14:paraId="304DD12A">
      <w:pPr>
        <w:rPr>
          <w:vanish/>
        </w:rPr>
      </w:pPr>
    </w:p>
    <w:tbl>
      <w:tblPr>
        <w:tblStyle w:val="20"/>
        <w:tblW w:w="0" w:type="auto"/>
        <w:tblInd w:w="108" w:type="dxa"/>
        <w:tblLayout w:type="fixed"/>
        <w:tblCellMar>
          <w:top w:w="0" w:type="dxa"/>
          <w:left w:w="108" w:type="dxa"/>
          <w:bottom w:w="0" w:type="dxa"/>
          <w:right w:w="108" w:type="dxa"/>
        </w:tblCellMar>
      </w:tblPr>
      <w:tblGrid>
        <w:gridCol w:w="8700"/>
      </w:tblGrid>
      <w:tr w14:paraId="47416F1C">
        <w:tblPrEx>
          <w:tblCellMar>
            <w:top w:w="0" w:type="dxa"/>
            <w:left w:w="108" w:type="dxa"/>
            <w:bottom w:w="0" w:type="dxa"/>
            <w:right w:w="108" w:type="dxa"/>
          </w:tblCellMar>
        </w:tblPrEx>
        <w:trPr>
          <w:trHeight w:val="348" w:hRule="atLeast"/>
        </w:trPr>
        <w:tc>
          <w:tcPr>
            <w:tcW w:w="8700" w:type="dxa"/>
            <w:tcBorders>
              <w:top w:val="nil"/>
              <w:left w:val="nil"/>
              <w:bottom w:val="nil"/>
              <w:right w:val="nil"/>
            </w:tcBorders>
            <w:vAlign w:val="bottom"/>
          </w:tcPr>
          <w:p w14:paraId="4B2E4B69">
            <w:pPr>
              <w:widowControl/>
              <w:ind w:firstLine="560" w:firstLineChars="200"/>
              <w:jc w:val="left"/>
              <w:rPr>
                <w:rFonts w:ascii="等线" w:hAnsi="等线" w:eastAsia="等线" w:cs="宋体"/>
                <w:color w:val="000000"/>
                <w:kern w:val="0"/>
                <w:sz w:val="28"/>
                <w:szCs w:val="28"/>
              </w:rPr>
            </w:pPr>
            <w:r>
              <w:rPr>
                <w:rFonts w:hint="eastAsia" w:ascii="等线" w:hAnsi="等线" w:eastAsia="等线" w:cs="宋体"/>
                <w:color w:val="000000"/>
                <w:kern w:val="0"/>
                <w:sz w:val="28"/>
                <w:szCs w:val="28"/>
              </w:rPr>
              <w:t>如存在异议，请你方在接到通报后5个工作日内将书面意见反馈到工装工程中心，过期视为同意。</w:t>
            </w:r>
          </w:p>
        </w:tc>
      </w:tr>
      <w:tr w14:paraId="0A9E2B11">
        <w:tblPrEx>
          <w:tblCellMar>
            <w:top w:w="0" w:type="dxa"/>
            <w:left w:w="108" w:type="dxa"/>
            <w:bottom w:w="0" w:type="dxa"/>
            <w:right w:w="108" w:type="dxa"/>
          </w:tblCellMar>
        </w:tblPrEx>
        <w:trPr>
          <w:trHeight w:val="348" w:hRule="atLeast"/>
        </w:trPr>
        <w:tc>
          <w:tcPr>
            <w:tcW w:w="8700" w:type="dxa"/>
            <w:tcBorders>
              <w:top w:val="nil"/>
              <w:left w:val="nil"/>
              <w:bottom w:val="nil"/>
              <w:right w:val="nil"/>
            </w:tcBorders>
            <w:noWrap/>
            <w:vAlign w:val="bottom"/>
          </w:tcPr>
          <w:p w14:paraId="1B68AA5C">
            <w:pPr>
              <w:widowControl/>
              <w:jc w:val="left"/>
              <w:rPr>
                <w:rFonts w:ascii="等线" w:hAnsi="等线" w:eastAsia="等线" w:cs="宋体"/>
                <w:color w:val="000000"/>
                <w:kern w:val="0"/>
                <w:sz w:val="28"/>
                <w:szCs w:val="28"/>
              </w:rPr>
            </w:pPr>
            <w:r>
              <w:rPr>
                <w:rFonts w:hint="eastAsia" w:ascii="等线" w:hAnsi="等线" w:eastAsia="等线" w:cs="宋体"/>
                <w:color w:val="000000"/>
                <w:kern w:val="0"/>
                <w:sz w:val="28"/>
                <w:szCs w:val="28"/>
              </w:rPr>
              <w:t>特此函告</w:t>
            </w:r>
          </w:p>
        </w:tc>
      </w:tr>
      <w:tr w14:paraId="1C8A2CE9">
        <w:tblPrEx>
          <w:tblCellMar>
            <w:top w:w="0" w:type="dxa"/>
            <w:left w:w="108" w:type="dxa"/>
            <w:bottom w:w="0" w:type="dxa"/>
            <w:right w:w="108" w:type="dxa"/>
          </w:tblCellMar>
        </w:tblPrEx>
        <w:trPr>
          <w:trHeight w:val="348" w:hRule="atLeast"/>
        </w:trPr>
        <w:tc>
          <w:tcPr>
            <w:tcW w:w="8700" w:type="dxa"/>
            <w:tcBorders>
              <w:top w:val="nil"/>
              <w:left w:val="nil"/>
              <w:bottom w:val="nil"/>
              <w:right w:val="nil"/>
            </w:tcBorders>
            <w:noWrap/>
            <w:vAlign w:val="bottom"/>
          </w:tcPr>
          <w:p w14:paraId="796D0A8A">
            <w:pPr>
              <w:widowControl/>
              <w:jc w:val="right"/>
              <w:rPr>
                <w:rFonts w:ascii="等线" w:hAnsi="等线" w:eastAsia="等线" w:cs="宋体"/>
                <w:color w:val="000000"/>
                <w:kern w:val="0"/>
                <w:sz w:val="28"/>
                <w:szCs w:val="28"/>
              </w:rPr>
            </w:pPr>
            <w:r>
              <w:rPr>
                <w:rFonts w:hint="eastAsia" w:ascii="等线" w:hAnsi="等线" w:eastAsia="等线" w:cs="宋体"/>
                <w:color w:val="000000"/>
                <w:kern w:val="0"/>
                <w:sz w:val="28"/>
                <w:szCs w:val="28"/>
              </w:rPr>
              <w:t>工装工程中心</w:t>
            </w:r>
          </w:p>
        </w:tc>
      </w:tr>
      <w:tr w14:paraId="24E8958A">
        <w:tblPrEx>
          <w:tblCellMar>
            <w:top w:w="0" w:type="dxa"/>
            <w:left w:w="108" w:type="dxa"/>
            <w:bottom w:w="0" w:type="dxa"/>
            <w:right w:w="108" w:type="dxa"/>
          </w:tblCellMar>
        </w:tblPrEx>
        <w:trPr>
          <w:trHeight w:val="348" w:hRule="atLeast"/>
        </w:trPr>
        <w:tc>
          <w:tcPr>
            <w:tcW w:w="8700" w:type="dxa"/>
            <w:tcBorders>
              <w:top w:val="nil"/>
              <w:left w:val="nil"/>
              <w:bottom w:val="nil"/>
              <w:right w:val="nil"/>
            </w:tcBorders>
            <w:noWrap/>
            <w:vAlign w:val="bottom"/>
          </w:tcPr>
          <w:p w14:paraId="2F5A794C">
            <w:pPr>
              <w:widowControl/>
              <w:jc w:val="right"/>
              <w:rPr>
                <w:rFonts w:ascii="等线" w:hAnsi="等线" w:eastAsia="等线" w:cs="宋体"/>
                <w:color w:val="000000"/>
                <w:kern w:val="0"/>
                <w:sz w:val="28"/>
                <w:szCs w:val="28"/>
              </w:rPr>
            </w:pPr>
            <w:r>
              <w:rPr>
                <w:rFonts w:hint="eastAsia" w:ascii="等线" w:hAnsi="等线" w:eastAsia="等线" w:cs="宋体"/>
                <w:color w:val="000000"/>
                <w:kern w:val="0"/>
                <w:sz w:val="28"/>
                <w:szCs w:val="28"/>
              </w:rPr>
              <w:t>年  月  日</w:t>
            </w:r>
          </w:p>
        </w:tc>
      </w:tr>
    </w:tbl>
    <w:p w14:paraId="0E3826A9">
      <w:pPr>
        <w:ind w:firstLine="420" w:firstLineChars="200"/>
        <w:jc w:val="left"/>
      </w:pPr>
    </w:p>
    <w:p w14:paraId="6EA73CBA">
      <w:pPr>
        <w:spacing w:line="360" w:lineRule="auto"/>
        <w:rPr>
          <w:rFonts w:eastAsia="仿宋_GB2312"/>
          <w:color w:val="000000"/>
          <w:sz w:val="30"/>
          <w:szCs w:val="30"/>
        </w:rPr>
      </w:pPr>
      <w:r>
        <w:rPr>
          <w:rFonts w:eastAsia="仿宋_GB2312"/>
          <w:color w:val="000000"/>
          <w:sz w:val="30"/>
          <w:szCs w:val="30"/>
        </w:rPr>
        <w:br w:type="page"/>
      </w:r>
    </w:p>
    <w:p w14:paraId="1ABF5155">
      <w:pPr>
        <w:pStyle w:val="8"/>
        <w:ind w:right="63"/>
        <w:jc w:val="left"/>
        <w:rPr>
          <w:rFonts w:ascii="仿宋_GB2312" w:eastAsia="仿宋_GB2312"/>
          <w:sz w:val="30"/>
          <w:szCs w:val="30"/>
        </w:rPr>
      </w:pPr>
      <w:r>
        <w:rPr>
          <w:rFonts w:hint="eastAsia" w:ascii="仿宋_GB2312" w:eastAsia="仿宋_GB2312"/>
          <w:sz w:val="30"/>
          <w:szCs w:val="30"/>
        </w:rPr>
        <w:t>附件</w:t>
      </w:r>
      <w:r>
        <w:rPr>
          <w:rFonts w:ascii="仿宋_GB2312" w:eastAsia="仿宋_GB2312"/>
          <w:sz w:val="30"/>
          <w:szCs w:val="30"/>
        </w:rPr>
        <w:t>5</w:t>
      </w:r>
      <w:r>
        <w:rPr>
          <w:rFonts w:hint="eastAsia" w:ascii="仿宋_GB2312" w:eastAsia="仿宋_GB2312"/>
          <w:sz w:val="30"/>
          <w:szCs w:val="30"/>
        </w:rPr>
        <w:t>：</w:t>
      </w:r>
    </w:p>
    <w:p w14:paraId="302DF791">
      <w:pPr>
        <w:pStyle w:val="8"/>
        <w:ind w:left="63" w:right="63"/>
        <w:rPr>
          <w:rFonts w:ascii="仿宋" w:hAnsi="仿宋" w:eastAsia="仿宋" w:cs="仿宋"/>
          <w:spacing w:val="4"/>
          <w:sz w:val="30"/>
          <w:szCs w:val="30"/>
        </w:rPr>
      </w:pPr>
      <w:r>
        <w:rPr>
          <w:rFonts w:hint="eastAsia" w:ascii="宋体" w:hAnsi="宋体" w:cs="宋体"/>
          <w:spacing w:val="4"/>
          <w:sz w:val="30"/>
          <w:szCs w:val="30"/>
        </w:rPr>
        <w:t>履约保函示范文本</w:t>
      </w:r>
    </w:p>
    <w:p w14:paraId="19CF16C8">
      <w:pPr>
        <w:pStyle w:val="8"/>
        <w:ind w:left="63" w:right="63"/>
        <w:rPr>
          <w:rFonts w:ascii="仿宋" w:hAnsi="仿宋" w:eastAsia="仿宋" w:cs="仿宋"/>
          <w:spacing w:val="4"/>
          <w:sz w:val="30"/>
          <w:szCs w:val="30"/>
        </w:rPr>
      </w:pPr>
    </w:p>
    <w:p w14:paraId="7DDA316D">
      <w:pPr>
        <w:pStyle w:val="8"/>
        <w:ind w:left="63" w:right="63" w:firstLine="616" w:firstLineChars="200"/>
        <w:jc w:val="left"/>
        <w:rPr>
          <w:rFonts w:ascii="仿宋" w:hAnsi="仿宋" w:eastAsia="仿宋" w:cs="仿宋"/>
          <w:spacing w:val="4"/>
          <w:sz w:val="30"/>
          <w:szCs w:val="30"/>
        </w:rPr>
      </w:pPr>
      <w:r>
        <w:rPr>
          <w:rFonts w:hint="eastAsia" w:ascii="宋体" w:hAnsi="宋体" w:cs="宋体"/>
          <w:spacing w:val="4"/>
          <w:sz w:val="30"/>
          <w:szCs w:val="30"/>
        </w:rPr>
        <w:t>申请人：</w:t>
      </w:r>
    </w:p>
    <w:p w14:paraId="03EF5637">
      <w:pPr>
        <w:pStyle w:val="8"/>
        <w:ind w:left="63" w:right="63" w:firstLine="616" w:firstLineChars="200"/>
        <w:jc w:val="left"/>
        <w:rPr>
          <w:rFonts w:ascii="仿宋" w:hAnsi="仿宋" w:eastAsia="仿宋" w:cs="仿宋"/>
          <w:spacing w:val="4"/>
          <w:sz w:val="30"/>
          <w:szCs w:val="30"/>
        </w:rPr>
      </w:pPr>
      <w:r>
        <w:rPr>
          <w:rFonts w:hint="eastAsia" w:ascii="宋体" w:hAnsi="宋体" w:cs="宋体"/>
          <w:spacing w:val="4"/>
          <w:sz w:val="30"/>
          <w:szCs w:val="30"/>
        </w:rPr>
        <w:t>地</w:t>
      </w:r>
      <w:r>
        <w:rPr>
          <w:rFonts w:hint="eastAsia" w:ascii="仿宋" w:hAnsi="仿宋" w:eastAsia="仿宋" w:cs="仿宋"/>
          <w:spacing w:val="4"/>
          <w:sz w:val="30"/>
          <w:szCs w:val="30"/>
        </w:rPr>
        <w:t xml:space="preserve">  </w:t>
      </w:r>
      <w:r>
        <w:rPr>
          <w:rFonts w:hint="eastAsia" w:ascii="宋体" w:hAnsi="宋体" w:cs="宋体"/>
          <w:spacing w:val="4"/>
          <w:sz w:val="30"/>
          <w:szCs w:val="30"/>
        </w:rPr>
        <w:t>址</w:t>
      </w:r>
      <w:r>
        <w:rPr>
          <w:rFonts w:hint="eastAsia" w:ascii="仿宋" w:hAnsi="仿宋" w:eastAsia="仿宋" w:cs="仿宋"/>
          <w:spacing w:val="4"/>
          <w:sz w:val="30"/>
          <w:szCs w:val="30"/>
        </w:rPr>
        <w:t xml:space="preserve"> </w:t>
      </w:r>
      <w:r>
        <w:rPr>
          <w:rFonts w:hint="eastAsia" w:ascii="宋体" w:hAnsi="宋体" w:cs="宋体"/>
          <w:spacing w:val="4"/>
          <w:sz w:val="30"/>
          <w:szCs w:val="30"/>
        </w:rPr>
        <w:t>：</w:t>
      </w:r>
    </w:p>
    <w:p w14:paraId="286076D0">
      <w:pPr>
        <w:pStyle w:val="8"/>
        <w:ind w:left="63" w:right="63" w:firstLine="616" w:firstLineChars="200"/>
        <w:jc w:val="left"/>
        <w:rPr>
          <w:rFonts w:ascii="仿宋" w:hAnsi="仿宋" w:eastAsia="仿宋" w:cs="仿宋"/>
          <w:spacing w:val="4"/>
          <w:sz w:val="30"/>
          <w:szCs w:val="30"/>
        </w:rPr>
      </w:pPr>
      <w:r>
        <w:rPr>
          <w:rFonts w:hint="eastAsia" w:ascii="宋体" w:hAnsi="宋体" w:cs="宋体"/>
          <w:spacing w:val="4"/>
          <w:sz w:val="30"/>
          <w:szCs w:val="30"/>
        </w:rPr>
        <w:t>受益人：</w:t>
      </w:r>
    </w:p>
    <w:p w14:paraId="52A48598">
      <w:pPr>
        <w:pStyle w:val="8"/>
        <w:ind w:left="63" w:right="63" w:firstLine="616" w:firstLineChars="200"/>
        <w:jc w:val="left"/>
        <w:rPr>
          <w:rFonts w:ascii="仿宋" w:hAnsi="仿宋" w:eastAsia="仿宋" w:cs="仿宋"/>
          <w:spacing w:val="4"/>
          <w:sz w:val="30"/>
          <w:szCs w:val="30"/>
        </w:rPr>
      </w:pPr>
      <w:r>
        <w:rPr>
          <w:rFonts w:hint="eastAsia" w:ascii="宋体" w:hAnsi="宋体" w:cs="宋体"/>
          <w:spacing w:val="4"/>
          <w:sz w:val="30"/>
          <w:szCs w:val="30"/>
        </w:rPr>
        <w:t>地</w:t>
      </w:r>
      <w:r>
        <w:rPr>
          <w:rFonts w:hint="eastAsia" w:ascii="仿宋" w:hAnsi="仿宋" w:eastAsia="仿宋" w:cs="仿宋"/>
          <w:spacing w:val="4"/>
          <w:sz w:val="30"/>
          <w:szCs w:val="30"/>
        </w:rPr>
        <w:t xml:space="preserve">  </w:t>
      </w:r>
      <w:r>
        <w:rPr>
          <w:rFonts w:hint="eastAsia" w:ascii="宋体" w:hAnsi="宋体" w:cs="宋体"/>
          <w:spacing w:val="4"/>
          <w:sz w:val="30"/>
          <w:szCs w:val="30"/>
        </w:rPr>
        <w:t>址</w:t>
      </w:r>
      <w:r>
        <w:rPr>
          <w:rFonts w:hint="eastAsia" w:ascii="仿宋" w:hAnsi="仿宋" w:eastAsia="仿宋" w:cs="仿宋"/>
          <w:spacing w:val="4"/>
          <w:sz w:val="30"/>
          <w:szCs w:val="30"/>
        </w:rPr>
        <w:t xml:space="preserve"> </w:t>
      </w:r>
      <w:r>
        <w:rPr>
          <w:rFonts w:hint="eastAsia" w:ascii="宋体" w:hAnsi="宋体" w:cs="宋体"/>
          <w:spacing w:val="4"/>
          <w:sz w:val="30"/>
          <w:szCs w:val="30"/>
        </w:rPr>
        <w:t>：</w:t>
      </w:r>
    </w:p>
    <w:p w14:paraId="09509B12">
      <w:pPr>
        <w:pStyle w:val="8"/>
        <w:ind w:left="63" w:right="63" w:firstLine="616" w:firstLineChars="200"/>
        <w:jc w:val="left"/>
        <w:rPr>
          <w:rFonts w:ascii="仿宋" w:hAnsi="仿宋" w:eastAsia="仿宋" w:cs="仿宋"/>
          <w:spacing w:val="4"/>
          <w:sz w:val="30"/>
          <w:szCs w:val="30"/>
        </w:rPr>
      </w:pPr>
      <w:r>
        <w:rPr>
          <w:rFonts w:hint="eastAsia" w:ascii="宋体" w:hAnsi="宋体" w:cs="宋体"/>
          <w:spacing w:val="4"/>
          <w:sz w:val="30"/>
          <w:szCs w:val="30"/>
        </w:rPr>
        <w:t>开立人：</w:t>
      </w:r>
    </w:p>
    <w:p w14:paraId="26685A2A">
      <w:pPr>
        <w:pStyle w:val="8"/>
        <w:ind w:left="63" w:right="63" w:firstLine="616" w:firstLineChars="200"/>
        <w:jc w:val="left"/>
        <w:rPr>
          <w:rFonts w:ascii="仿宋" w:hAnsi="仿宋" w:cs="仿宋"/>
          <w:spacing w:val="4"/>
          <w:sz w:val="30"/>
          <w:szCs w:val="30"/>
        </w:rPr>
      </w:pPr>
      <w:r>
        <w:rPr>
          <w:rFonts w:hint="eastAsia" w:ascii="宋体" w:hAnsi="宋体" w:cs="宋体"/>
          <w:spacing w:val="4"/>
          <w:sz w:val="30"/>
          <w:szCs w:val="30"/>
        </w:rPr>
        <w:t>地</w:t>
      </w:r>
      <w:r>
        <w:rPr>
          <w:rFonts w:hint="eastAsia" w:ascii="仿宋" w:hAnsi="仿宋" w:eastAsia="仿宋" w:cs="仿宋"/>
          <w:spacing w:val="4"/>
          <w:sz w:val="30"/>
          <w:szCs w:val="30"/>
        </w:rPr>
        <w:t xml:space="preserve">  </w:t>
      </w:r>
      <w:r>
        <w:rPr>
          <w:rFonts w:hint="eastAsia" w:ascii="宋体" w:hAnsi="宋体" w:cs="宋体"/>
          <w:spacing w:val="4"/>
          <w:sz w:val="30"/>
          <w:szCs w:val="30"/>
        </w:rPr>
        <w:t>址：</w:t>
      </w:r>
    </w:p>
    <w:p w14:paraId="60B277C0">
      <w:pPr>
        <w:pStyle w:val="8"/>
        <w:ind w:left="71" w:leftChars="34" w:right="63"/>
        <w:jc w:val="left"/>
        <w:rPr>
          <w:rFonts w:ascii="仿宋" w:hAnsi="仿宋" w:cs="仿宋"/>
          <w:spacing w:val="4"/>
          <w:sz w:val="30"/>
          <w:szCs w:val="30"/>
        </w:rPr>
      </w:pPr>
      <w:r>
        <w:rPr>
          <w:rFonts w:hint="eastAsia" w:ascii="仿宋" w:hAnsi="仿宋" w:eastAsia="仿宋" w:cs="仿宋"/>
          <w:spacing w:val="4"/>
          <w:sz w:val="30"/>
          <w:szCs w:val="30"/>
          <w:u w:val="single"/>
        </w:rPr>
        <w:t xml:space="preserve">              </w:t>
      </w:r>
      <w:r>
        <w:rPr>
          <w:rFonts w:hint="eastAsia" w:ascii="仿宋" w:hAnsi="仿宋" w:eastAsia="仿宋" w:cs="仿宋"/>
          <w:spacing w:val="4"/>
          <w:sz w:val="30"/>
          <w:szCs w:val="30"/>
        </w:rPr>
        <w:t>(</w:t>
      </w:r>
      <w:r>
        <w:rPr>
          <w:rFonts w:hint="eastAsia" w:ascii="宋体" w:hAnsi="宋体" w:cs="宋体"/>
          <w:spacing w:val="4"/>
          <w:sz w:val="30"/>
          <w:szCs w:val="30"/>
        </w:rPr>
        <w:t>受益人名称</w:t>
      </w:r>
      <w:r>
        <w:rPr>
          <w:rFonts w:hint="eastAsia" w:ascii="仿宋" w:hAnsi="仿宋" w:eastAsia="仿宋" w:cs="仿宋"/>
          <w:spacing w:val="4"/>
          <w:sz w:val="30"/>
          <w:szCs w:val="30"/>
        </w:rPr>
        <w:t>):</w:t>
      </w:r>
    </w:p>
    <w:p w14:paraId="6A6AF9B4">
      <w:pPr>
        <w:pStyle w:val="8"/>
        <w:ind w:left="71" w:leftChars="34" w:right="63" w:firstLine="616" w:firstLineChars="200"/>
        <w:jc w:val="left"/>
        <w:rPr>
          <w:rFonts w:ascii="仿宋" w:hAnsi="仿宋" w:cs="仿宋"/>
          <w:spacing w:val="4"/>
          <w:sz w:val="30"/>
          <w:szCs w:val="30"/>
        </w:rPr>
      </w:pPr>
      <w:r>
        <w:rPr>
          <w:rFonts w:hint="eastAsia" w:ascii="宋体" w:hAnsi="宋体" w:cs="宋体"/>
          <w:spacing w:val="4"/>
          <w:sz w:val="30"/>
          <w:szCs w:val="30"/>
        </w:rPr>
        <w:t>鉴于</w:t>
      </w:r>
      <w:r>
        <w:rPr>
          <w:rFonts w:hint="eastAsia" w:ascii="仿宋" w:hAnsi="仿宋" w:eastAsia="仿宋" w:cs="仿宋"/>
          <w:spacing w:val="4"/>
          <w:sz w:val="30"/>
          <w:szCs w:val="30"/>
          <w:u w:val="single"/>
        </w:rPr>
        <w:t xml:space="preserve">             </w:t>
      </w:r>
      <w:r>
        <w:rPr>
          <w:rFonts w:hint="eastAsia" w:ascii="仿宋" w:hAnsi="仿宋" w:eastAsia="仿宋" w:cs="仿宋"/>
          <w:spacing w:val="4"/>
          <w:sz w:val="30"/>
          <w:szCs w:val="30"/>
        </w:rPr>
        <w:t>(</w:t>
      </w:r>
      <w:r>
        <w:rPr>
          <w:rFonts w:hint="eastAsia" w:ascii="宋体" w:hAnsi="宋体" w:cs="宋体"/>
          <w:spacing w:val="4"/>
          <w:sz w:val="30"/>
          <w:szCs w:val="30"/>
        </w:rPr>
        <w:t>以下简称</w:t>
      </w:r>
      <w:r>
        <w:rPr>
          <w:rFonts w:eastAsia="仿宋"/>
          <w:spacing w:val="4"/>
          <w:sz w:val="30"/>
          <w:szCs w:val="30"/>
        </w:rPr>
        <w:t>“</w:t>
      </w:r>
      <w:r>
        <w:rPr>
          <w:rFonts w:hint="eastAsia" w:ascii="宋体" w:hAnsi="宋体" w:cs="宋体"/>
          <w:spacing w:val="4"/>
          <w:sz w:val="30"/>
          <w:szCs w:val="30"/>
        </w:rPr>
        <w:t>受益人</w:t>
      </w:r>
      <w:r>
        <w:rPr>
          <w:rFonts w:eastAsia="仿宋"/>
          <w:spacing w:val="4"/>
          <w:sz w:val="30"/>
          <w:szCs w:val="30"/>
        </w:rPr>
        <w:t>”</w:t>
      </w:r>
      <w:r>
        <w:rPr>
          <w:rFonts w:hint="eastAsia" w:ascii="仿宋" w:hAnsi="仿宋" w:eastAsia="仿宋" w:cs="仿宋"/>
          <w:spacing w:val="4"/>
          <w:sz w:val="30"/>
          <w:szCs w:val="30"/>
        </w:rPr>
        <w:t>)</w:t>
      </w:r>
      <w:r>
        <w:rPr>
          <w:rFonts w:hint="eastAsia" w:ascii="宋体" w:hAnsi="宋体" w:cs="宋体"/>
          <w:spacing w:val="4"/>
          <w:sz w:val="30"/>
          <w:szCs w:val="30"/>
        </w:rPr>
        <w:t>与</w:t>
      </w:r>
      <w:r>
        <w:rPr>
          <w:rFonts w:hint="eastAsia" w:ascii="仿宋" w:hAnsi="仿宋" w:eastAsia="仿宋" w:cs="仿宋"/>
          <w:spacing w:val="4"/>
          <w:sz w:val="30"/>
          <w:szCs w:val="30"/>
          <w:u w:val="single"/>
        </w:rPr>
        <w:t xml:space="preserve">           </w:t>
      </w:r>
      <w:r>
        <w:rPr>
          <w:rFonts w:hint="eastAsia" w:ascii="仿宋" w:hAnsi="仿宋" w:eastAsia="仿宋" w:cs="仿宋"/>
          <w:spacing w:val="4"/>
          <w:sz w:val="30"/>
          <w:szCs w:val="30"/>
        </w:rPr>
        <w:t xml:space="preserve">( </w:t>
      </w:r>
      <w:r>
        <w:rPr>
          <w:rFonts w:hint="eastAsia" w:ascii="宋体" w:hAnsi="宋体" w:cs="宋体"/>
          <w:spacing w:val="4"/>
          <w:sz w:val="30"/>
          <w:szCs w:val="30"/>
        </w:rPr>
        <w:t>以</w:t>
      </w:r>
      <w:r>
        <w:rPr>
          <w:rFonts w:hint="eastAsia" w:ascii="仿宋" w:hAnsi="仿宋" w:eastAsia="仿宋" w:cs="仿宋"/>
          <w:spacing w:val="4"/>
          <w:sz w:val="30"/>
          <w:szCs w:val="30"/>
        </w:rPr>
        <w:t xml:space="preserve"> </w:t>
      </w:r>
      <w:r>
        <w:rPr>
          <w:rFonts w:hint="eastAsia" w:ascii="宋体" w:hAnsi="宋体" w:cs="宋体"/>
          <w:spacing w:val="4"/>
          <w:sz w:val="30"/>
          <w:szCs w:val="30"/>
        </w:rPr>
        <w:t>下简称</w:t>
      </w:r>
      <w:r>
        <w:rPr>
          <w:rFonts w:eastAsia="仿宋"/>
          <w:spacing w:val="4"/>
          <w:sz w:val="30"/>
          <w:szCs w:val="30"/>
        </w:rPr>
        <w:t>“</w:t>
      </w:r>
      <w:r>
        <w:rPr>
          <w:rFonts w:hint="eastAsia" w:ascii="宋体" w:hAnsi="宋体" w:cs="宋体"/>
          <w:spacing w:val="4"/>
          <w:sz w:val="30"/>
          <w:szCs w:val="30"/>
        </w:rPr>
        <w:t>申请人</w:t>
      </w:r>
      <w:r>
        <w:rPr>
          <w:rFonts w:eastAsia="仿宋"/>
          <w:spacing w:val="4"/>
          <w:sz w:val="30"/>
          <w:szCs w:val="30"/>
        </w:rPr>
        <w:t>”</w:t>
      </w:r>
      <w:r>
        <w:rPr>
          <w:rFonts w:hint="eastAsia" w:ascii="仿宋" w:hAnsi="仿宋" w:eastAsia="仿宋" w:cs="仿宋"/>
          <w:spacing w:val="4"/>
          <w:sz w:val="30"/>
          <w:szCs w:val="30"/>
        </w:rPr>
        <w:t>)</w:t>
      </w:r>
      <w:r>
        <w:rPr>
          <w:rFonts w:hint="eastAsia" w:ascii="宋体" w:hAnsi="宋体" w:cs="宋体"/>
          <w:spacing w:val="4"/>
          <w:sz w:val="30"/>
          <w:szCs w:val="30"/>
        </w:rPr>
        <w:t>就工程</w:t>
      </w:r>
      <w:r>
        <w:rPr>
          <w:rFonts w:hint="eastAsia" w:ascii="仿宋" w:hAnsi="仿宋" w:eastAsia="仿宋" w:cs="仿宋"/>
          <w:spacing w:val="4"/>
          <w:sz w:val="30"/>
          <w:szCs w:val="30"/>
          <w:u w:val="single"/>
        </w:rPr>
        <w:t xml:space="preserve">           </w:t>
      </w:r>
      <w:r>
        <w:rPr>
          <w:rFonts w:hint="eastAsia" w:ascii="仿宋" w:hAnsi="仿宋" w:eastAsia="仿宋" w:cs="仿宋"/>
          <w:spacing w:val="4"/>
          <w:sz w:val="30"/>
          <w:szCs w:val="30"/>
        </w:rPr>
        <w:t>(</w:t>
      </w:r>
      <w:r>
        <w:rPr>
          <w:rFonts w:hint="eastAsia" w:ascii="宋体" w:hAnsi="宋体" w:cs="宋体"/>
          <w:spacing w:val="4"/>
          <w:sz w:val="30"/>
          <w:szCs w:val="30"/>
        </w:rPr>
        <w:t>以下简称</w:t>
      </w:r>
      <w:r>
        <w:rPr>
          <w:rFonts w:eastAsia="仿宋"/>
          <w:spacing w:val="4"/>
          <w:sz w:val="30"/>
          <w:szCs w:val="30"/>
        </w:rPr>
        <w:t>“</w:t>
      </w:r>
      <w:r>
        <w:rPr>
          <w:rFonts w:hint="eastAsia" w:ascii="宋体" w:hAnsi="宋体" w:cs="宋体"/>
          <w:spacing w:val="4"/>
          <w:sz w:val="30"/>
          <w:szCs w:val="30"/>
        </w:rPr>
        <w:t>本工程</w:t>
      </w:r>
      <w:r>
        <w:rPr>
          <w:rFonts w:eastAsia="仿宋"/>
          <w:spacing w:val="4"/>
          <w:sz w:val="30"/>
          <w:szCs w:val="30"/>
        </w:rPr>
        <w:t>”</w:t>
      </w:r>
      <w:r>
        <w:rPr>
          <w:rFonts w:hint="eastAsia" w:ascii="仿宋" w:hAnsi="仿宋" w:eastAsia="仿宋" w:cs="仿宋"/>
          <w:spacing w:val="4"/>
          <w:sz w:val="30"/>
          <w:szCs w:val="30"/>
        </w:rPr>
        <w:t>)</w:t>
      </w:r>
      <w:r>
        <w:rPr>
          <w:rFonts w:hint="eastAsia" w:ascii="宋体" w:hAnsi="宋体" w:cs="宋体"/>
          <w:spacing w:val="4"/>
          <w:sz w:val="30"/>
          <w:szCs w:val="30"/>
        </w:rPr>
        <w:t>施工和有关事项协商一致，根据本工程中标通知书、招标文件和投标文件，了解到申请人为本工程项下之承包人、受益人为本工程</w:t>
      </w:r>
      <w:r>
        <w:rPr>
          <w:rFonts w:hint="eastAsia" w:ascii="仿宋" w:hAnsi="仿宋" w:eastAsia="仿宋" w:cs="仿宋"/>
          <w:spacing w:val="4"/>
          <w:sz w:val="30"/>
          <w:szCs w:val="30"/>
        </w:rPr>
        <w:t xml:space="preserve"> </w:t>
      </w:r>
      <w:r>
        <w:rPr>
          <w:rFonts w:hint="eastAsia" w:ascii="宋体" w:hAnsi="宋体" w:cs="宋体"/>
          <w:spacing w:val="4"/>
          <w:sz w:val="30"/>
          <w:szCs w:val="30"/>
        </w:rPr>
        <w:t>项下之发包人，基于申请人的请求，我方</w:t>
      </w:r>
      <w:r>
        <w:rPr>
          <w:rFonts w:hint="eastAsia" w:ascii="仿宋" w:hAnsi="仿宋" w:eastAsia="仿宋" w:cs="仿宋"/>
          <w:spacing w:val="4"/>
          <w:sz w:val="30"/>
          <w:szCs w:val="30"/>
        </w:rPr>
        <w:t>(</w:t>
      </w:r>
      <w:r>
        <w:rPr>
          <w:rFonts w:hint="eastAsia" w:ascii="宋体" w:hAnsi="宋体" w:cs="宋体"/>
          <w:spacing w:val="4"/>
          <w:sz w:val="30"/>
          <w:szCs w:val="30"/>
        </w:rPr>
        <w:t>即</w:t>
      </w:r>
      <w:r>
        <w:rPr>
          <w:rFonts w:eastAsia="仿宋"/>
          <w:spacing w:val="4"/>
          <w:sz w:val="30"/>
          <w:szCs w:val="30"/>
        </w:rPr>
        <w:t>“</w:t>
      </w:r>
      <w:r>
        <w:rPr>
          <w:rFonts w:hint="eastAsia" w:ascii="宋体" w:hAnsi="宋体" w:cs="宋体"/>
          <w:spacing w:val="4"/>
          <w:sz w:val="30"/>
          <w:szCs w:val="30"/>
        </w:rPr>
        <w:t>开立人</w:t>
      </w:r>
      <w:r>
        <w:rPr>
          <w:rFonts w:eastAsia="仿宋"/>
          <w:spacing w:val="4"/>
          <w:sz w:val="30"/>
          <w:szCs w:val="30"/>
        </w:rPr>
        <w:t>”</w:t>
      </w:r>
      <w:r>
        <w:rPr>
          <w:rFonts w:hint="eastAsia" w:ascii="仿宋" w:hAnsi="仿宋" w:eastAsia="仿宋" w:cs="仿宋"/>
          <w:spacing w:val="4"/>
          <w:sz w:val="30"/>
          <w:szCs w:val="30"/>
        </w:rPr>
        <w:t>)</w:t>
      </w:r>
      <w:r>
        <w:rPr>
          <w:rFonts w:hint="eastAsia" w:ascii="宋体" w:hAnsi="宋体" w:cs="宋体"/>
          <w:spacing w:val="4"/>
          <w:sz w:val="30"/>
          <w:szCs w:val="30"/>
        </w:rPr>
        <w:t>同意就</w:t>
      </w:r>
      <w:r>
        <w:rPr>
          <w:rFonts w:hint="eastAsia" w:ascii="仿宋" w:hAnsi="仿宋" w:eastAsia="仿宋" w:cs="仿宋"/>
          <w:spacing w:val="4"/>
          <w:sz w:val="30"/>
          <w:szCs w:val="30"/>
        </w:rPr>
        <w:t xml:space="preserve"> </w:t>
      </w:r>
      <w:r>
        <w:rPr>
          <w:rFonts w:hint="eastAsia" w:ascii="宋体" w:hAnsi="宋体" w:cs="宋体"/>
          <w:spacing w:val="4"/>
          <w:sz w:val="30"/>
          <w:szCs w:val="30"/>
        </w:rPr>
        <w:t>申请人履行本工程依据中标通知书、招标文件和投标文件签订的《</w:t>
      </w:r>
      <w:r>
        <w:rPr>
          <w:rFonts w:hint="eastAsia" w:ascii="仿宋" w:hAnsi="仿宋" w:eastAsia="仿宋" w:cs="仿宋"/>
          <w:spacing w:val="4"/>
          <w:sz w:val="30"/>
          <w:szCs w:val="30"/>
          <w:u w:val="single"/>
        </w:rPr>
        <w:t xml:space="preserve">         </w:t>
      </w:r>
      <w:r>
        <w:rPr>
          <w:rFonts w:hint="eastAsia" w:ascii="宋体" w:hAnsi="宋体" w:cs="宋体"/>
          <w:spacing w:val="4"/>
          <w:sz w:val="30"/>
          <w:szCs w:val="30"/>
        </w:rPr>
        <w:t>》</w:t>
      </w:r>
      <w:r>
        <w:rPr>
          <w:rFonts w:hint="eastAsia" w:ascii="仿宋" w:hAnsi="仿宋" w:eastAsia="仿宋" w:cs="仿宋"/>
          <w:spacing w:val="4"/>
          <w:sz w:val="30"/>
          <w:szCs w:val="30"/>
        </w:rPr>
        <w:t>(</w:t>
      </w:r>
      <w:r>
        <w:rPr>
          <w:rFonts w:hint="eastAsia" w:ascii="宋体" w:hAnsi="宋体" w:cs="宋体"/>
          <w:spacing w:val="4"/>
          <w:sz w:val="30"/>
          <w:szCs w:val="30"/>
        </w:rPr>
        <w:t>以下简称</w:t>
      </w:r>
      <w:r>
        <w:rPr>
          <w:rFonts w:eastAsia="仿宋"/>
          <w:spacing w:val="4"/>
          <w:sz w:val="30"/>
          <w:szCs w:val="30"/>
        </w:rPr>
        <w:t>“</w:t>
      </w:r>
      <w:r>
        <w:rPr>
          <w:rFonts w:hint="eastAsia" w:ascii="宋体" w:hAnsi="宋体" w:cs="宋体"/>
          <w:spacing w:val="4"/>
          <w:sz w:val="30"/>
          <w:szCs w:val="30"/>
        </w:rPr>
        <w:t>基础合同</w:t>
      </w:r>
      <w:r>
        <w:rPr>
          <w:rFonts w:eastAsia="仿宋"/>
          <w:spacing w:val="4"/>
          <w:sz w:val="30"/>
          <w:szCs w:val="30"/>
        </w:rPr>
        <w:t>”</w:t>
      </w:r>
      <w:r>
        <w:rPr>
          <w:rFonts w:hint="eastAsia" w:ascii="仿宋" w:hAnsi="仿宋" w:eastAsia="仿宋" w:cs="仿宋"/>
          <w:spacing w:val="4"/>
          <w:sz w:val="30"/>
          <w:szCs w:val="30"/>
        </w:rPr>
        <w:t>)</w:t>
      </w:r>
      <w:r>
        <w:rPr>
          <w:rFonts w:hint="eastAsia" w:ascii="宋体" w:hAnsi="宋体" w:cs="宋体"/>
          <w:spacing w:val="4"/>
          <w:sz w:val="30"/>
          <w:szCs w:val="30"/>
        </w:rPr>
        <w:t>约定的义务，向贵方提供不可撤销、不可转让的见索即付保函</w:t>
      </w:r>
      <w:r>
        <w:rPr>
          <w:rFonts w:hint="eastAsia" w:ascii="仿宋" w:hAnsi="仿宋" w:eastAsia="仿宋" w:cs="仿宋"/>
          <w:spacing w:val="4"/>
          <w:sz w:val="30"/>
          <w:szCs w:val="30"/>
        </w:rPr>
        <w:t>(</w:t>
      </w:r>
      <w:r>
        <w:rPr>
          <w:rFonts w:hint="eastAsia" w:ascii="宋体" w:hAnsi="宋体" w:cs="宋体"/>
          <w:spacing w:val="4"/>
          <w:sz w:val="30"/>
          <w:szCs w:val="30"/>
        </w:rPr>
        <w:t>以下简称</w:t>
      </w:r>
      <w:r>
        <w:rPr>
          <w:rFonts w:eastAsia="仿宋"/>
          <w:spacing w:val="4"/>
          <w:sz w:val="30"/>
          <w:szCs w:val="30"/>
        </w:rPr>
        <w:t>“</w:t>
      </w:r>
      <w:r>
        <w:rPr>
          <w:rFonts w:hint="eastAsia" w:ascii="宋体" w:hAnsi="宋体" w:cs="宋体"/>
          <w:spacing w:val="4"/>
          <w:sz w:val="30"/>
          <w:szCs w:val="30"/>
        </w:rPr>
        <w:t>本保函</w:t>
      </w:r>
      <w:r>
        <w:rPr>
          <w:rFonts w:eastAsia="仿宋"/>
          <w:spacing w:val="4"/>
          <w:sz w:val="30"/>
          <w:szCs w:val="30"/>
        </w:rPr>
        <w:t>”</w:t>
      </w:r>
      <w:r>
        <w:rPr>
          <w:rFonts w:hint="eastAsia" w:ascii="仿宋" w:hAnsi="仿宋" w:eastAsia="仿宋" w:cs="仿宋"/>
          <w:spacing w:val="4"/>
          <w:sz w:val="30"/>
          <w:szCs w:val="30"/>
        </w:rPr>
        <w:t>)</w:t>
      </w:r>
      <w:r>
        <w:rPr>
          <w:rFonts w:hint="eastAsia" w:ascii="宋体" w:hAnsi="宋体" w:cs="宋体"/>
          <w:spacing w:val="4"/>
          <w:sz w:val="30"/>
          <w:szCs w:val="30"/>
        </w:rPr>
        <w:t>。</w:t>
      </w:r>
    </w:p>
    <w:p w14:paraId="2DA5E610">
      <w:pPr>
        <w:pStyle w:val="8"/>
        <w:ind w:left="63" w:right="63"/>
        <w:jc w:val="left"/>
        <w:rPr>
          <w:rFonts w:ascii="仿宋" w:hAnsi="仿宋" w:eastAsia="仿宋" w:cs="仿宋"/>
          <w:spacing w:val="4"/>
          <w:sz w:val="30"/>
          <w:szCs w:val="30"/>
        </w:rPr>
      </w:pPr>
      <w:r>
        <w:rPr>
          <w:rFonts w:hint="eastAsia" w:ascii="宋体" w:hAnsi="宋体" w:cs="宋体"/>
          <w:spacing w:val="4"/>
          <w:sz w:val="30"/>
          <w:szCs w:val="30"/>
        </w:rPr>
        <w:t>一、本保函担保范围：承包人未按照基础合同的约定履行义务，应当向贵方承担的违约责任和赔偿因此造成的损失、利息、律师费、诉讼费用等实现债权的费用。</w:t>
      </w:r>
    </w:p>
    <w:p w14:paraId="4D305E67">
      <w:pPr>
        <w:pStyle w:val="8"/>
        <w:ind w:left="63" w:right="63"/>
        <w:jc w:val="left"/>
        <w:rPr>
          <w:rFonts w:ascii="仿宋" w:hAnsi="仿宋" w:eastAsia="仿宋" w:cs="仿宋"/>
          <w:spacing w:val="4"/>
          <w:sz w:val="30"/>
          <w:szCs w:val="30"/>
        </w:rPr>
      </w:pPr>
      <w:r>
        <w:rPr>
          <w:rFonts w:hint="eastAsia" w:ascii="宋体" w:hAnsi="宋体" w:cs="宋体"/>
          <w:spacing w:val="4"/>
          <w:sz w:val="30"/>
          <w:szCs w:val="30"/>
        </w:rPr>
        <w:t>二、本保函担保金额最高不超过人民币</w:t>
      </w:r>
      <w:r>
        <w:rPr>
          <w:rFonts w:hint="eastAsia" w:ascii="仿宋" w:hAnsi="仿宋" w:eastAsia="仿宋" w:cs="仿宋"/>
          <w:spacing w:val="4"/>
          <w:sz w:val="30"/>
          <w:szCs w:val="30"/>
        </w:rPr>
        <w:t>(</w:t>
      </w:r>
      <w:r>
        <w:rPr>
          <w:rFonts w:hint="eastAsia" w:ascii="宋体" w:hAnsi="宋体" w:cs="宋体"/>
          <w:spacing w:val="4"/>
          <w:sz w:val="30"/>
          <w:szCs w:val="30"/>
        </w:rPr>
        <w:t>大写</w:t>
      </w:r>
      <w:r>
        <w:rPr>
          <w:rFonts w:hint="eastAsia" w:ascii="仿宋" w:hAnsi="仿宋" w:eastAsia="仿宋" w:cs="仿宋"/>
          <w:spacing w:val="4"/>
          <w:sz w:val="30"/>
          <w:szCs w:val="30"/>
        </w:rPr>
        <w:t>)</w:t>
      </w:r>
      <w:r>
        <w:rPr>
          <w:rFonts w:hint="eastAsia" w:ascii="仿宋" w:hAnsi="仿宋" w:eastAsia="仿宋" w:cs="仿宋"/>
          <w:spacing w:val="4"/>
          <w:sz w:val="30"/>
          <w:szCs w:val="30"/>
          <w:u w:val="single"/>
        </w:rPr>
        <w:t xml:space="preserve">          </w:t>
      </w:r>
      <w:r>
        <w:rPr>
          <w:rFonts w:hint="eastAsia" w:ascii="宋体" w:hAnsi="宋体" w:cs="宋体"/>
          <w:spacing w:val="4"/>
          <w:sz w:val="30"/>
          <w:szCs w:val="30"/>
        </w:rPr>
        <w:t>元</w:t>
      </w:r>
    </w:p>
    <w:p w14:paraId="46EAB9D6">
      <w:pPr>
        <w:pStyle w:val="8"/>
        <w:ind w:left="63" w:right="63"/>
        <w:jc w:val="left"/>
        <w:rPr>
          <w:rFonts w:ascii="仿宋" w:hAnsi="仿宋" w:eastAsia="仿宋" w:cs="仿宋"/>
          <w:spacing w:val="4"/>
          <w:sz w:val="30"/>
          <w:szCs w:val="30"/>
        </w:rPr>
      </w:pPr>
      <w:r>
        <w:rPr>
          <w:rFonts w:hint="eastAsia" w:ascii="仿宋" w:hAnsi="仿宋" w:eastAsia="仿宋" w:cs="仿宋"/>
          <w:spacing w:val="4"/>
          <w:sz w:val="30"/>
          <w:szCs w:val="30"/>
        </w:rPr>
        <w:t>(¥</w:t>
      </w:r>
      <w:r>
        <w:rPr>
          <w:rFonts w:hint="eastAsia" w:ascii="仿宋" w:hAnsi="仿宋" w:eastAsia="仿宋" w:cs="仿宋"/>
          <w:spacing w:val="4"/>
          <w:sz w:val="30"/>
          <w:szCs w:val="30"/>
          <w:u w:val="single"/>
        </w:rPr>
        <w:t xml:space="preserve">         </w:t>
      </w:r>
      <w:r>
        <w:rPr>
          <w:rFonts w:hint="eastAsia" w:ascii="仿宋" w:hAnsi="仿宋" w:eastAsia="仿宋" w:cs="仿宋"/>
          <w:spacing w:val="4"/>
          <w:sz w:val="30"/>
          <w:szCs w:val="30"/>
        </w:rPr>
        <w:t>)</w:t>
      </w:r>
      <w:r>
        <w:rPr>
          <w:rFonts w:hint="eastAsia" w:ascii="宋体" w:hAnsi="宋体" w:cs="宋体"/>
          <w:spacing w:val="4"/>
          <w:sz w:val="30"/>
          <w:szCs w:val="30"/>
        </w:rPr>
        <w:t>。</w:t>
      </w:r>
    </w:p>
    <w:p w14:paraId="44180E94">
      <w:pPr>
        <w:pStyle w:val="8"/>
        <w:ind w:left="63" w:right="63"/>
        <w:jc w:val="left"/>
        <w:rPr>
          <w:rFonts w:ascii="仿宋" w:hAnsi="仿宋" w:eastAsia="仿宋" w:cs="仿宋"/>
          <w:spacing w:val="4"/>
          <w:sz w:val="30"/>
          <w:szCs w:val="30"/>
        </w:rPr>
      </w:pPr>
      <w:r>
        <w:rPr>
          <w:rFonts w:hint="eastAsia" w:ascii="宋体" w:hAnsi="宋体" w:cs="宋体"/>
          <w:spacing w:val="4"/>
          <w:sz w:val="30"/>
          <w:szCs w:val="30"/>
        </w:rPr>
        <w:t>三、本保函有效期自受益人与申请人签订的合同生效之日起至合同约定的工期截止日后</w:t>
      </w:r>
      <w:r>
        <w:rPr>
          <w:rFonts w:hint="eastAsia" w:ascii="仿宋" w:hAnsi="仿宋" w:eastAsia="仿宋" w:cs="仿宋"/>
          <w:spacing w:val="4"/>
          <w:sz w:val="30"/>
          <w:szCs w:val="30"/>
          <w:u w:val="single"/>
        </w:rPr>
        <w:t xml:space="preserve">   </w:t>
      </w:r>
      <w:r>
        <w:rPr>
          <w:rFonts w:hint="eastAsia" w:ascii="宋体" w:hAnsi="宋体" w:cs="宋体"/>
          <w:spacing w:val="4"/>
          <w:sz w:val="30"/>
          <w:szCs w:val="30"/>
        </w:rPr>
        <w:t>天，最迟不超过</w:t>
      </w:r>
      <w:r>
        <w:rPr>
          <w:rFonts w:hint="eastAsia" w:ascii="仿宋" w:hAnsi="仿宋" w:eastAsia="仿宋" w:cs="仿宋"/>
          <w:spacing w:val="4"/>
          <w:sz w:val="30"/>
          <w:szCs w:val="30"/>
          <w:u w:val="single"/>
        </w:rPr>
        <w:t xml:space="preserve"> </w:t>
      </w:r>
      <w:r>
        <w:rPr>
          <w:rFonts w:ascii="仿宋" w:hAnsi="仿宋" w:eastAsia="仿宋" w:cs="仿宋"/>
          <w:spacing w:val="4"/>
          <w:sz w:val="30"/>
          <w:szCs w:val="30"/>
          <w:u w:val="single"/>
        </w:rPr>
        <w:t xml:space="preserve"> </w:t>
      </w:r>
      <w:r>
        <w:rPr>
          <w:rFonts w:hint="eastAsia" w:ascii="仿宋" w:hAnsi="仿宋" w:eastAsia="仿宋" w:cs="仿宋"/>
          <w:spacing w:val="4"/>
          <w:sz w:val="30"/>
          <w:szCs w:val="30"/>
          <w:u w:val="single"/>
        </w:rPr>
        <w:t xml:space="preserve"> </w:t>
      </w:r>
      <w:r>
        <w:rPr>
          <w:rFonts w:hint="eastAsia" w:ascii="宋体" w:hAnsi="宋体" w:cs="宋体"/>
          <w:spacing w:val="4"/>
          <w:sz w:val="30"/>
          <w:szCs w:val="30"/>
        </w:rPr>
        <w:t>年</w:t>
      </w:r>
      <w:r>
        <w:rPr>
          <w:rFonts w:hint="eastAsia" w:ascii="仿宋" w:hAnsi="仿宋" w:eastAsia="仿宋" w:cs="仿宋"/>
          <w:spacing w:val="4"/>
          <w:sz w:val="30"/>
          <w:szCs w:val="30"/>
          <w:u w:val="single"/>
        </w:rPr>
        <w:t xml:space="preserve">  </w:t>
      </w:r>
      <w:r>
        <w:rPr>
          <w:rFonts w:ascii="仿宋" w:hAnsi="仿宋" w:eastAsia="仿宋" w:cs="仿宋"/>
          <w:spacing w:val="4"/>
          <w:sz w:val="30"/>
          <w:szCs w:val="30"/>
          <w:u w:val="single"/>
        </w:rPr>
        <w:t xml:space="preserve"> </w:t>
      </w:r>
      <w:r>
        <w:rPr>
          <w:rFonts w:hint="eastAsia" w:ascii="宋体" w:hAnsi="宋体" w:cs="宋体"/>
          <w:spacing w:val="4"/>
          <w:sz w:val="30"/>
          <w:szCs w:val="30"/>
        </w:rPr>
        <w:t>月</w:t>
      </w:r>
      <w:r>
        <w:rPr>
          <w:rFonts w:hint="eastAsia" w:ascii="仿宋" w:hAnsi="仿宋" w:eastAsia="仿宋" w:cs="仿宋"/>
          <w:spacing w:val="4"/>
          <w:sz w:val="30"/>
          <w:szCs w:val="30"/>
          <w:u w:val="single"/>
        </w:rPr>
        <w:t xml:space="preserve">   </w:t>
      </w:r>
      <w:r>
        <w:rPr>
          <w:rFonts w:hint="eastAsia" w:ascii="宋体" w:hAnsi="宋体" w:cs="宋体"/>
          <w:spacing w:val="4"/>
          <w:sz w:val="30"/>
          <w:szCs w:val="30"/>
        </w:rPr>
        <w:t>日。</w:t>
      </w:r>
    </w:p>
    <w:p w14:paraId="55A90E09">
      <w:pPr>
        <w:pStyle w:val="8"/>
        <w:ind w:left="63" w:right="63"/>
        <w:jc w:val="left"/>
        <w:rPr>
          <w:rFonts w:ascii="仿宋" w:hAnsi="仿宋" w:eastAsia="仿宋" w:cs="仿宋"/>
          <w:spacing w:val="4"/>
          <w:sz w:val="30"/>
          <w:szCs w:val="30"/>
        </w:rPr>
      </w:pPr>
      <w:r>
        <w:rPr>
          <w:rFonts w:hint="eastAsia" w:ascii="宋体" w:hAnsi="宋体" w:cs="宋体"/>
          <w:spacing w:val="4"/>
          <w:sz w:val="30"/>
          <w:szCs w:val="30"/>
        </w:rPr>
        <w:t>四、我方承诺，在收到受益人发来的书面索赔通知和本保函原件后的</w:t>
      </w:r>
      <w:r>
        <w:rPr>
          <w:rFonts w:hint="eastAsia" w:ascii="仿宋" w:hAnsi="仿宋" w:eastAsia="仿宋" w:cs="仿宋"/>
          <w:spacing w:val="4"/>
          <w:sz w:val="30"/>
          <w:szCs w:val="30"/>
          <w:u w:val="single"/>
        </w:rPr>
        <w:t xml:space="preserve">    </w:t>
      </w:r>
      <w:r>
        <w:rPr>
          <w:rFonts w:hint="eastAsia" w:ascii="宋体" w:hAnsi="宋体" w:cs="宋体"/>
          <w:spacing w:val="4"/>
          <w:sz w:val="30"/>
          <w:szCs w:val="30"/>
        </w:rPr>
        <w:t>个工作日内无条件支付至受益人指定账户，前述书面索赔通知即为付款要求之单据，且应满足以下要求：</w:t>
      </w:r>
    </w:p>
    <w:p w14:paraId="5526D23D">
      <w:pPr>
        <w:pStyle w:val="8"/>
        <w:ind w:left="63" w:right="63" w:firstLine="616" w:firstLineChars="200"/>
        <w:jc w:val="left"/>
        <w:rPr>
          <w:rFonts w:ascii="仿宋" w:hAnsi="仿宋" w:eastAsia="仿宋" w:cs="仿宋"/>
          <w:spacing w:val="4"/>
          <w:sz w:val="30"/>
          <w:szCs w:val="30"/>
        </w:rPr>
      </w:pPr>
      <w:r>
        <w:rPr>
          <w:rFonts w:hint="eastAsia" w:ascii="仿宋" w:hAnsi="仿宋" w:eastAsia="仿宋" w:cs="仿宋"/>
          <w:spacing w:val="4"/>
          <w:sz w:val="30"/>
          <w:szCs w:val="30"/>
        </w:rPr>
        <w:t>(1)</w:t>
      </w:r>
      <w:r>
        <w:rPr>
          <w:rFonts w:hint="eastAsia" w:ascii="宋体" w:hAnsi="宋体" w:cs="宋体"/>
          <w:spacing w:val="4"/>
          <w:sz w:val="30"/>
          <w:szCs w:val="30"/>
        </w:rPr>
        <w:t>索赔通知到达的日期在本保函的有效期内；</w:t>
      </w:r>
    </w:p>
    <w:p w14:paraId="19AF57D2">
      <w:pPr>
        <w:pStyle w:val="8"/>
        <w:ind w:left="63" w:right="63" w:firstLine="616" w:firstLineChars="200"/>
        <w:jc w:val="left"/>
        <w:rPr>
          <w:rFonts w:ascii="仿宋" w:hAnsi="仿宋" w:eastAsia="仿宋" w:cs="仿宋"/>
          <w:spacing w:val="4"/>
          <w:sz w:val="30"/>
          <w:szCs w:val="30"/>
        </w:rPr>
      </w:pPr>
      <w:r>
        <w:rPr>
          <w:rFonts w:hint="eastAsia" w:ascii="仿宋" w:hAnsi="仿宋" w:eastAsia="仿宋" w:cs="仿宋"/>
          <w:spacing w:val="4"/>
          <w:sz w:val="30"/>
          <w:szCs w:val="30"/>
        </w:rPr>
        <w:t>(2)</w:t>
      </w:r>
      <w:r>
        <w:rPr>
          <w:rFonts w:hint="eastAsia" w:ascii="宋体" w:hAnsi="宋体" w:cs="宋体"/>
          <w:spacing w:val="4"/>
          <w:sz w:val="30"/>
          <w:szCs w:val="30"/>
        </w:rPr>
        <w:t>载明要求支付的金额；</w:t>
      </w:r>
    </w:p>
    <w:p w14:paraId="5A8DF9F2">
      <w:pPr>
        <w:pStyle w:val="8"/>
        <w:ind w:left="63" w:right="63" w:firstLine="616" w:firstLineChars="200"/>
        <w:jc w:val="left"/>
        <w:rPr>
          <w:rFonts w:ascii="仿宋" w:hAnsi="仿宋" w:eastAsia="仿宋" w:cs="仿宋"/>
          <w:spacing w:val="4"/>
          <w:sz w:val="30"/>
          <w:szCs w:val="30"/>
        </w:rPr>
      </w:pPr>
      <w:r>
        <w:rPr>
          <w:rFonts w:hint="eastAsia" w:ascii="仿宋" w:hAnsi="仿宋" w:eastAsia="仿宋" w:cs="仿宋"/>
          <w:spacing w:val="4"/>
          <w:sz w:val="30"/>
          <w:szCs w:val="30"/>
        </w:rPr>
        <w:t>(3)</w:t>
      </w:r>
      <w:r>
        <w:rPr>
          <w:rFonts w:hint="eastAsia" w:ascii="宋体" w:hAnsi="宋体" w:cs="宋体"/>
          <w:spacing w:val="4"/>
          <w:sz w:val="30"/>
          <w:szCs w:val="30"/>
        </w:rPr>
        <w:t>载明申请人违反合同义务的条款和内容；</w:t>
      </w:r>
    </w:p>
    <w:p w14:paraId="4312E7B5">
      <w:pPr>
        <w:pStyle w:val="8"/>
        <w:ind w:left="63" w:right="63" w:firstLine="616" w:firstLineChars="200"/>
        <w:jc w:val="left"/>
        <w:rPr>
          <w:rFonts w:ascii="仿宋" w:hAnsi="仿宋" w:eastAsia="仿宋" w:cs="仿宋"/>
          <w:spacing w:val="4"/>
          <w:sz w:val="30"/>
          <w:szCs w:val="30"/>
        </w:rPr>
      </w:pPr>
      <w:r>
        <w:rPr>
          <w:rFonts w:hint="eastAsia" w:ascii="仿宋" w:hAnsi="仿宋" w:eastAsia="仿宋" w:cs="仿宋"/>
          <w:spacing w:val="4"/>
          <w:sz w:val="30"/>
          <w:szCs w:val="30"/>
        </w:rPr>
        <w:t>(4)</w:t>
      </w:r>
      <w:r>
        <w:rPr>
          <w:rFonts w:hint="eastAsia" w:ascii="宋体" w:hAnsi="宋体" w:cs="宋体"/>
          <w:spacing w:val="4"/>
          <w:sz w:val="30"/>
          <w:szCs w:val="30"/>
        </w:rPr>
        <w:t>声明不存在合同文件约定或我国法律规定免除申请人或开立人支付责任的情形；</w:t>
      </w:r>
    </w:p>
    <w:p w14:paraId="0E8F68B7">
      <w:pPr>
        <w:pStyle w:val="8"/>
        <w:ind w:left="63" w:right="63" w:firstLine="616" w:firstLineChars="200"/>
        <w:jc w:val="left"/>
        <w:rPr>
          <w:rFonts w:ascii="仿宋" w:hAnsi="仿宋" w:eastAsia="仿宋" w:cs="仿宋"/>
          <w:spacing w:val="4"/>
          <w:sz w:val="30"/>
          <w:szCs w:val="30"/>
        </w:rPr>
      </w:pPr>
      <w:r>
        <w:rPr>
          <w:rFonts w:hint="eastAsia" w:ascii="仿宋" w:hAnsi="仿宋" w:eastAsia="仿宋" w:cs="仿宋"/>
          <w:spacing w:val="4"/>
          <w:sz w:val="30"/>
          <w:szCs w:val="30"/>
        </w:rPr>
        <w:t>(5)</w:t>
      </w:r>
      <w:r>
        <w:rPr>
          <w:rFonts w:hint="eastAsia" w:ascii="宋体" w:hAnsi="宋体" w:cs="宋体"/>
          <w:spacing w:val="4"/>
          <w:sz w:val="30"/>
          <w:szCs w:val="30"/>
        </w:rPr>
        <w:t>索赔通知应在本保函有效期内到达的地址是：</w:t>
      </w:r>
      <w:r>
        <w:rPr>
          <w:rFonts w:hint="eastAsia" w:ascii="仿宋" w:hAnsi="仿宋" w:eastAsia="仿宋" w:cs="仿宋"/>
          <w:spacing w:val="4"/>
          <w:sz w:val="30"/>
          <w:szCs w:val="30"/>
          <w:u w:val="single"/>
        </w:rPr>
        <w:t xml:space="preserve">         </w:t>
      </w:r>
      <w:r>
        <w:rPr>
          <w:rFonts w:hint="eastAsia" w:ascii="宋体" w:hAnsi="宋体" w:cs="宋体"/>
          <w:spacing w:val="4"/>
          <w:sz w:val="30"/>
          <w:szCs w:val="30"/>
        </w:rPr>
        <w:t>。</w:t>
      </w:r>
    </w:p>
    <w:p w14:paraId="033A9E71">
      <w:pPr>
        <w:pStyle w:val="8"/>
        <w:ind w:left="63" w:right="63" w:firstLine="616" w:firstLineChars="200"/>
        <w:jc w:val="left"/>
        <w:rPr>
          <w:rFonts w:ascii="仿宋" w:hAnsi="仿宋" w:eastAsia="仿宋" w:cs="仿宋"/>
          <w:spacing w:val="4"/>
          <w:sz w:val="30"/>
          <w:szCs w:val="30"/>
        </w:rPr>
      </w:pPr>
      <w:r>
        <w:rPr>
          <w:rFonts w:hint="eastAsia" w:ascii="宋体" w:hAnsi="宋体" w:cs="宋体"/>
          <w:spacing w:val="4"/>
          <w:sz w:val="30"/>
          <w:szCs w:val="30"/>
        </w:rPr>
        <w:t>受益人发出的书面索赔通知应由其为鉴明受益人法定代表人</w:t>
      </w:r>
      <w:r>
        <w:rPr>
          <w:rFonts w:hint="eastAsia" w:ascii="仿宋" w:hAnsi="仿宋" w:eastAsia="仿宋" w:cs="仿宋"/>
          <w:spacing w:val="4"/>
          <w:sz w:val="30"/>
          <w:szCs w:val="30"/>
        </w:rPr>
        <w:t>(</w:t>
      </w:r>
      <w:r>
        <w:rPr>
          <w:rFonts w:hint="eastAsia" w:ascii="宋体" w:hAnsi="宋体" w:cs="宋体"/>
          <w:spacing w:val="4"/>
          <w:sz w:val="30"/>
          <w:szCs w:val="30"/>
        </w:rPr>
        <w:t>负责人</w:t>
      </w:r>
      <w:r>
        <w:rPr>
          <w:rFonts w:hint="eastAsia" w:ascii="仿宋" w:hAnsi="仿宋" w:eastAsia="仿宋" w:cs="仿宋"/>
          <w:spacing w:val="4"/>
          <w:sz w:val="30"/>
          <w:szCs w:val="30"/>
        </w:rPr>
        <w:t>)</w:t>
      </w:r>
      <w:r>
        <w:rPr>
          <w:rFonts w:hint="eastAsia" w:ascii="宋体" w:hAnsi="宋体" w:cs="宋体"/>
          <w:spacing w:val="4"/>
          <w:sz w:val="30"/>
          <w:szCs w:val="30"/>
        </w:rPr>
        <w:t>或授权代理人签字或盖个人名章并加盖公章。</w:t>
      </w:r>
    </w:p>
    <w:p w14:paraId="229DEC14">
      <w:pPr>
        <w:pStyle w:val="8"/>
        <w:ind w:left="63" w:right="63"/>
        <w:jc w:val="left"/>
        <w:rPr>
          <w:rFonts w:ascii="仿宋" w:hAnsi="仿宋" w:eastAsia="仿宋" w:cs="仿宋"/>
          <w:spacing w:val="4"/>
          <w:sz w:val="30"/>
          <w:szCs w:val="30"/>
        </w:rPr>
      </w:pPr>
      <w:r>
        <w:rPr>
          <w:rFonts w:hint="eastAsia" w:ascii="宋体" w:hAnsi="宋体" w:cs="宋体"/>
          <w:spacing w:val="4"/>
          <w:sz w:val="30"/>
          <w:szCs w:val="30"/>
        </w:rPr>
        <w:t>五、本保函项下的权利不得转让，不得设定担保。贵方未经我方书面同意转让本保函或其项下任何权利，对我方不发生法律效力。</w:t>
      </w:r>
    </w:p>
    <w:p w14:paraId="0CA7E517">
      <w:pPr>
        <w:pStyle w:val="8"/>
        <w:ind w:left="63" w:right="63"/>
        <w:jc w:val="left"/>
        <w:rPr>
          <w:rFonts w:ascii="仿宋" w:hAnsi="仿宋" w:eastAsia="仿宋" w:cs="仿宋"/>
          <w:spacing w:val="4"/>
          <w:sz w:val="30"/>
          <w:szCs w:val="30"/>
        </w:rPr>
      </w:pPr>
      <w:r>
        <w:rPr>
          <w:rFonts w:hint="eastAsia" w:ascii="宋体" w:hAnsi="宋体" w:cs="宋体"/>
          <w:spacing w:val="4"/>
          <w:sz w:val="30"/>
          <w:szCs w:val="30"/>
        </w:rPr>
        <w:t>六、与本保函有关的基础合同不成立、不生效、无效、被撤销、被解除，不影响本保函的独立有效。</w:t>
      </w:r>
    </w:p>
    <w:p w14:paraId="3525CF60">
      <w:pPr>
        <w:pStyle w:val="8"/>
        <w:ind w:left="63" w:right="63"/>
        <w:jc w:val="left"/>
        <w:rPr>
          <w:rFonts w:ascii="仿宋" w:hAnsi="仿宋" w:eastAsia="仿宋" w:cs="仿宋"/>
          <w:spacing w:val="4"/>
          <w:sz w:val="30"/>
          <w:szCs w:val="30"/>
        </w:rPr>
      </w:pPr>
      <w:r>
        <w:rPr>
          <w:rFonts w:hint="eastAsia" w:ascii="宋体" w:hAnsi="宋体" w:cs="宋体"/>
          <w:spacing w:val="4"/>
          <w:sz w:val="30"/>
          <w:szCs w:val="30"/>
        </w:rPr>
        <w:t>七、贵方应在本保函到期后的七个工作日内将本保函正本退回我方注销，但是不论贵方是否按此要求将本保函正本退回我方，我方在本保函项下的义务和责任均在保函有效期到期后自动消灭。</w:t>
      </w:r>
    </w:p>
    <w:p w14:paraId="3AEFDB0A">
      <w:pPr>
        <w:pStyle w:val="8"/>
        <w:ind w:left="63" w:right="63"/>
        <w:jc w:val="left"/>
        <w:rPr>
          <w:rFonts w:ascii="仿宋" w:hAnsi="仿宋" w:eastAsia="仿宋" w:cs="仿宋"/>
          <w:spacing w:val="4"/>
          <w:sz w:val="30"/>
          <w:szCs w:val="30"/>
        </w:rPr>
      </w:pPr>
      <w:r>
        <w:rPr>
          <w:rFonts w:hint="eastAsia" w:ascii="宋体" w:hAnsi="宋体" w:cs="宋体"/>
          <w:spacing w:val="4"/>
          <w:sz w:val="30"/>
          <w:szCs w:val="30"/>
        </w:rPr>
        <w:t>八、本保函适用的法律为中华人民共和国法律，争议裁判管辖地为中华人民共和国</w:t>
      </w:r>
      <w:r>
        <w:rPr>
          <w:rFonts w:hint="eastAsia" w:ascii="仿宋" w:hAnsi="仿宋" w:eastAsia="仿宋" w:cs="仿宋"/>
          <w:spacing w:val="4"/>
          <w:sz w:val="30"/>
          <w:szCs w:val="30"/>
          <w:u w:val="single"/>
        </w:rPr>
        <w:t xml:space="preserve">            </w:t>
      </w:r>
      <w:r>
        <w:rPr>
          <w:rFonts w:hint="eastAsia" w:ascii="仿宋" w:hAnsi="仿宋" w:eastAsia="仿宋" w:cs="仿宋"/>
          <w:spacing w:val="4"/>
          <w:sz w:val="30"/>
          <w:szCs w:val="30"/>
        </w:rPr>
        <w:t>。</w:t>
      </w:r>
    </w:p>
    <w:p w14:paraId="489CB95A">
      <w:pPr>
        <w:pStyle w:val="8"/>
        <w:ind w:left="63" w:right="63"/>
        <w:jc w:val="left"/>
        <w:rPr>
          <w:rFonts w:ascii="仿宋" w:hAnsi="仿宋" w:eastAsia="仿宋" w:cs="仿宋"/>
          <w:spacing w:val="4"/>
          <w:sz w:val="30"/>
          <w:szCs w:val="30"/>
        </w:rPr>
      </w:pPr>
      <w:r>
        <w:rPr>
          <w:rFonts w:hint="eastAsia" w:ascii="宋体" w:hAnsi="宋体" w:cs="宋体"/>
          <w:spacing w:val="4"/>
          <w:sz w:val="30"/>
          <w:szCs w:val="30"/>
        </w:rPr>
        <w:t>九、本保函自我方法定代表人或授权代表签字或盖个人名章并加盖公章或合同专用章之日起生效。</w:t>
      </w:r>
    </w:p>
    <w:p w14:paraId="6EC267FC">
      <w:pPr>
        <w:pStyle w:val="8"/>
        <w:ind w:left="63" w:right="63"/>
        <w:jc w:val="left"/>
        <w:rPr>
          <w:rFonts w:ascii="仿宋" w:hAnsi="仿宋" w:eastAsia="仿宋" w:cs="仿宋"/>
          <w:spacing w:val="4"/>
          <w:sz w:val="30"/>
          <w:szCs w:val="30"/>
        </w:rPr>
      </w:pPr>
      <w:r>
        <w:rPr>
          <w:rFonts w:hint="eastAsia" w:ascii="宋体" w:hAnsi="宋体" w:cs="宋体"/>
          <w:spacing w:val="4"/>
          <w:sz w:val="30"/>
          <w:szCs w:val="30"/>
        </w:rPr>
        <w:t>十、本保函在重庆市辖区范围内的核验地点：</w:t>
      </w:r>
      <w:r>
        <w:rPr>
          <w:rFonts w:hint="eastAsia" w:ascii="仿宋" w:hAnsi="仿宋" w:eastAsia="仿宋" w:cs="仿宋"/>
          <w:spacing w:val="4"/>
          <w:sz w:val="30"/>
          <w:szCs w:val="30"/>
          <w:u w:val="single"/>
        </w:rPr>
        <w:t xml:space="preserve">            </w:t>
      </w:r>
      <w:r>
        <w:rPr>
          <w:rFonts w:hint="eastAsia" w:ascii="仿宋" w:hAnsi="仿宋" w:eastAsia="仿宋" w:cs="仿宋"/>
          <w:spacing w:val="4"/>
          <w:sz w:val="30"/>
          <w:szCs w:val="30"/>
        </w:rPr>
        <w:t>；</w:t>
      </w:r>
      <w:r>
        <w:rPr>
          <w:rFonts w:hint="eastAsia" w:ascii="宋体" w:hAnsi="宋体" w:cs="宋体"/>
          <w:spacing w:val="4"/>
          <w:sz w:val="30"/>
          <w:szCs w:val="30"/>
        </w:rPr>
        <w:t>核验方式：</w:t>
      </w:r>
      <w:r>
        <w:rPr>
          <w:rFonts w:hint="eastAsia" w:ascii="仿宋" w:hAnsi="仿宋" w:eastAsia="仿宋" w:cs="仿宋"/>
          <w:spacing w:val="4"/>
          <w:sz w:val="30"/>
          <w:szCs w:val="30"/>
          <w:u w:val="single"/>
        </w:rPr>
        <w:t xml:space="preserve">          </w:t>
      </w:r>
      <w:r>
        <w:rPr>
          <w:rFonts w:hint="eastAsia" w:ascii="仿宋" w:hAnsi="仿宋" w:eastAsia="仿宋" w:cs="仿宋"/>
          <w:spacing w:val="4"/>
          <w:sz w:val="30"/>
          <w:szCs w:val="30"/>
        </w:rPr>
        <w:t>。</w:t>
      </w:r>
    </w:p>
    <w:p w14:paraId="2B7C7701">
      <w:pPr>
        <w:pStyle w:val="8"/>
        <w:ind w:left="63" w:right="63"/>
        <w:rPr>
          <w:rFonts w:ascii="仿宋" w:hAnsi="仿宋" w:eastAsia="仿宋" w:cs="仿宋"/>
          <w:spacing w:val="4"/>
          <w:sz w:val="30"/>
          <w:szCs w:val="30"/>
        </w:rPr>
      </w:pPr>
    </w:p>
    <w:p w14:paraId="4D3C9A44">
      <w:pPr>
        <w:pStyle w:val="8"/>
        <w:ind w:left="63" w:right="63"/>
        <w:rPr>
          <w:rFonts w:ascii="仿宋" w:hAnsi="仿宋" w:eastAsia="仿宋" w:cs="仿宋"/>
          <w:spacing w:val="4"/>
          <w:sz w:val="30"/>
          <w:szCs w:val="30"/>
        </w:rPr>
      </w:pPr>
    </w:p>
    <w:p w14:paraId="6AF523D0">
      <w:pPr>
        <w:pStyle w:val="8"/>
        <w:ind w:left="63" w:right="63" w:firstLine="616" w:firstLineChars="200"/>
        <w:rPr>
          <w:rFonts w:ascii="仿宋" w:hAnsi="仿宋" w:eastAsia="仿宋" w:cs="仿宋"/>
          <w:spacing w:val="4"/>
          <w:sz w:val="30"/>
          <w:szCs w:val="30"/>
        </w:rPr>
      </w:pPr>
      <w:r>
        <w:rPr>
          <w:rFonts w:hint="eastAsia" w:ascii="宋体" w:hAnsi="宋体" w:cs="宋体"/>
          <w:spacing w:val="4"/>
          <w:sz w:val="30"/>
          <w:szCs w:val="30"/>
        </w:rPr>
        <w:t>开立人</w:t>
      </w:r>
      <w:r>
        <w:rPr>
          <w:rFonts w:hint="eastAsia" w:ascii="仿宋" w:hAnsi="仿宋" w:eastAsia="仿宋" w:cs="仿宋"/>
          <w:spacing w:val="4"/>
          <w:sz w:val="30"/>
          <w:szCs w:val="30"/>
        </w:rPr>
        <w:t xml:space="preserve"> </w:t>
      </w:r>
      <w:r>
        <w:rPr>
          <w:rFonts w:hint="eastAsia" w:ascii="宋体" w:hAnsi="宋体" w:cs="宋体"/>
          <w:spacing w:val="4"/>
          <w:sz w:val="30"/>
          <w:szCs w:val="30"/>
        </w:rPr>
        <w:t>：</w:t>
      </w:r>
      <w:r>
        <w:rPr>
          <w:rFonts w:hint="eastAsia" w:ascii="仿宋" w:hAnsi="仿宋" w:eastAsia="仿宋" w:cs="仿宋"/>
          <w:spacing w:val="4"/>
          <w:sz w:val="30"/>
          <w:szCs w:val="30"/>
        </w:rPr>
        <w:t xml:space="preserve">         ( </w:t>
      </w:r>
      <w:r>
        <w:rPr>
          <w:rFonts w:hint="eastAsia" w:ascii="宋体" w:hAnsi="宋体" w:cs="宋体"/>
          <w:spacing w:val="4"/>
          <w:sz w:val="30"/>
          <w:szCs w:val="30"/>
        </w:rPr>
        <w:t>公</w:t>
      </w:r>
      <w:r>
        <w:rPr>
          <w:rFonts w:hint="eastAsia" w:ascii="仿宋" w:hAnsi="仿宋" w:eastAsia="仿宋" w:cs="仿宋"/>
          <w:spacing w:val="4"/>
          <w:sz w:val="30"/>
          <w:szCs w:val="30"/>
        </w:rPr>
        <w:t xml:space="preserve"> </w:t>
      </w:r>
      <w:r>
        <w:rPr>
          <w:rFonts w:hint="eastAsia" w:ascii="宋体" w:hAnsi="宋体" w:cs="宋体"/>
          <w:spacing w:val="4"/>
          <w:sz w:val="30"/>
          <w:szCs w:val="30"/>
        </w:rPr>
        <w:t>章</w:t>
      </w:r>
      <w:r>
        <w:rPr>
          <w:rFonts w:hint="eastAsia" w:ascii="仿宋" w:hAnsi="仿宋" w:eastAsia="仿宋" w:cs="仿宋"/>
          <w:spacing w:val="4"/>
          <w:sz w:val="30"/>
          <w:szCs w:val="30"/>
        </w:rPr>
        <w:t xml:space="preserve"> )</w:t>
      </w:r>
    </w:p>
    <w:p w14:paraId="13E9FD5C"/>
    <w:p w14:paraId="6613C95B">
      <w:pPr>
        <w:pStyle w:val="8"/>
        <w:ind w:left="63" w:right="63" w:firstLine="616" w:firstLineChars="200"/>
        <w:rPr>
          <w:rFonts w:ascii="仿宋" w:hAnsi="仿宋" w:eastAsia="仿宋" w:cs="仿宋"/>
          <w:spacing w:val="4"/>
          <w:sz w:val="30"/>
          <w:szCs w:val="30"/>
        </w:rPr>
      </w:pPr>
      <w:r>
        <w:rPr>
          <w:rFonts w:hint="eastAsia" w:ascii="宋体" w:hAnsi="宋体" w:cs="宋体"/>
          <w:spacing w:val="4"/>
          <w:sz w:val="30"/>
          <w:szCs w:val="30"/>
        </w:rPr>
        <w:t>法定代表人</w:t>
      </w:r>
      <w:r>
        <w:rPr>
          <w:rFonts w:hint="eastAsia" w:ascii="仿宋" w:hAnsi="仿宋" w:eastAsia="仿宋" w:cs="仿宋"/>
          <w:spacing w:val="4"/>
          <w:sz w:val="30"/>
          <w:szCs w:val="30"/>
        </w:rPr>
        <w:t>(</w:t>
      </w:r>
      <w:r>
        <w:rPr>
          <w:rFonts w:hint="eastAsia" w:ascii="宋体" w:hAnsi="宋体" w:cs="宋体"/>
          <w:spacing w:val="4"/>
          <w:sz w:val="30"/>
          <w:szCs w:val="30"/>
        </w:rPr>
        <w:t>或授权代表</w:t>
      </w:r>
      <w:r>
        <w:rPr>
          <w:rFonts w:hint="eastAsia" w:ascii="仿宋" w:hAnsi="仿宋" w:eastAsia="仿宋" w:cs="仿宋"/>
          <w:spacing w:val="4"/>
          <w:sz w:val="30"/>
          <w:szCs w:val="30"/>
        </w:rPr>
        <w:t xml:space="preserve">):     </w:t>
      </w:r>
      <w:r>
        <w:rPr>
          <w:rFonts w:ascii="仿宋" w:hAnsi="仿宋" w:eastAsia="仿宋" w:cs="仿宋"/>
          <w:spacing w:val="4"/>
          <w:sz w:val="30"/>
          <w:szCs w:val="30"/>
        </w:rPr>
        <w:t xml:space="preserve"> </w:t>
      </w:r>
      <w:r>
        <w:rPr>
          <w:rFonts w:hint="eastAsia" w:ascii="仿宋" w:hAnsi="仿宋" w:eastAsia="仿宋" w:cs="仿宋"/>
          <w:spacing w:val="4"/>
          <w:sz w:val="30"/>
          <w:szCs w:val="30"/>
        </w:rPr>
        <w:t>(</w:t>
      </w:r>
      <w:r>
        <w:rPr>
          <w:rFonts w:hint="eastAsia" w:ascii="宋体" w:hAnsi="宋体" w:cs="宋体"/>
          <w:spacing w:val="4"/>
          <w:sz w:val="30"/>
          <w:szCs w:val="30"/>
        </w:rPr>
        <w:t>签字或盖个人名章</w:t>
      </w:r>
      <w:r>
        <w:rPr>
          <w:rFonts w:hint="eastAsia" w:ascii="仿宋" w:hAnsi="仿宋" w:eastAsia="仿宋" w:cs="仿宋"/>
          <w:spacing w:val="4"/>
          <w:sz w:val="30"/>
          <w:szCs w:val="30"/>
        </w:rPr>
        <w:t>)</w:t>
      </w:r>
    </w:p>
    <w:p w14:paraId="6858B3A5">
      <w:pPr>
        <w:pStyle w:val="8"/>
        <w:ind w:left="63" w:right="63" w:firstLine="616" w:firstLineChars="200"/>
        <w:rPr>
          <w:rFonts w:ascii="仿宋" w:hAnsi="仿宋" w:eastAsia="仿宋" w:cs="仿宋"/>
          <w:spacing w:val="4"/>
          <w:sz w:val="30"/>
          <w:szCs w:val="30"/>
        </w:rPr>
      </w:pPr>
      <w:r>
        <w:rPr>
          <w:rFonts w:hint="eastAsia" w:ascii="宋体" w:hAnsi="宋体" w:cs="宋体"/>
          <w:spacing w:val="4"/>
          <w:sz w:val="30"/>
          <w:szCs w:val="30"/>
        </w:rPr>
        <w:t>地</w:t>
      </w:r>
      <w:r>
        <w:rPr>
          <w:rFonts w:hint="eastAsia" w:ascii="仿宋" w:hAnsi="仿宋" w:eastAsia="仿宋" w:cs="仿宋"/>
          <w:spacing w:val="4"/>
          <w:sz w:val="30"/>
          <w:szCs w:val="30"/>
        </w:rPr>
        <w:t xml:space="preserve">    </w:t>
      </w:r>
      <w:r>
        <w:rPr>
          <w:rFonts w:hint="eastAsia" w:ascii="宋体" w:hAnsi="宋体" w:cs="宋体"/>
          <w:spacing w:val="4"/>
          <w:sz w:val="30"/>
          <w:szCs w:val="30"/>
        </w:rPr>
        <w:t>址</w:t>
      </w:r>
      <w:r>
        <w:rPr>
          <w:rFonts w:hint="eastAsia" w:ascii="仿宋" w:hAnsi="仿宋" w:eastAsia="仿宋" w:cs="仿宋"/>
          <w:spacing w:val="4"/>
          <w:sz w:val="30"/>
          <w:szCs w:val="30"/>
        </w:rPr>
        <w:t xml:space="preserve"> </w:t>
      </w:r>
      <w:r>
        <w:rPr>
          <w:rFonts w:hint="eastAsia" w:ascii="宋体" w:hAnsi="宋体" w:cs="宋体"/>
          <w:spacing w:val="4"/>
          <w:sz w:val="30"/>
          <w:szCs w:val="30"/>
        </w:rPr>
        <w:t>：</w:t>
      </w:r>
      <w:r>
        <w:rPr>
          <w:rFonts w:hint="eastAsia" w:ascii="仿宋" w:hAnsi="仿宋" w:eastAsia="仿宋" w:cs="仿宋"/>
          <w:spacing w:val="4"/>
          <w:sz w:val="30"/>
          <w:szCs w:val="30"/>
        </w:rPr>
        <w:t xml:space="preserve">                                             </w:t>
      </w:r>
    </w:p>
    <w:p w14:paraId="23450701">
      <w:pPr>
        <w:pStyle w:val="8"/>
        <w:ind w:left="63" w:right="63" w:firstLine="616" w:firstLineChars="200"/>
        <w:rPr>
          <w:rFonts w:ascii="仿宋" w:hAnsi="仿宋" w:eastAsia="仿宋" w:cs="仿宋"/>
          <w:spacing w:val="4"/>
          <w:sz w:val="30"/>
          <w:szCs w:val="30"/>
        </w:rPr>
      </w:pPr>
      <w:r>
        <w:rPr>
          <w:rFonts w:hint="eastAsia" w:ascii="宋体" w:hAnsi="宋体" w:cs="宋体"/>
          <w:spacing w:val="4"/>
          <w:sz w:val="30"/>
          <w:szCs w:val="30"/>
        </w:rPr>
        <w:t>邮政编码：</w:t>
      </w:r>
      <w:r>
        <w:rPr>
          <w:rFonts w:hint="eastAsia" w:ascii="仿宋" w:hAnsi="仿宋" w:eastAsia="仿宋" w:cs="仿宋"/>
          <w:spacing w:val="4"/>
          <w:sz w:val="30"/>
          <w:szCs w:val="30"/>
        </w:rPr>
        <w:t xml:space="preserve">                                              </w:t>
      </w:r>
    </w:p>
    <w:p w14:paraId="3C77B476">
      <w:pPr>
        <w:pStyle w:val="8"/>
        <w:ind w:left="63" w:right="63" w:firstLine="616" w:firstLineChars="200"/>
        <w:rPr>
          <w:rFonts w:ascii="仿宋" w:hAnsi="仿宋" w:eastAsia="仿宋" w:cs="仿宋"/>
          <w:spacing w:val="4"/>
          <w:sz w:val="30"/>
          <w:szCs w:val="30"/>
        </w:rPr>
      </w:pPr>
      <w:r>
        <w:rPr>
          <w:rFonts w:hint="eastAsia" w:ascii="宋体" w:hAnsi="宋体" w:cs="宋体"/>
          <w:spacing w:val="4"/>
          <w:sz w:val="30"/>
          <w:szCs w:val="30"/>
        </w:rPr>
        <w:t>电</w:t>
      </w:r>
      <w:r>
        <w:rPr>
          <w:rFonts w:hint="eastAsia" w:ascii="仿宋" w:hAnsi="仿宋" w:eastAsia="仿宋" w:cs="仿宋"/>
          <w:spacing w:val="4"/>
          <w:sz w:val="30"/>
          <w:szCs w:val="30"/>
        </w:rPr>
        <w:t xml:space="preserve">    </w:t>
      </w:r>
      <w:r>
        <w:rPr>
          <w:rFonts w:hint="eastAsia" w:ascii="宋体" w:hAnsi="宋体" w:cs="宋体"/>
          <w:spacing w:val="4"/>
          <w:sz w:val="30"/>
          <w:szCs w:val="30"/>
        </w:rPr>
        <w:t>话：</w:t>
      </w:r>
      <w:r>
        <w:rPr>
          <w:rFonts w:hint="eastAsia" w:ascii="仿宋" w:hAnsi="仿宋" w:eastAsia="仿宋" w:cs="仿宋"/>
          <w:spacing w:val="4"/>
          <w:sz w:val="30"/>
          <w:szCs w:val="30"/>
        </w:rPr>
        <w:t xml:space="preserve">                                              </w:t>
      </w:r>
    </w:p>
    <w:p w14:paraId="337C32D9">
      <w:pPr>
        <w:pStyle w:val="8"/>
        <w:ind w:left="63" w:right="63" w:firstLine="616" w:firstLineChars="200"/>
        <w:rPr>
          <w:rFonts w:ascii="仿宋" w:hAnsi="仿宋" w:eastAsia="仿宋" w:cs="仿宋"/>
          <w:spacing w:val="4"/>
          <w:sz w:val="30"/>
          <w:szCs w:val="30"/>
        </w:rPr>
      </w:pPr>
      <w:r>
        <w:rPr>
          <w:rFonts w:hint="eastAsia" w:ascii="宋体" w:hAnsi="宋体" w:cs="宋体"/>
          <w:spacing w:val="4"/>
          <w:sz w:val="30"/>
          <w:szCs w:val="30"/>
        </w:rPr>
        <w:t>传</w:t>
      </w:r>
      <w:r>
        <w:rPr>
          <w:rFonts w:hint="eastAsia" w:ascii="仿宋" w:hAnsi="仿宋" w:eastAsia="仿宋" w:cs="仿宋"/>
          <w:spacing w:val="4"/>
          <w:sz w:val="30"/>
          <w:szCs w:val="30"/>
        </w:rPr>
        <w:t xml:space="preserve">    </w:t>
      </w:r>
      <w:r>
        <w:rPr>
          <w:rFonts w:hint="eastAsia" w:ascii="宋体" w:hAnsi="宋体" w:cs="宋体"/>
          <w:spacing w:val="4"/>
          <w:sz w:val="30"/>
          <w:szCs w:val="30"/>
        </w:rPr>
        <w:t>真</w:t>
      </w:r>
      <w:r>
        <w:rPr>
          <w:rFonts w:hint="eastAsia" w:ascii="仿宋" w:hAnsi="仿宋" w:eastAsia="仿宋" w:cs="仿宋"/>
          <w:spacing w:val="4"/>
          <w:sz w:val="30"/>
          <w:szCs w:val="30"/>
        </w:rPr>
        <w:t xml:space="preserve"> </w:t>
      </w:r>
      <w:r>
        <w:rPr>
          <w:rFonts w:hint="eastAsia" w:ascii="宋体" w:hAnsi="宋体" w:cs="宋体"/>
          <w:spacing w:val="4"/>
          <w:sz w:val="30"/>
          <w:szCs w:val="30"/>
        </w:rPr>
        <w:t>：</w:t>
      </w:r>
      <w:r>
        <w:rPr>
          <w:rFonts w:hint="eastAsia" w:ascii="仿宋" w:hAnsi="仿宋" w:eastAsia="仿宋" w:cs="仿宋"/>
          <w:spacing w:val="4"/>
          <w:sz w:val="30"/>
          <w:szCs w:val="30"/>
        </w:rPr>
        <w:t xml:space="preserve">                                             </w:t>
      </w:r>
    </w:p>
    <w:p w14:paraId="6347A256">
      <w:pPr>
        <w:pStyle w:val="8"/>
        <w:ind w:left="63" w:right="63" w:firstLine="616" w:firstLineChars="200"/>
      </w:pPr>
      <w:r>
        <w:rPr>
          <w:rFonts w:hint="eastAsia" w:ascii="宋体" w:hAnsi="宋体" w:cs="宋体"/>
          <w:spacing w:val="4"/>
          <w:sz w:val="30"/>
          <w:szCs w:val="30"/>
        </w:rPr>
        <w:t>开立时间：</w:t>
      </w:r>
      <w:r>
        <w:rPr>
          <w:rFonts w:hint="eastAsia" w:ascii="仿宋" w:hAnsi="仿宋" w:eastAsia="仿宋" w:cs="仿宋"/>
          <w:spacing w:val="4"/>
          <w:sz w:val="30"/>
          <w:szCs w:val="30"/>
        </w:rPr>
        <w:t xml:space="preserve">     </w:t>
      </w:r>
      <w:r>
        <w:rPr>
          <w:rFonts w:hint="eastAsia" w:ascii="宋体" w:hAnsi="宋体" w:cs="宋体"/>
          <w:spacing w:val="4"/>
          <w:sz w:val="30"/>
          <w:szCs w:val="30"/>
        </w:rPr>
        <w:t>年</w:t>
      </w:r>
      <w:r>
        <w:rPr>
          <w:rFonts w:hint="eastAsia" w:ascii="仿宋" w:hAnsi="仿宋" w:eastAsia="仿宋" w:cs="仿宋"/>
          <w:spacing w:val="4"/>
          <w:sz w:val="30"/>
          <w:szCs w:val="30"/>
        </w:rPr>
        <w:t xml:space="preserve">    </w:t>
      </w:r>
      <w:r>
        <w:rPr>
          <w:rFonts w:hint="eastAsia" w:ascii="宋体" w:hAnsi="宋体" w:cs="宋体"/>
          <w:spacing w:val="4"/>
          <w:sz w:val="30"/>
          <w:szCs w:val="30"/>
        </w:rPr>
        <w:t>月</w:t>
      </w:r>
      <w:r>
        <w:rPr>
          <w:rFonts w:hint="eastAsia" w:ascii="仿宋" w:hAnsi="仿宋" w:eastAsia="仿宋" w:cs="仿宋"/>
          <w:spacing w:val="4"/>
          <w:sz w:val="30"/>
          <w:szCs w:val="30"/>
        </w:rPr>
        <w:t xml:space="preserve">    </w:t>
      </w:r>
    </w:p>
    <w:p w14:paraId="3E7931A4"/>
    <w:p w14:paraId="010C6B15">
      <w:pPr>
        <w:tabs>
          <w:tab w:val="left" w:pos="2424"/>
        </w:tabs>
        <w:rPr>
          <w:rFonts w:ascii="宋体" w:hAnsi="宋体"/>
          <w:bCs/>
          <w:kern w:val="0"/>
          <w:sz w:val="28"/>
          <w:szCs w:val="28"/>
        </w:rPr>
      </w:pPr>
    </w:p>
    <w:sectPr>
      <w:headerReference r:id="rId13" w:type="default"/>
      <w:footerReference r:id="rId14" w:type="default"/>
      <w:type w:val="continuous"/>
      <w:pgSz w:w="11906" w:h="16838"/>
      <w:pgMar w:top="1418" w:right="1304" w:bottom="1418" w:left="1304"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等线">
    <w:panose1 w:val="02010600030101010101"/>
    <w:charset w:val="86"/>
    <w:family w:val="auto"/>
    <w:pitch w:val="default"/>
    <w:sig w:usb0="A00002BF" w:usb1="38CF7CFA" w:usb2="00000016" w:usb3="00000000" w:csb0="0004000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Wingdings 2">
    <w:altName w:val="Wingdings"/>
    <w:panose1 w:val="05020102010507070707"/>
    <w:charset w:val="02"/>
    <w:family w:val="roman"/>
    <w:pitch w:val="default"/>
    <w:sig w:usb0="00000000" w:usb1="00000000" w:usb2="00000000" w:usb3="00000000" w:csb0="80000000" w:csb1="00000000"/>
  </w:font>
  <w:font w:name="Tahoma">
    <w:panose1 w:val="020B0604030504040204"/>
    <w:charset w:val="00"/>
    <w:family w:val="swiss"/>
    <w:pitch w:val="default"/>
    <w:sig w:usb0="E1002EFF" w:usb1="C000605B" w:usb2="00000029" w:usb3="00000000" w:csb0="200101FF" w:csb1="20280000"/>
  </w:font>
  <w:font w:name="华文中宋">
    <w:altName w:val="宋体"/>
    <w:panose1 w:val="02010600040101010101"/>
    <w:charset w:val="86"/>
    <w:family w:val="auto"/>
    <w:pitch w:val="default"/>
    <w:sig w:usb0="00000000" w:usb1="00000000" w:usb2="00000010" w:usb3="00000000" w:csb0="0004009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altName w:val="黑体"/>
    <w:panose1 w:val="00000000000000000000"/>
    <w:charset w:val="86"/>
    <w:family w:val="script"/>
    <w:pitch w:val="default"/>
    <w:sig w:usb0="00000000" w:usb1="00000000" w:usb2="00000010" w:usb3="00000000" w:csb0="00040000" w:csb1="00000000"/>
  </w:font>
  <w:font w:name="Kingsoft UE">
    <w:panose1 w:val="02000100010000000000"/>
    <w:charset w:val="00"/>
    <w:family w:val="auto"/>
    <w:pitch w:val="default"/>
    <w:sig w:usb0="00000001" w:usb1="00004000" w:usb2="00000000" w:usb3="00000000" w:csb0="00000001"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10B2A4">
    <w:pPr>
      <w:pStyle w:val="1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4A0BA5">
                          <w:pPr>
                            <w:pStyle w:val="1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2C4A0BA5">
                    <w:pPr>
                      <w:pStyle w:val="1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B1CE86">
    <w:pPr>
      <w:pStyle w:val="1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21CE1D">
    <w:pPr>
      <w:pStyle w:val="13"/>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2941AD">
    <w:pPr>
      <w:pStyle w:val="13"/>
      <w:jc w:val="center"/>
      <w:rPr>
        <w:rFonts w:eastAsia="仿宋_GB2312"/>
        <w:sz w:val="24"/>
      </w:rPr>
    </w:pPr>
    <w:r>
      <w:rPr>
        <w:sz w:val="24"/>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704615">
                          <w:pPr>
                            <w:pStyle w:val="13"/>
                          </w:pPr>
                          <w:r>
                            <w:t xml:space="preserve">第 </w:t>
                          </w:r>
                          <w:r>
                            <w:fldChar w:fldCharType="begin"/>
                          </w:r>
                          <w:r>
                            <w:instrText xml:space="preserve"> PAGE  \* MERGEFORMAT </w:instrText>
                          </w:r>
                          <w:r>
                            <w:fldChar w:fldCharType="separate"/>
                          </w:r>
                          <w:r>
                            <w:t>- 51 -</w:t>
                          </w:r>
                          <w:r>
                            <w:fldChar w:fldCharType="end"/>
                          </w:r>
                          <w:r>
                            <w:t xml:space="preserve"> 页 共 </w:t>
                          </w:r>
                          <w:r>
                            <w:fldChar w:fldCharType="begin"/>
                          </w:r>
                          <w:r>
                            <w:instrText xml:space="preserve"> NUMPAGES  \* MERGEFORMAT </w:instrText>
                          </w:r>
                          <w:r>
                            <w:fldChar w:fldCharType="separate"/>
                          </w:r>
                          <w:r>
                            <w:t>107</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rd1wwq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gGSaKZQ8cv3b5cf&#10;vy4/vxKcQaDG+jnidhaRoX1rWgQP5x6HkXdbOhW/YETgB9b5Kq9oA+Hx0mw6m43h4vANG+Bnj9et&#10;8+GdMIpEI6cO9UuystPWhy50CInZtNnUUqYaSk2anN68fjNOF64egEuNHJFE99hohXbf9sz2pjiD&#10;mDNdb3jLNzWSb5kPD8yhGfBgjEu4x1JKgySmtyipjPvyr/MYjxrBS0mD5sqpxixRIt9r1A6AYTDc&#10;YOwHQx/VnUG3TjCGlicTF1yQg1k6oz5jhlYxB1xMc2TKaRjMu9A1OGaQi9UqBaHbLAtbvbM8Qkfx&#10;vF0dAwRMukZROiV6rdBvqTL9bMSG/nOfoh7/B8v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Mrd1wwqAgAAVwQAAA4AAAAAAAAAAQAgAAAAHwEAAGRycy9lMm9Eb2MueG1sUEsFBgAAAAAGAAYA&#10;WQEAALsFAAAAAA==&#10;">
              <v:fill on="f" focussize="0,0"/>
              <v:stroke on="f" weight="0.5pt"/>
              <v:imagedata o:title=""/>
              <o:lock v:ext="edit" aspectratio="f"/>
              <v:textbox inset="0mm,0mm,0mm,0mm" style="mso-fit-shape-to-text:t;">
                <w:txbxContent>
                  <w:p w14:paraId="7B704615">
                    <w:pPr>
                      <w:pStyle w:val="13"/>
                    </w:pPr>
                    <w:r>
                      <w:t xml:space="preserve">第 </w:t>
                    </w:r>
                    <w:r>
                      <w:fldChar w:fldCharType="begin"/>
                    </w:r>
                    <w:r>
                      <w:instrText xml:space="preserve"> PAGE  \* MERGEFORMAT </w:instrText>
                    </w:r>
                    <w:r>
                      <w:fldChar w:fldCharType="separate"/>
                    </w:r>
                    <w:r>
                      <w:t>- 51 -</w:t>
                    </w:r>
                    <w:r>
                      <w:fldChar w:fldCharType="end"/>
                    </w:r>
                    <w:r>
                      <w:t xml:space="preserve"> 页 共 </w:t>
                    </w:r>
                    <w:r>
                      <w:fldChar w:fldCharType="begin"/>
                    </w:r>
                    <w:r>
                      <w:instrText xml:space="preserve"> NUMPAGES  \* MERGEFORMAT </w:instrText>
                    </w:r>
                    <w:r>
                      <w:fldChar w:fldCharType="separate"/>
                    </w:r>
                    <w:r>
                      <w:t>107</w:t>
                    </w:r>
                    <w:r>
                      <w:fldChar w:fldCharType="end"/>
                    </w:r>
                    <w: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6F8F00">
    <w:pPr>
      <w:pStyle w:val="13"/>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1336607">
                          <w:pPr>
                            <w:pStyle w:val="13"/>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107</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p w14:paraId="31336607">
                    <w:pPr>
                      <w:pStyle w:val="13"/>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107</w:t>
                    </w:r>
                    <w:r>
                      <w:fldChar w:fldCharType="end"/>
                    </w:r>
                    <w:r>
                      <w:t xml:space="preserve"> 页</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BEA5E4">
    <w:pPr>
      <w:spacing w:line="176" w:lineRule="auto"/>
      <w:ind w:left="4368"/>
      <w:rPr>
        <w:rFonts w:eastAsia="Times New Roman"/>
        <w:sz w:val="18"/>
        <w:szCs w:val="18"/>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162A15">
                          <w:pPr>
                            <w:pStyle w:val="13"/>
                          </w:pPr>
                          <w:r>
                            <w:t xml:space="preserve">第 </w:t>
                          </w:r>
                          <w:r>
                            <w:fldChar w:fldCharType="begin"/>
                          </w:r>
                          <w:r>
                            <w:instrText xml:space="preserve"> PAGE  \* MERGEFORMAT </w:instrText>
                          </w:r>
                          <w:r>
                            <w:fldChar w:fldCharType="separate"/>
                          </w:r>
                          <w:r>
                            <w:t>6</w:t>
                          </w:r>
                          <w:r>
                            <w:fldChar w:fldCharType="end"/>
                          </w:r>
                          <w:r>
                            <w:t xml:space="preserve"> 页 共 </w:t>
                          </w:r>
                          <w:r>
                            <w:fldChar w:fldCharType="begin"/>
                          </w:r>
                          <w:r>
                            <w:instrText xml:space="preserve"> NUMPAGES  \* MERGEFORMAT </w:instrText>
                          </w:r>
                          <w:r>
                            <w:fldChar w:fldCharType="separate"/>
                          </w:r>
                          <w:r>
                            <w:t>107</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LQ8m0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lF2zRQKfvn+7fLj&#10;1+XnVzKL8jTWzxG1s4gL7VvTommGc4/DyLotnYpf8CHwQ9zzVVzRBsLjpdl0NhvDxeEbNsDPHq9b&#10;58M7YRSJRk4dqpdEZaetD13oEBKzabOppUwVlJo0Ob15/WacLlw9AJcaOSKJ7rHRCu2+7ZntTXEG&#10;MWe6zvCWb2ok3zIfHphDK+DBGJZwj6WUBklMb1FSGfflX+cxHhWCl5IGrZVTjUmiRL7XqBwAw2C4&#10;wdgPhj6qO4NenWAILU8mLrggB7N0Rn3GBK1iDriY5siU0zCYd6Frb0wgF6tVCkKvWRa2emd5hI7i&#10;ebs6BgiYdI2idEr0WqHbUmX6yYjt/Oc+RT3+DZ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y0PJtKwIAAFUEAAAOAAAAAAAAAAEAIAAAAB8BAABkcnMvZTJvRG9jLnhtbFBLBQYAAAAABgAG&#10;AFkBAAC8BQAAAAA=&#10;">
              <v:fill on="f" focussize="0,0"/>
              <v:stroke on="f" weight="0.5pt"/>
              <v:imagedata o:title=""/>
              <o:lock v:ext="edit" aspectratio="f"/>
              <v:textbox inset="0mm,0mm,0mm,0mm" style="mso-fit-shape-to-text:t;">
                <w:txbxContent>
                  <w:p w14:paraId="3A162A15">
                    <w:pPr>
                      <w:pStyle w:val="13"/>
                    </w:pPr>
                    <w:r>
                      <w:t xml:space="preserve">第 </w:t>
                    </w:r>
                    <w:r>
                      <w:fldChar w:fldCharType="begin"/>
                    </w:r>
                    <w:r>
                      <w:instrText xml:space="preserve"> PAGE  \* MERGEFORMAT </w:instrText>
                    </w:r>
                    <w:r>
                      <w:fldChar w:fldCharType="separate"/>
                    </w:r>
                    <w:r>
                      <w:t>6</w:t>
                    </w:r>
                    <w:r>
                      <w:fldChar w:fldCharType="end"/>
                    </w:r>
                    <w:r>
                      <w:t xml:space="preserve"> 页 共 </w:t>
                    </w:r>
                    <w:r>
                      <w:fldChar w:fldCharType="begin"/>
                    </w:r>
                    <w:r>
                      <w:instrText xml:space="preserve"> NUMPAGES  \* MERGEFORMAT </w:instrText>
                    </w:r>
                    <w:r>
                      <w:fldChar w:fldCharType="separate"/>
                    </w:r>
                    <w:r>
                      <w:t>107</w:t>
                    </w:r>
                    <w:r>
                      <w:fldChar w:fldCharType="end"/>
                    </w:r>
                    <w:r>
                      <w:t xml:space="preserve"> 页</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FAC656">
    <w:pPr>
      <w:pStyle w:val="13"/>
      <w:jc w:val="center"/>
      <w:rPr>
        <w:caps/>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4D5D059">
                          <w:pPr>
                            <w:pStyle w:val="13"/>
                            <w:jc w:val="center"/>
                          </w:pPr>
                          <w:r>
                            <w:rPr>
                              <w:caps/>
                            </w:rPr>
                            <w:fldChar w:fldCharType="begin"/>
                          </w:r>
                          <w:r>
                            <w:rPr>
                              <w:caps/>
                            </w:rPr>
                            <w:instrText xml:space="preserve">PAGE   \* MERGEFORMAT</w:instrText>
                          </w:r>
                          <w:r>
                            <w:rPr>
                              <w:caps/>
                            </w:rPr>
                            <w:fldChar w:fldCharType="separate"/>
                          </w:r>
                          <w:r>
                            <w:rPr>
                              <w:caps/>
                              <w:lang w:val="zh-CN"/>
                            </w:rPr>
                            <w:t>-</w:t>
                          </w:r>
                          <w:r>
                            <w:rPr>
                              <w:caps/>
                            </w:rPr>
                            <w:t xml:space="preserve"> 15 -</w:t>
                          </w:r>
                          <w:r>
                            <w:rPr>
                              <w:caps/>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34D5D059">
                    <w:pPr>
                      <w:pStyle w:val="13"/>
                      <w:jc w:val="center"/>
                    </w:pPr>
                    <w:r>
                      <w:rPr>
                        <w:caps/>
                      </w:rPr>
                      <w:fldChar w:fldCharType="begin"/>
                    </w:r>
                    <w:r>
                      <w:rPr>
                        <w:caps/>
                      </w:rPr>
                      <w:instrText xml:space="preserve">PAGE   \* MERGEFORMAT</w:instrText>
                    </w:r>
                    <w:r>
                      <w:rPr>
                        <w:caps/>
                      </w:rPr>
                      <w:fldChar w:fldCharType="separate"/>
                    </w:r>
                    <w:r>
                      <w:rPr>
                        <w:caps/>
                        <w:lang w:val="zh-CN"/>
                      </w:rPr>
                      <w:t>-</w:t>
                    </w:r>
                    <w:r>
                      <w:rPr>
                        <w:caps/>
                      </w:rPr>
                      <w:t xml:space="preserve"> 15 -</w:t>
                    </w:r>
                    <w:r>
                      <w:rPr>
                        <w:caps/>
                      </w:rPr>
                      <w:fldChar w:fldCharType="end"/>
                    </w:r>
                  </w:p>
                </w:txbxContent>
              </v:textbox>
            </v:shape>
          </w:pict>
        </mc:Fallback>
      </mc:AlternateContent>
    </w:r>
  </w:p>
  <w:p w14:paraId="377C5900">
    <w:pPr>
      <w:pStyle w:val="1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77C98E">
    <w:pPr>
      <w:pStyle w:val="14"/>
      <w:pBdr>
        <w:bottom w:val="thinThickMediumGap" w:color="auto" w:sz="18" w:space="1"/>
      </w:pBdr>
      <w:jc w:val="distribute"/>
      <w:rPr>
        <w:rFonts w:ascii="宋体" w:hAnsi="宋体" w:cs="宋体"/>
        <w:b/>
      </w:rPr>
    </w:pPr>
  </w:p>
  <w:p w14:paraId="3269104E">
    <w:pPr>
      <w:pStyle w:val="14"/>
      <w:pBdr>
        <w:bottom w:val="thinThickMediumGap" w:color="auto" w:sz="18" w:space="1"/>
      </w:pBdr>
      <w:jc w:val="distribute"/>
      <w:rPr>
        <w:kern w:val="1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8F8A1F">
    <w:pPr>
      <w:pStyle w:val="1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5599AC">
    <w:pPr>
      <w:pStyle w:val="14"/>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28FDDB">
    <w:pPr>
      <w:spacing w:line="14" w:lineRule="auto"/>
      <w:rPr>
        <w:rFonts w:ascii="Arial"/>
        <w:sz w:val="2"/>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73636B">
    <w:pPr>
      <w:pStyle w:val="14"/>
      <w:pBdr>
        <w:bottom w:val="none" w:color="auto" w:sz="0" w:space="0"/>
      </w:pBdr>
      <w:jc w:val="both"/>
      <w:rPr>
        <w:u w:val="single"/>
      </w:rPr>
    </w:pPr>
    <w:r>
      <w:rPr>
        <w:rFonts w:hint="eastAsia"/>
        <w:u w:val="single"/>
      </w:rPr>
      <w:t>重庆天泽新材料有限公司</w:t>
    </w:r>
    <w:r>
      <w:rPr>
        <w:u w:val="single"/>
      </w:rPr>
      <w:t xml:space="preserve">                                             </w:t>
    </w:r>
    <w:r>
      <w:rPr>
        <w:rFonts w:hint="eastAsia"/>
        <w:u w:val="single"/>
        <w:lang w:eastAsia="zh-CN"/>
      </w:rPr>
      <w:t xml:space="preserve">  </w:t>
    </w:r>
    <w:r>
      <w:rPr>
        <w:rFonts w:hint="eastAsia"/>
        <w:u w:val="single"/>
      </w:rPr>
      <w:t>谈判采购</w:t>
    </w:r>
    <w:r>
      <w:rPr>
        <w:u w:val="single"/>
      </w:rPr>
      <w:t>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BE35A6C"/>
    <w:multiLevelType w:val="singleLevel"/>
    <w:tmpl w:val="8BE35A6C"/>
    <w:lvl w:ilvl="0" w:tentative="0">
      <w:start w:val="1"/>
      <w:numFmt w:val="decimal"/>
      <w:suff w:val="nothing"/>
      <w:lvlText w:val="（%1）"/>
      <w:lvlJc w:val="left"/>
      <w:pPr>
        <w:ind w:left="420" w:firstLine="0"/>
      </w:pPr>
    </w:lvl>
  </w:abstractNum>
  <w:abstractNum w:abstractNumId="1">
    <w:nsid w:val="1EC6E759"/>
    <w:multiLevelType w:val="singleLevel"/>
    <w:tmpl w:val="1EC6E759"/>
    <w:lvl w:ilvl="0" w:tentative="0">
      <w:start w:val="2"/>
      <w:numFmt w:val="decimal"/>
      <w:suff w:val="space"/>
      <w:lvlText w:val="%1."/>
      <w:lvlJc w:val="left"/>
    </w:lvl>
  </w:abstractNum>
  <w:abstractNum w:abstractNumId="2">
    <w:nsid w:val="1FC91163"/>
    <w:multiLevelType w:val="multilevel"/>
    <w:tmpl w:val="1FC91163"/>
    <w:lvl w:ilvl="0" w:tentative="0">
      <w:start w:val="1"/>
      <w:numFmt w:val="decimal"/>
      <w:pStyle w:val="69"/>
      <w:suff w:val="nothing"/>
      <w:lvlText w:val="%1　"/>
      <w:lvlJc w:val="left"/>
      <w:pPr>
        <w:ind w:left="3544" w:firstLine="0"/>
      </w:pPr>
      <w:rPr>
        <w:rFonts w:hint="eastAsia" w:ascii="黑体" w:hAnsi="Times New Roman" w:eastAsia="黑体"/>
        <w:b w:val="0"/>
        <w:i w:val="0"/>
        <w:sz w:val="21"/>
        <w:szCs w:val="21"/>
      </w:rPr>
    </w:lvl>
    <w:lvl w:ilvl="1" w:tentative="0">
      <w:start w:val="1"/>
      <w:numFmt w:val="decimal"/>
      <w:pStyle w:val="71"/>
      <w:suff w:val="nothing"/>
      <w:lvlText w:val="%1.%2　"/>
      <w:lvlJc w:val="left"/>
      <w:pPr>
        <w:ind w:left="568" w:firstLine="0"/>
      </w:pPr>
      <w:rPr>
        <w:rFonts w:hint="eastAsia" w:ascii="黑体" w:hAnsi="Times New Roman" w:eastAsia="黑体" w:cs="Times New Roman"/>
        <w:b w:val="0"/>
        <w:bCs w:val="0"/>
        <w:i w:val="0"/>
        <w:iCs w:val="0"/>
        <w:caps w:val="0"/>
        <w:strike w:val="0"/>
        <w:dstrike w:val="0"/>
        <w:vanish w:val="0"/>
        <w:color w:val="000000"/>
        <w:spacing w:val="0"/>
        <w:kern w:val="0"/>
        <w:position w:val="0"/>
        <w:sz w:val="21"/>
        <w:szCs w:val="21"/>
        <w:u w:val="none"/>
        <w:vertAlign w:val="baseline"/>
      </w:rPr>
    </w:lvl>
    <w:lvl w:ilvl="2" w:tentative="0">
      <w:start w:val="1"/>
      <w:numFmt w:val="decimal"/>
      <w:pStyle w:val="74"/>
      <w:suff w:val="nothing"/>
      <w:lvlText w:val="%1.%2.%3　"/>
      <w:lvlJc w:val="left"/>
      <w:pPr>
        <w:ind w:left="0" w:firstLine="0"/>
      </w:pPr>
      <w:rPr>
        <w:rFonts w:hint="eastAsia" w:ascii="黑体" w:hAnsi="Times New Roman" w:eastAsia="黑体"/>
        <w:b w:val="0"/>
        <w:i w:val="0"/>
        <w:sz w:val="21"/>
      </w:rPr>
    </w:lvl>
    <w:lvl w:ilvl="3" w:tentative="0">
      <w:start w:val="1"/>
      <w:numFmt w:val="decimal"/>
      <w:pStyle w:val="76"/>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3">
    <w:nsid w:val="20B247BD"/>
    <w:multiLevelType w:val="singleLevel"/>
    <w:tmpl w:val="20B247BD"/>
    <w:lvl w:ilvl="0" w:tentative="0">
      <w:start w:val="1"/>
      <w:numFmt w:val="upperLetter"/>
      <w:suff w:val="nothing"/>
      <w:lvlText w:val="%1、"/>
      <w:lvlJc w:val="left"/>
    </w:lvl>
  </w:abstractNum>
  <w:abstractNum w:abstractNumId="4">
    <w:nsid w:val="27650934"/>
    <w:multiLevelType w:val="multilevel"/>
    <w:tmpl w:val="27650934"/>
    <w:lvl w:ilvl="0" w:tentative="0">
      <w:start w:val="3"/>
      <w:numFmt w:val="decimal"/>
      <w:lvlText w:val="%1、"/>
      <w:lvlJc w:val="left"/>
      <w:pPr>
        <w:ind w:left="840" w:hanging="36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5">
    <w:nsid w:val="59205862"/>
    <w:multiLevelType w:val="multilevel"/>
    <w:tmpl w:val="59205862"/>
    <w:lvl w:ilvl="0" w:tentative="0">
      <w:start w:val="1"/>
      <w:numFmt w:val="japaneseCounting"/>
      <w:lvlText w:val="第%1章"/>
      <w:lvlJc w:val="left"/>
      <w:pPr>
        <w:ind w:left="990" w:hanging="99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5EE13876"/>
    <w:multiLevelType w:val="multilevel"/>
    <w:tmpl w:val="5EE13876"/>
    <w:lvl w:ilvl="0" w:tentative="0">
      <w:start w:val="1"/>
      <w:numFmt w:val="decimal"/>
      <w:lvlText w:val="%1"/>
      <w:lvlJc w:val="left"/>
      <w:pPr>
        <w:ind w:left="425" w:hanging="425"/>
      </w:pPr>
      <w:rPr>
        <w:rFonts w:hint="eastAsia"/>
      </w:rPr>
    </w:lvl>
    <w:lvl w:ilvl="1" w:tentative="0">
      <w:start w:val="1"/>
      <w:numFmt w:val="decimal"/>
      <w:lvlText w:val="%1.%2"/>
      <w:lvlJc w:val="left"/>
      <w:pPr>
        <w:ind w:left="0" w:firstLine="0"/>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7">
    <w:nsid w:val="711F0290"/>
    <w:multiLevelType w:val="multilevel"/>
    <w:tmpl w:val="711F0290"/>
    <w:lvl w:ilvl="0" w:tentative="0">
      <w:start w:val="1"/>
      <w:numFmt w:val="decimal"/>
      <w:lvlText w:val="%1、"/>
      <w:lvlJc w:val="left"/>
      <w:pPr>
        <w:tabs>
          <w:tab w:val="left" w:pos="780"/>
        </w:tabs>
        <w:ind w:left="780" w:hanging="360"/>
      </w:pPr>
      <w:rPr>
        <w:rFonts w:hint="default"/>
      </w:r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8">
    <w:nsid w:val="7513807E"/>
    <w:multiLevelType w:val="singleLevel"/>
    <w:tmpl w:val="7513807E"/>
    <w:lvl w:ilvl="0" w:tentative="0">
      <w:start w:val="5"/>
      <w:numFmt w:val="decimal"/>
      <w:lvlText w:val="%1."/>
      <w:lvlJc w:val="left"/>
      <w:pPr>
        <w:tabs>
          <w:tab w:val="left" w:pos="312"/>
        </w:tabs>
      </w:pPr>
    </w:lvl>
  </w:abstractNum>
  <w:abstractNum w:abstractNumId="9">
    <w:nsid w:val="76B26BF2"/>
    <w:multiLevelType w:val="multilevel"/>
    <w:tmpl w:val="76B26BF2"/>
    <w:lvl w:ilvl="0" w:tentative="0">
      <w:start w:val="5"/>
      <w:numFmt w:val="decimal"/>
      <w:suff w:val="nothing"/>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2"/>
  </w:num>
  <w:num w:numId="2">
    <w:abstractNumId w:val="5"/>
  </w:num>
  <w:num w:numId="3">
    <w:abstractNumId w:val="8"/>
  </w:num>
  <w:num w:numId="4">
    <w:abstractNumId w:val="0"/>
  </w:num>
  <w:num w:numId="5">
    <w:abstractNumId w:val="1"/>
  </w:num>
  <w:num w:numId="6">
    <w:abstractNumId w:val="7"/>
  </w:num>
  <w:num w:numId="7">
    <w:abstractNumId w:val="4"/>
  </w:num>
  <w:num w:numId="8">
    <w:abstractNumId w:val="3"/>
  </w:num>
  <w:num w:numId="9">
    <w:abstractNumId w:val="9"/>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trackRevisions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1798"/>
    <w:rsid w:val="00004E16"/>
    <w:rsid w:val="00015732"/>
    <w:rsid w:val="0002731E"/>
    <w:rsid w:val="00033273"/>
    <w:rsid w:val="0003535A"/>
    <w:rsid w:val="0004557B"/>
    <w:rsid w:val="00055099"/>
    <w:rsid w:val="0006349A"/>
    <w:rsid w:val="000639DA"/>
    <w:rsid w:val="00066327"/>
    <w:rsid w:val="00067A52"/>
    <w:rsid w:val="00074A9C"/>
    <w:rsid w:val="00080A4D"/>
    <w:rsid w:val="00090F59"/>
    <w:rsid w:val="000C313A"/>
    <w:rsid w:val="000C59FF"/>
    <w:rsid w:val="000D61D5"/>
    <w:rsid w:val="000E3867"/>
    <w:rsid w:val="000F4C42"/>
    <w:rsid w:val="000F6CBB"/>
    <w:rsid w:val="00101650"/>
    <w:rsid w:val="001246C1"/>
    <w:rsid w:val="00134003"/>
    <w:rsid w:val="0013507B"/>
    <w:rsid w:val="0015136C"/>
    <w:rsid w:val="00153EAB"/>
    <w:rsid w:val="001546C4"/>
    <w:rsid w:val="0017455F"/>
    <w:rsid w:val="00175F7D"/>
    <w:rsid w:val="00181091"/>
    <w:rsid w:val="00195024"/>
    <w:rsid w:val="001A1684"/>
    <w:rsid w:val="001A7ABD"/>
    <w:rsid w:val="001C504A"/>
    <w:rsid w:val="001D263E"/>
    <w:rsid w:val="001E4C22"/>
    <w:rsid w:val="001E7567"/>
    <w:rsid w:val="001F306D"/>
    <w:rsid w:val="001F6D3B"/>
    <w:rsid w:val="001F75D1"/>
    <w:rsid w:val="00271875"/>
    <w:rsid w:val="002769D8"/>
    <w:rsid w:val="00277025"/>
    <w:rsid w:val="002A4E7C"/>
    <w:rsid w:val="002A74FC"/>
    <w:rsid w:val="002C7821"/>
    <w:rsid w:val="00304C5C"/>
    <w:rsid w:val="003176E5"/>
    <w:rsid w:val="00320BF2"/>
    <w:rsid w:val="003315DC"/>
    <w:rsid w:val="00331BC5"/>
    <w:rsid w:val="00340F41"/>
    <w:rsid w:val="00347237"/>
    <w:rsid w:val="00360D0D"/>
    <w:rsid w:val="00362B9C"/>
    <w:rsid w:val="00366930"/>
    <w:rsid w:val="00367BC3"/>
    <w:rsid w:val="00370CFF"/>
    <w:rsid w:val="0038741C"/>
    <w:rsid w:val="00391ABF"/>
    <w:rsid w:val="003A0B07"/>
    <w:rsid w:val="003B0DA4"/>
    <w:rsid w:val="003C19D4"/>
    <w:rsid w:val="003D3228"/>
    <w:rsid w:val="003E2337"/>
    <w:rsid w:val="004027DD"/>
    <w:rsid w:val="00411C82"/>
    <w:rsid w:val="0041311F"/>
    <w:rsid w:val="00423578"/>
    <w:rsid w:val="00427796"/>
    <w:rsid w:val="00444480"/>
    <w:rsid w:val="00445084"/>
    <w:rsid w:val="00465DC3"/>
    <w:rsid w:val="004743B6"/>
    <w:rsid w:val="00491316"/>
    <w:rsid w:val="004A5B13"/>
    <w:rsid w:val="004B6BE1"/>
    <w:rsid w:val="004C1C65"/>
    <w:rsid w:val="004C4ED6"/>
    <w:rsid w:val="004C7FDE"/>
    <w:rsid w:val="004D0768"/>
    <w:rsid w:val="004D0830"/>
    <w:rsid w:val="004D4CCA"/>
    <w:rsid w:val="00506E72"/>
    <w:rsid w:val="0051340F"/>
    <w:rsid w:val="00530CFA"/>
    <w:rsid w:val="00535B40"/>
    <w:rsid w:val="0055580E"/>
    <w:rsid w:val="00596A5D"/>
    <w:rsid w:val="005B7EC1"/>
    <w:rsid w:val="005C3AD3"/>
    <w:rsid w:val="005C4D96"/>
    <w:rsid w:val="005D0926"/>
    <w:rsid w:val="00603AEC"/>
    <w:rsid w:val="00604D86"/>
    <w:rsid w:val="00606C97"/>
    <w:rsid w:val="00615E15"/>
    <w:rsid w:val="006227EA"/>
    <w:rsid w:val="006326A5"/>
    <w:rsid w:val="00637D7A"/>
    <w:rsid w:val="00644C42"/>
    <w:rsid w:val="00650FCB"/>
    <w:rsid w:val="0066245A"/>
    <w:rsid w:val="006773FE"/>
    <w:rsid w:val="006815A2"/>
    <w:rsid w:val="0069210D"/>
    <w:rsid w:val="00694020"/>
    <w:rsid w:val="00697B40"/>
    <w:rsid w:val="006A4D4C"/>
    <w:rsid w:val="006A7B92"/>
    <w:rsid w:val="006C788A"/>
    <w:rsid w:val="006D2211"/>
    <w:rsid w:val="006E00BB"/>
    <w:rsid w:val="006F3081"/>
    <w:rsid w:val="00701695"/>
    <w:rsid w:val="007162FA"/>
    <w:rsid w:val="00720504"/>
    <w:rsid w:val="00723322"/>
    <w:rsid w:val="00725E6F"/>
    <w:rsid w:val="007342EE"/>
    <w:rsid w:val="00746629"/>
    <w:rsid w:val="007476FE"/>
    <w:rsid w:val="0077282B"/>
    <w:rsid w:val="00777B3C"/>
    <w:rsid w:val="00782682"/>
    <w:rsid w:val="00786CEF"/>
    <w:rsid w:val="007947C9"/>
    <w:rsid w:val="007A5E1D"/>
    <w:rsid w:val="007A78AF"/>
    <w:rsid w:val="007B43AD"/>
    <w:rsid w:val="007C1BCC"/>
    <w:rsid w:val="007C1BE1"/>
    <w:rsid w:val="007C31F3"/>
    <w:rsid w:val="007C3366"/>
    <w:rsid w:val="007C5D73"/>
    <w:rsid w:val="007D268D"/>
    <w:rsid w:val="007E3DD6"/>
    <w:rsid w:val="007E42A8"/>
    <w:rsid w:val="007F65E0"/>
    <w:rsid w:val="008054DB"/>
    <w:rsid w:val="0081478C"/>
    <w:rsid w:val="008166DF"/>
    <w:rsid w:val="0082033A"/>
    <w:rsid w:val="008207B8"/>
    <w:rsid w:val="00820B84"/>
    <w:rsid w:val="00842E90"/>
    <w:rsid w:val="008507A2"/>
    <w:rsid w:val="0085369D"/>
    <w:rsid w:val="00861A8A"/>
    <w:rsid w:val="00886858"/>
    <w:rsid w:val="00891C43"/>
    <w:rsid w:val="00896A54"/>
    <w:rsid w:val="008B363D"/>
    <w:rsid w:val="008B550C"/>
    <w:rsid w:val="008D4DED"/>
    <w:rsid w:val="008E41A1"/>
    <w:rsid w:val="008E78AD"/>
    <w:rsid w:val="00916B62"/>
    <w:rsid w:val="009175B4"/>
    <w:rsid w:val="00937BE3"/>
    <w:rsid w:val="00956A25"/>
    <w:rsid w:val="0098054D"/>
    <w:rsid w:val="00990130"/>
    <w:rsid w:val="009A1319"/>
    <w:rsid w:val="009A1ED4"/>
    <w:rsid w:val="009D202F"/>
    <w:rsid w:val="009E1A97"/>
    <w:rsid w:val="009E2AED"/>
    <w:rsid w:val="009F2F18"/>
    <w:rsid w:val="009F5130"/>
    <w:rsid w:val="00A11B03"/>
    <w:rsid w:val="00A129FC"/>
    <w:rsid w:val="00A323FB"/>
    <w:rsid w:val="00A577A1"/>
    <w:rsid w:val="00A72AF6"/>
    <w:rsid w:val="00A807CD"/>
    <w:rsid w:val="00A90A78"/>
    <w:rsid w:val="00AA0104"/>
    <w:rsid w:val="00AA2C25"/>
    <w:rsid w:val="00AA6699"/>
    <w:rsid w:val="00AA6B15"/>
    <w:rsid w:val="00AA72B3"/>
    <w:rsid w:val="00AB2491"/>
    <w:rsid w:val="00AC484F"/>
    <w:rsid w:val="00AC5B2B"/>
    <w:rsid w:val="00AF07CF"/>
    <w:rsid w:val="00AF779C"/>
    <w:rsid w:val="00B00FFE"/>
    <w:rsid w:val="00B24BD3"/>
    <w:rsid w:val="00B27073"/>
    <w:rsid w:val="00B43567"/>
    <w:rsid w:val="00B50C7C"/>
    <w:rsid w:val="00B5785C"/>
    <w:rsid w:val="00B80808"/>
    <w:rsid w:val="00B81798"/>
    <w:rsid w:val="00B836A3"/>
    <w:rsid w:val="00B927C3"/>
    <w:rsid w:val="00BA3B67"/>
    <w:rsid w:val="00BB26FC"/>
    <w:rsid w:val="00BC0E0F"/>
    <w:rsid w:val="00BC1DCA"/>
    <w:rsid w:val="00BC4539"/>
    <w:rsid w:val="00BE376E"/>
    <w:rsid w:val="00C16F96"/>
    <w:rsid w:val="00C33B8B"/>
    <w:rsid w:val="00C41126"/>
    <w:rsid w:val="00C516D1"/>
    <w:rsid w:val="00C63D4D"/>
    <w:rsid w:val="00C728C4"/>
    <w:rsid w:val="00C77A33"/>
    <w:rsid w:val="00C943F3"/>
    <w:rsid w:val="00CA2115"/>
    <w:rsid w:val="00CA6278"/>
    <w:rsid w:val="00CA7596"/>
    <w:rsid w:val="00CC2A62"/>
    <w:rsid w:val="00CD536C"/>
    <w:rsid w:val="00CF2B7E"/>
    <w:rsid w:val="00CF44FD"/>
    <w:rsid w:val="00D3568B"/>
    <w:rsid w:val="00D64B0C"/>
    <w:rsid w:val="00D66967"/>
    <w:rsid w:val="00D755A5"/>
    <w:rsid w:val="00D75A6B"/>
    <w:rsid w:val="00D7614C"/>
    <w:rsid w:val="00D76D3D"/>
    <w:rsid w:val="00D937E7"/>
    <w:rsid w:val="00DA43C0"/>
    <w:rsid w:val="00DA5374"/>
    <w:rsid w:val="00DB01DA"/>
    <w:rsid w:val="00DB33AB"/>
    <w:rsid w:val="00DB5932"/>
    <w:rsid w:val="00DC5625"/>
    <w:rsid w:val="00DD0C00"/>
    <w:rsid w:val="00DF3A73"/>
    <w:rsid w:val="00E076D7"/>
    <w:rsid w:val="00E102CF"/>
    <w:rsid w:val="00E16E56"/>
    <w:rsid w:val="00E32177"/>
    <w:rsid w:val="00E33296"/>
    <w:rsid w:val="00E34A35"/>
    <w:rsid w:val="00E35B98"/>
    <w:rsid w:val="00E37CF0"/>
    <w:rsid w:val="00E41F40"/>
    <w:rsid w:val="00E44038"/>
    <w:rsid w:val="00E52E75"/>
    <w:rsid w:val="00E75715"/>
    <w:rsid w:val="00E75A90"/>
    <w:rsid w:val="00E962EC"/>
    <w:rsid w:val="00EB51BD"/>
    <w:rsid w:val="00ED4FEB"/>
    <w:rsid w:val="00ED5E43"/>
    <w:rsid w:val="00EE3F40"/>
    <w:rsid w:val="00EE630B"/>
    <w:rsid w:val="00EF4098"/>
    <w:rsid w:val="00F06F7B"/>
    <w:rsid w:val="00F33F0A"/>
    <w:rsid w:val="00F42DFD"/>
    <w:rsid w:val="00F42E95"/>
    <w:rsid w:val="00F827C7"/>
    <w:rsid w:val="00F96FD9"/>
    <w:rsid w:val="00FA1BA8"/>
    <w:rsid w:val="00FA49D4"/>
    <w:rsid w:val="00FC5408"/>
    <w:rsid w:val="00FC64A5"/>
    <w:rsid w:val="00FD7184"/>
    <w:rsid w:val="0252552D"/>
    <w:rsid w:val="02972AF7"/>
    <w:rsid w:val="039F26C9"/>
    <w:rsid w:val="03AC4D68"/>
    <w:rsid w:val="07CF7529"/>
    <w:rsid w:val="07F33D53"/>
    <w:rsid w:val="08470CC8"/>
    <w:rsid w:val="0AA3501D"/>
    <w:rsid w:val="0B8E5E80"/>
    <w:rsid w:val="0BAF6137"/>
    <w:rsid w:val="0C9D4FE4"/>
    <w:rsid w:val="10B85A49"/>
    <w:rsid w:val="11022000"/>
    <w:rsid w:val="11166965"/>
    <w:rsid w:val="11AD6919"/>
    <w:rsid w:val="12E40265"/>
    <w:rsid w:val="131161CB"/>
    <w:rsid w:val="14962736"/>
    <w:rsid w:val="15EB2077"/>
    <w:rsid w:val="16506CFC"/>
    <w:rsid w:val="1B1D2ECC"/>
    <w:rsid w:val="1D5340D5"/>
    <w:rsid w:val="1D5B41AA"/>
    <w:rsid w:val="1E2F712F"/>
    <w:rsid w:val="1E6502D1"/>
    <w:rsid w:val="21592A0A"/>
    <w:rsid w:val="2605281B"/>
    <w:rsid w:val="29512B72"/>
    <w:rsid w:val="29D92176"/>
    <w:rsid w:val="2AF77747"/>
    <w:rsid w:val="2C2B07E4"/>
    <w:rsid w:val="2ED4259D"/>
    <w:rsid w:val="30014ABC"/>
    <w:rsid w:val="32CF7549"/>
    <w:rsid w:val="3307663B"/>
    <w:rsid w:val="33E330E5"/>
    <w:rsid w:val="364E146B"/>
    <w:rsid w:val="36C66A25"/>
    <w:rsid w:val="37782570"/>
    <w:rsid w:val="37A22B83"/>
    <w:rsid w:val="38BC27A6"/>
    <w:rsid w:val="3A06527E"/>
    <w:rsid w:val="3B753F05"/>
    <w:rsid w:val="3E111FAD"/>
    <w:rsid w:val="3E7346AA"/>
    <w:rsid w:val="3E7E68EE"/>
    <w:rsid w:val="438254A7"/>
    <w:rsid w:val="483408A5"/>
    <w:rsid w:val="4AE1509D"/>
    <w:rsid w:val="4E8D6C9B"/>
    <w:rsid w:val="4FAE474F"/>
    <w:rsid w:val="531540B7"/>
    <w:rsid w:val="56093F5F"/>
    <w:rsid w:val="57314EF4"/>
    <w:rsid w:val="5BC81896"/>
    <w:rsid w:val="604F627F"/>
    <w:rsid w:val="62560FBE"/>
    <w:rsid w:val="66EE541F"/>
    <w:rsid w:val="67114A94"/>
    <w:rsid w:val="698971FC"/>
    <w:rsid w:val="6B5C44B8"/>
    <w:rsid w:val="6BDC6C36"/>
    <w:rsid w:val="6EDA6DB9"/>
    <w:rsid w:val="6F4F078F"/>
    <w:rsid w:val="70567608"/>
    <w:rsid w:val="71D37C38"/>
    <w:rsid w:val="72030E1E"/>
    <w:rsid w:val="74DF3E4B"/>
    <w:rsid w:val="762A44F2"/>
    <w:rsid w:val="772B173D"/>
    <w:rsid w:val="789C1508"/>
    <w:rsid w:val="78E23351"/>
    <w:rsid w:val="7C0814C8"/>
    <w:rsid w:val="7CA64253"/>
    <w:rsid w:val="7CE568C5"/>
    <w:rsid w:val="7D1108C2"/>
    <w:rsid w:val="7D6116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qFormat="1" w:unhideWhenUsed="0" w:uiPriority="0" w:semiHidden="0"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99" w:semiHidden="0"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6"/>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27"/>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28"/>
    <w:qFormat/>
    <w:uiPriority w:val="0"/>
    <w:pPr>
      <w:keepNext/>
      <w:keepLines/>
      <w:spacing w:before="260" w:after="260" w:line="416" w:lineRule="auto"/>
      <w:outlineLvl w:val="2"/>
    </w:pPr>
    <w:rPr>
      <w:b/>
      <w:bCs/>
      <w:sz w:val="32"/>
      <w:szCs w:val="32"/>
    </w:rPr>
  </w:style>
  <w:style w:type="paragraph" w:styleId="5">
    <w:name w:val="heading 4"/>
    <w:basedOn w:val="1"/>
    <w:next w:val="1"/>
    <w:link w:val="29"/>
    <w:unhideWhenUsed/>
    <w:qFormat/>
    <w:uiPriority w:val="0"/>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22">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6">
    <w:name w:val="List 3"/>
    <w:basedOn w:val="1"/>
    <w:qFormat/>
    <w:uiPriority w:val="0"/>
    <w:pPr>
      <w:ind w:left="1260" w:hanging="420"/>
    </w:pPr>
    <w:rPr>
      <w:szCs w:val="20"/>
    </w:rPr>
  </w:style>
  <w:style w:type="paragraph" w:styleId="7">
    <w:name w:val="annotation text"/>
    <w:basedOn w:val="1"/>
    <w:link w:val="30"/>
    <w:unhideWhenUsed/>
    <w:qFormat/>
    <w:uiPriority w:val="99"/>
    <w:pPr>
      <w:jc w:val="left"/>
    </w:pPr>
  </w:style>
  <w:style w:type="paragraph" w:styleId="8">
    <w:name w:val="Body Text"/>
    <w:basedOn w:val="1"/>
    <w:next w:val="1"/>
    <w:qFormat/>
    <w:uiPriority w:val="0"/>
    <w:pPr>
      <w:spacing w:after="120"/>
    </w:pPr>
  </w:style>
  <w:style w:type="paragraph" w:styleId="9">
    <w:name w:val="toc 3"/>
    <w:basedOn w:val="1"/>
    <w:next w:val="1"/>
    <w:unhideWhenUsed/>
    <w:qFormat/>
    <w:uiPriority w:val="39"/>
    <w:pPr>
      <w:widowControl/>
      <w:spacing w:after="100" w:line="259" w:lineRule="auto"/>
      <w:ind w:left="440"/>
      <w:jc w:val="left"/>
    </w:pPr>
    <w:rPr>
      <w:rFonts w:asciiTheme="minorHAnsi" w:hAnsiTheme="minorHAnsi" w:eastAsiaTheme="minorEastAsia"/>
      <w:kern w:val="0"/>
      <w:sz w:val="22"/>
      <w:szCs w:val="22"/>
    </w:rPr>
  </w:style>
  <w:style w:type="paragraph" w:styleId="10">
    <w:name w:val="Date"/>
    <w:basedOn w:val="1"/>
    <w:next w:val="1"/>
    <w:link w:val="31"/>
    <w:semiHidden/>
    <w:unhideWhenUsed/>
    <w:qFormat/>
    <w:uiPriority w:val="99"/>
    <w:pPr>
      <w:ind w:left="100" w:leftChars="2500"/>
    </w:pPr>
  </w:style>
  <w:style w:type="paragraph" w:styleId="11">
    <w:name w:val="Body Text Indent 2"/>
    <w:basedOn w:val="1"/>
    <w:link w:val="32"/>
    <w:qFormat/>
    <w:uiPriority w:val="99"/>
    <w:pPr>
      <w:ind w:firstLine="480"/>
    </w:pPr>
    <w:rPr>
      <w:rFonts w:ascii="仿宋_GB2312" w:eastAsia="仿宋_GB2312"/>
      <w:sz w:val="24"/>
      <w:szCs w:val="20"/>
    </w:rPr>
  </w:style>
  <w:style w:type="paragraph" w:styleId="12">
    <w:name w:val="Balloon Text"/>
    <w:basedOn w:val="1"/>
    <w:link w:val="33"/>
    <w:unhideWhenUsed/>
    <w:qFormat/>
    <w:uiPriority w:val="0"/>
    <w:rPr>
      <w:sz w:val="18"/>
      <w:szCs w:val="18"/>
    </w:rPr>
  </w:style>
  <w:style w:type="paragraph" w:styleId="13">
    <w:name w:val="footer"/>
    <w:basedOn w:val="1"/>
    <w:link w:val="34"/>
    <w:unhideWhenUsed/>
    <w:qFormat/>
    <w:uiPriority w:val="0"/>
    <w:pPr>
      <w:tabs>
        <w:tab w:val="center" w:pos="4153"/>
        <w:tab w:val="right" w:pos="8306"/>
      </w:tabs>
      <w:snapToGrid w:val="0"/>
      <w:jc w:val="left"/>
    </w:pPr>
    <w:rPr>
      <w:sz w:val="18"/>
      <w:szCs w:val="18"/>
    </w:rPr>
  </w:style>
  <w:style w:type="paragraph" w:styleId="14">
    <w:name w:val="header"/>
    <w:basedOn w:val="1"/>
    <w:link w:val="35"/>
    <w:unhideWhenUsed/>
    <w:qFormat/>
    <w:uiPriority w:val="0"/>
    <w:pPr>
      <w:pBdr>
        <w:bottom w:val="single" w:color="auto" w:sz="6" w:space="1"/>
      </w:pBdr>
      <w:tabs>
        <w:tab w:val="center" w:pos="4153"/>
        <w:tab w:val="right" w:pos="8306"/>
      </w:tabs>
      <w:snapToGrid w:val="0"/>
      <w:jc w:val="center"/>
    </w:pPr>
    <w:rPr>
      <w:sz w:val="18"/>
      <w:szCs w:val="18"/>
    </w:rPr>
  </w:style>
  <w:style w:type="paragraph" w:styleId="15">
    <w:name w:val="toc 1"/>
    <w:basedOn w:val="1"/>
    <w:next w:val="1"/>
    <w:unhideWhenUsed/>
    <w:qFormat/>
    <w:uiPriority w:val="39"/>
    <w:pPr>
      <w:widowControl/>
      <w:spacing w:after="100" w:line="259" w:lineRule="auto"/>
      <w:jc w:val="left"/>
    </w:pPr>
    <w:rPr>
      <w:rFonts w:asciiTheme="minorHAnsi" w:hAnsiTheme="minorHAnsi" w:eastAsiaTheme="minorEastAsia"/>
      <w:kern w:val="0"/>
      <w:sz w:val="22"/>
      <w:szCs w:val="22"/>
    </w:rPr>
  </w:style>
  <w:style w:type="paragraph" w:styleId="16">
    <w:name w:val="toc 2"/>
    <w:basedOn w:val="1"/>
    <w:next w:val="1"/>
    <w:unhideWhenUsed/>
    <w:qFormat/>
    <w:uiPriority w:val="39"/>
    <w:pPr>
      <w:widowControl/>
      <w:spacing w:after="100" w:line="259" w:lineRule="auto"/>
      <w:ind w:left="220"/>
      <w:jc w:val="left"/>
    </w:pPr>
    <w:rPr>
      <w:rFonts w:asciiTheme="minorHAnsi" w:hAnsiTheme="minorHAnsi" w:eastAsiaTheme="minorEastAsia"/>
      <w:kern w:val="0"/>
      <w:sz w:val="22"/>
      <w:szCs w:val="22"/>
    </w:rPr>
  </w:style>
  <w:style w:type="paragraph" w:styleId="1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rPr>
  </w:style>
  <w:style w:type="paragraph" w:styleId="18">
    <w:name w:val="Normal (Web)"/>
    <w:basedOn w:val="1"/>
    <w:unhideWhenUsed/>
    <w:qFormat/>
    <w:uiPriority w:val="0"/>
    <w:pPr>
      <w:spacing w:beforeAutospacing="1" w:afterAutospacing="1"/>
      <w:jc w:val="left"/>
    </w:pPr>
    <w:rPr>
      <w:kern w:val="0"/>
      <w:sz w:val="24"/>
    </w:rPr>
  </w:style>
  <w:style w:type="paragraph" w:styleId="19">
    <w:name w:val="annotation subject"/>
    <w:basedOn w:val="7"/>
    <w:next w:val="7"/>
    <w:link w:val="36"/>
    <w:unhideWhenUsed/>
    <w:qFormat/>
    <w:uiPriority w:val="0"/>
    <w:rPr>
      <w:b/>
      <w:bCs/>
    </w:rPr>
  </w:style>
  <w:style w:type="table" w:styleId="21">
    <w:name w:val="Table Grid"/>
    <w:basedOn w:val="20"/>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FollowedHyperlink"/>
    <w:basedOn w:val="22"/>
    <w:unhideWhenUsed/>
    <w:qFormat/>
    <w:uiPriority w:val="99"/>
    <w:rPr>
      <w:color w:val="800080"/>
      <w:u w:val="single"/>
    </w:rPr>
  </w:style>
  <w:style w:type="character" w:styleId="24">
    <w:name w:val="Hyperlink"/>
    <w:basedOn w:val="22"/>
    <w:unhideWhenUsed/>
    <w:qFormat/>
    <w:uiPriority w:val="99"/>
    <w:rPr>
      <w:color w:val="0000FF"/>
      <w:u w:val="single"/>
    </w:rPr>
  </w:style>
  <w:style w:type="character" w:styleId="25">
    <w:name w:val="annotation reference"/>
    <w:basedOn w:val="22"/>
    <w:unhideWhenUsed/>
    <w:qFormat/>
    <w:uiPriority w:val="0"/>
    <w:rPr>
      <w:sz w:val="21"/>
      <w:szCs w:val="21"/>
    </w:rPr>
  </w:style>
  <w:style w:type="character" w:customStyle="1" w:styleId="26">
    <w:name w:val="标题 1 Char"/>
    <w:basedOn w:val="22"/>
    <w:link w:val="2"/>
    <w:qFormat/>
    <w:uiPriority w:val="0"/>
    <w:rPr>
      <w:rFonts w:ascii="Times New Roman" w:hAnsi="Times New Roman" w:eastAsia="宋体" w:cs="Times New Roman"/>
      <w:b/>
      <w:bCs/>
      <w:kern w:val="44"/>
      <w:sz w:val="44"/>
      <w:szCs w:val="44"/>
    </w:rPr>
  </w:style>
  <w:style w:type="character" w:customStyle="1" w:styleId="27">
    <w:name w:val="标题 2 Char"/>
    <w:basedOn w:val="22"/>
    <w:link w:val="3"/>
    <w:qFormat/>
    <w:uiPriority w:val="0"/>
    <w:rPr>
      <w:rFonts w:ascii="Arial" w:hAnsi="Arial" w:eastAsia="黑体" w:cs="Times New Roman"/>
      <w:b/>
      <w:bCs/>
      <w:sz w:val="32"/>
      <w:szCs w:val="32"/>
    </w:rPr>
  </w:style>
  <w:style w:type="character" w:customStyle="1" w:styleId="28">
    <w:name w:val="标题 3 Char"/>
    <w:basedOn w:val="22"/>
    <w:link w:val="4"/>
    <w:qFormat/>
    <w:uiPriority w:val="0"/>
    <w:rPr>
      <w:rFonts w:ascii="Times New Roman" w:hAnsi="Times New Roman" w:eastAsia="宋体" w:cs="Times New Roman"/>
      <w:b/>
      <w:bCs/>
      <w:sz w:val="32"/>
      <w:szCs w:val="32"/>
    </w:rPr>
  </w:style>
  <w:style w:type="character" w:customStyle="1" w:styleId="29">
    <w:name w:val="标题 4 Char"/>
    <w:basedOn w:val="22"/>
    <w:link w:val="5"/>
    <w:semiHidden/>
    <w:qFormat/>
    <w:uiPriority w:val="9"/>
    <w:rPr>
      <w:rFonts w:asciiTheme="majorHAnsi" w:hAnsiTheme="majorHAnsi" w:eastAsiaTheme="majorEastAsia" w:cstheme="majorBidi"/>
      <w:b/>
      <w:bCs/>
      <w:kern w:val="2"/>
      <w:sz w:val="28"/>
      <w:szCs w:val="28"/>
    </w:rPr>
  </w:style>
  <w:style w:type="character" w:customStyle="1" w:styleId="30">
    <w:name w:val="批注文字 Char"/>
    <w:basedOn w:val="22"/>
    <w:link w:val="7"/>
    <w:qFormat/>
    <w:uiPriority w:val="99"/>
    <w:rPr>
      <w:rFonts w:ascii="Times New Roman" w:hAnsi="Times New Roman" w:eastAsia="宋体" w:cs="Times New Roman"/>
      <w:szCs w:val="24"/>
    </w:rPr>
  </w:style>
  <w:style w:type="character" w:customStyle="1" w:styleId="31">
    <w:name w:val="日期 Char"/>
    <w:basedOn w:val="22"/>
    <w:link w:val="10"/>
    <w:semiHidden/>
    <w:qFormat/>
    <w:uiPriority w:val="99"/>
    <w:rPr>
      <w:rFonts w:ascii="Times New Roman" w:hAnsi="Times New Roman" w:eastAsia="宋体" w:cs="Times New Roman"/>
      <w:szCs w:val="24"/>
    </w:rPr>
  </w:style>
  <w:style w:type="character" w:customStyle="1" w:styleId="32">
    <w:name w:val="正文文本缩进 2 Char"/>
    <w:basedOn w:val="22"/>
    <w:link w:val="11"/>
    <w:qFormat/>
    <w:uiPriority w:val="99"/>
    <w:rPr>
      <w:rFonts w:ascii="仿宋_GB2312" w:hAnsi="Times New Roman" w:eastAsia="仿宋_GB2312" w:cs="Times New Roman"/>
      <w:sz w:val="24"/>
      <w:szCs w:val="20"/>
    </w:rPr>
  </w:style>
  <w:style w:type="character" w:customStyle="1" w:styleId="33">
    <w:name w:val="批注框文本 Char"/>
    <w:basedOn w:val="22"/>
    <w:link w:val="12"/>
    <w:qFormat/>
    <w:uiPriority w:val="0"/>
    <w:rPr>
      <w:rFonts w:ascii="Times New Roman" w:hAnsi="Times New Roman" w:eastAsia="宋体" w:cs="Times New Roman"/>
      <w:sz w:val="18"/>
      <w:szCs w:val="18"/>
    </w:rPr>
  </w:style>
  <w:style w:type="character" w:customStyle="1" w:styleId="34">
    <w:name w:val="页脚 Char"/>
    <w:basedOn w:val="22"/>
    <w:link w:val="13"/>
    <w:qFormat/>
    <w:uiPriority w:val="99"/>
    <w:rPr>
      <w:rFonts w:ascii="Times New Roman" w:hAnsi="Times New Roman" w:eastAsia="宋体" w:cs="Times New Roman"/>
      <w:sz w:val="18"/>
      <w:szCs w:val="18"/>
    </w:rPr>
  </w:style>
  <w:style w:type="character" w:customStyle="1" w:styleId="35">
    <w:name w:val="页眉 Char"/>
    <w:basedOn w:val="22"/>
    <w:link w:val="14"/>
    <w:qFormat/>
    <w:uiPriority w:val="99"/>
    <w:rPr>
      <w:rFonts w:ascii="Times New Roman" w:hAnsi="Times New Roman" w:eastAsia="宋体" w:cs="Times New Roman"/>
      <w:sz w:val="18"/>
      <w:szCs w:val="18"/>
    </w:rPr>
  </w:style>
  <w:style w:type="character" w:customStyle="1" w:styleId="36">
    <w:name w:val="批注主题 Char"/>
    <w:basedOn w:val="30"/>
    <w:link w:val="19"/>
    <w:qFormat/>
    <w:uiPriority w:val="0"/>
    <w:rPr>
      <w:rFonts w:ascii="Times New Roman" w:hAnsi="Times New Roman" w:eastAsia="宋体" w:cs="Times New Roman"/>
      <w:b/>
      <w:bCs/>
      <w:szCs w:val="24"/>
    </w:rPr>
  </w:style>
  <w:style w:type="paragraph" w:customStyle="1" w:styleId="37">
    <w:name w:val="列出段落1"/>
    <w:basedOn w:val="1"/>
    <w:qFormat/>
    <w:uiPriority w:val="34"/>
    <w:pPr>
      <w:ind w:firstLine="420" w:firstLineChars="200"/>
    </w:pPr>
  </w:style>
  <w:style w:type="paragraph" w:customStyle="1" w:styleId="38">
    <w:name w:val="样式2"/>
    <w:basedOn w:val="1"/>
    <w:qFormat/>
    <w:uiPriority w:val="0"/>
    <w:pPr>
      <w:adjustRightInd w:val="0"/>
      <w:spacing w:line="410" w:lineRule="atLeast"/>
      <w:textAlignment w:val="baseline"/>
    </w:pPr>
    <w:rPr>
      <w:kern w:val="0"/>
      <w:sz w:val="24"/>
      <w:szCs w:val="20"/>
    </w:rPr>
  </w:style>
  <w:style w:type="paragraph" w:customStyle="1" w:styleId="39">
    <w:name w:val="正文（首行缩进） Char"/>
    <w:basedOn w:val="1"/>
    <w:qFormat/>
    <w:uiPriority w:val="0"/>
    <w:pPr>
      <w:spacing w:line="360" w:lineRule="auto"/>
      <w:ind w:firstLine="480" w:firstLineChars="200"/>
    </w:pPr>
    <w:rPr>
      <w:rFonts w:ascii="Arial" w:hAnsi="Arial"/>
      <w:color w:val="000000"/>
      <w:sz w:val="24"/>
    </w:rPr>
  </w:style>
  <w:style w:type="paragraph" w:customStyle="1" w:styleId="40">
    <w:name w:val="样式8"/>
    <w:basedOn w:val="1"/>
    <w:qFormat/>
    <w:uiPriority w:val="0"/>
    <w:pPr>
      <w:widowControl/>
      <w:spacing w:line="360" w:lineRule="auto"/>
      <w:ind w:firstLine="480" w:firstLineChars="200"/>
      <w:jc w:val="left"/>
    </w:pPr>
    <w:rPr>
      <w:rFonts w:ascii="Arial" w:hAnsi="宋体" w:cs="Arial"/>
      <w:sz w:val="24"/>
    </w:rPr>
  </w:style>
  <w:style w:type="paragraph" w:customStyle="1" w:styleId="41">
    <w:name w:val="无间隔1"/>
    <w:link w:val="42"/>
    <w:qFormat/>
    <w:uiPriority w:val="1"/>
    <w:pPr>
      <w:widowControl w:val="0"/>
      <w:jc w:val="both"/>
    </w:pPr>
    <w:rPr>
      <w:rFonts w:ascii="Times New Roman" w:hAnsi="Times New Roman" w:eastAsia="宋体" w:cs="Times New Roman"/>
      <w:kern w:val="2"/>
      <w:sz w:val="21"/>
      <w:szCs w:val="24"/>
      <w:lang w:val="en-US" w:eastAsia="zh-CN" w:bidi="ar-SA"/>
    </w:rPr>
  </w:style>
  <w:style w:type="character" w:customStyle="1" w:styleId="42">
    <w:name w:val="无间隔 Char"/>
    <w:basedOn w:val="22"/>
    <w:link w:val="41"/>
    <w:qFormat/>
    <w:uiPriority w:val="1"/>
    <w:rPr>
      <w:rFonts w:ascii="Times New Roman" w:hAnsi="Times New Roman" w:eastAsia="宋体" w:cs="Times New Roman"/>
      <w:szCs w:val="24"/>
    </w:rPr>
  </w:style>
  <w:style w:type="paragraph" w:customStyle="1" w:styleId="43">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44">
    <w:name w:val="xl63"/>
    <w:basedOn w:val="1"/>
    <w:qFormat/>
    <w:uiPriority w:val="0"/>
    <w:pPr>
      <w:widowControl/>
      <w:spacing w:before="100" w:beforeAutospacing="1" w:after="100" w:afterAutospacing="1"/>
      <w:jc w:val="left"/>
    </w:pPr>
    <w:rPr>
      <w:rFonts w:ascii="宋体" w:hAnsi="宋体" w:cs="宋体"/>
      <w:b/>
      <w:bCs/>
      <w:kern w:val="0"/>
      <w:sz w:val="20"/>
      <w:szCs w:val="20"/>
    </w:rPr>
  </w:style>
  <w:style w:type="paragraph" w:customStyle="1" w:styleId="45">
    <w:name w:val="xl64"/>
    <w:basedOn w:val="1"/>
    <w:qFormat/>
    <w:uiPriority w:val="0"/>
    <w:pPr>
      <w:widowControl/>
      <w:spacing w:before="100" w:beforeAutospacing="1" w:after="100" w:afterAutospacing="1"/>
      <w:jc w:val="left"/>
    </w:pPr>
    <w:rPr>
      <w:rFonts w:ascii="宋体" w:hAnsi="宋体" w:cs="宋体"/>
      <w:b/>
      <w:bCs/>
      <w:kern w:val="0"/>
      <w:sz w:val="20"/>
      <w:szCs w:val="20"/>
    </w:rPr>
  </w:style>
  <w:style w:type="paragraph" w:customStyle="1" w:styleId="46">
    <w:name w:val="xl65"/>
    <w:basedOn w:val="1"/>
    <w:qFormat/>
    <w:uiPriority w:val="0"/>
    <w:pPr>
      <w:widowControl/>
      <w:spacing w:before="100" w:beforeAutospacing="1" w:after="100" w:afterAutospacing="1"/>
      <w:jc w:val="left"/>
    </w:pPr>
    <w:rPr>
      <w:rFonts w:ascii="宋体" w:hAnsi="宋体" w:cs="宋体"/>
      <w:b/>
      <w:bCs/>
      <w:kern w:val="0"/>
      <w:sz w:val="20"/>
      <w:szCs w:val="20"/>
    </w:rPr>
  </w:style>
  <w:style w:type="paragraph" w:customStyle="1" w:styleId="47">
    <w:name w:val="xl66"/>
    <w:basedOn w:val="1"/>
    <w:qFormat/>
    <w:uiPriority w:val="0"/>
    <w:pPr>
      <w:widowControl/>
      <w:spacing w:before="100" w:beforeAutospacing="1" w:after="100" w:afterAutospacing="1"/>
      <w:jc w:val="right"/>
    </w:pPr>
    <w:rPr>
      <w:rFonts w:ascii="宋体" w:hAnsi="宋体" w:cs="宋体"/>
      <w:b/>
      <w:bCs/>
      <w:kern w:val="0"/>
      <w:sz w:val="20"/>
      <w:szCs w:val="20"/>
    </w:rPr>
  </w:style>
  <w:style w:type="paragraph" w:customStyle="1" w:styleId="48">
    <w:name w:val="xl67"/>
    <w:basedOn w:val="1"/>
    <w:qFormat/>
    <w:uiPriority w:val="0"/>
    <w:pPr>
      <w:widowControl/>
      <w:spacing w:before="100" w:beforeAutospacing="1" w:after="100" w:afterAutospacing="1"/>
      <w:jc w:val="right"/>
    </w:pPr>
    <w:rPr>
      <w:rFonts w:ascii="宋体" w:hAnsi="宋体" w:cs="宋体"/>
      <w:b/>
      <w:bCs/>
      <w:kern w:val="0"/>
      <w:sz w:val="20"/>
      <w:szCs w:val="20"/>
    </w:rPr>
  </w:style>
  <w:style w:type="paragraph" w:customStyle="1" w:styleId="49">
    <w:name w:val="xl68"/>
    <w:basedOn w:val="1"/>
    <w:qFormat/>
    <w:uiPriority w:val="0"/>
    <w:pPr>
      <w:widowControl/>
      <w:spacing w:before="100" w:beforeAutospacing="1" w:after="100" w:afterAutospacing="1"/>
      <w:jc w:val="center"/>
    </w:pPr>
    <w:rPr>
      <w:rFonts w:ascii="宋体" w:hAnsi="宋体" w:cs="宋体"/>
      <w:b/>
      <w:bCs/>
      <w:kern w:val="0"/>
      <w:sz w:val="20"/>
      <w:szCs w:val="20"/>
    </w:rPr>
  </w:style>
  <w:style w:type="paragraph" w:customStyle="1" w:styleId="50">
    <w:name w:val="xl69"/>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51">
    <w:name w:val="xl70"/>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52">
    <w:name w:val="xl71"/>
    <w:basedOn w:val="1"/>
    <w:qFormat/>
    <w:uiPriority w:val="0"/>
    <w:pPr>
      <w:widowControl/>
      <w:spacing w:before="100" w:beforeAutospacing="1" w:after="100" w:afterAutospacing="1"/>
      <w:jc w:val="right"/>
    </w:pPr>
    <w:rPr>
      <w:rFonts w:ascii="宋体" w:hAnsi="宋体" w:cs="宋体"/>
      <w:kern w:val="0"/>
      <w:sz w:val="20"/>
      <w:szCs w:val="20"/>
    </w:rPr>
  </w:style>
  <w:style w:type="paragraph" w:customStyle="1" w:styleId="53">
    <w:name w:val="xl72"/>
    <w:basedOn w:val="1"/>
    <w:qFormat/>
    <w:uiPriority w:val="0"/>
    <w:pPr>
      <w:widowControl/>
      <w:spacing w:before="100" w:beforeAutospacing="1" w:after="100" w:afterAutospacing="1"/>
      <w:jc w:val="right"/>
    </w:pPr>
    <w:rPr>
      <w:rFonts w:ascii="宋体" w:hAnsi="宋体" w:cs="宋体"/>
      <w:kern w:val="0"/>
      <w:sz w:val="20"/>
      <w:szCs w:val="20"/>
    </w:rPr>
  </w:style>
  <w:style w:type="paragraph" w:customStyle="1" w:styleId="54">
    <w:name w:val="xl73"/>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55">
    <w:name w:val="xl74"/>
    <w:basedOn w:val="1"/>
    <w:qFormat/>
    <w:uiPriority w:val="0"/>
    <w:pPr>
      <w:widowControl/>
      <w:shd w:val="clear" w:color="000000" w:fill="FFFFFF"/>
      <w:spacing w:before="100" w:beforeAutospacing="1" w:after="100" w:afterAutospacing="1"/>
      <w:jc w:val="left"/>
    </w:pPr>
    <w:rPr>
      <w:rFonts w:ascii="宋体" w:hAnsi="宋体" w:cs="宋体"/>
      <w:kern w:val="0"/>
      <w:sz w:val="20"/>
      <w:szCs w:val="20"/>
    </w:rPr>
  </w:style>
  <w:style w:type="paragraph" w:customStyle="1" w:styleId="56">
    <w:name w:val="xl75"/>
    <w:basedOn w:val="1"/>
    <w:qFormat/>
    <w:uiPriority w:val="0"/>
    <w:pPr>
      <w:widowControl/>
      <w:shd w:val="clear" w:color="000000" w:fill="FFFFFF"/>
      <w:spacing w:before="100" w:beforeAutospacing="1" w:after="100" w:afterAutospacing="1"/>
      <w:jc w:val="left"/>
    </w:pPr>
    <w:rPr>
      <w:rFonts w:ascii="宋体" w:hAnsi="宋体" w:cs="宋体"/>
      <w:kern w:val="0"/>
      <w:sz w:val="20"/>
      <w:szCs w:val="20"/>
    </w:rPr>
  </w:style>
  <w:style w:type="paragraph" w:customStyle="1" w:styleId="57">
    <w:name w:val="xl76"/>
    <w:basedOn w:val="1"/>
    <w:qFormat/>
    <w:uiPriority w:val="0"/>
    <w:pPr>
      <w:widowControl/>
      <w:shd w:val="clear" w:color="000000" w:fill="FFFFFF"/>
      <w:spacing w:before="100" w:beforeAutospacing="1" w:after="100" w:afterAutospacing="1"/>
      <w:jc w:val="right"/>
    </w:pPr>
    <w:rPr>
      <w:rFonts w:ascii="宋体" w:hAnsi="宋体" w:cs="宋体"/>
      <w:kern w:val="0"/>
      <w:sz w:val="20"/>
      <w:szCs w:val="20"/>
    </w:rPr>
  </w:style>
  <w:style w:type="paragraph" w:customStyle="1" w:styleId="58">
    <w:name w:val="xl77"/>
    <w:basedOn w:val="1"/>
    <w:qFormat/>
    <w:uiPriority w:val="0"/>
    <w:pPr>
      <w:widowControl/>
      <w:shd w:val="clear" w:color="000000" w:fill="FFFFFF"/>
      <w:spacing w:before="100" w:beforeAutospacing="1" w:after="100" w:afterAutospacing="1"/>
      <w:jc w:val="right"/>
    </w:pPr>
    <w:rPr>
      <w:rFonts w:ascii="宋体" w:hAnsi="宋体" w:cs="宋体"/>
      <w:kern w:val="0"/>
      <w:sz w:val="20"/>
      <w:szCs w:val="20"/>
    </w:rPr>
  </w:style>
  <w:style w:type="paragraph" w:customStyle="1" w:styleId="59">
    <w:name w:val="xl78"/>
    <w:basedOn w:val="1"/>
    <w:qFormat/>
    <w:uiPriority w:val="0"/>
    <w:pPr>
      <w:widowControl/>
      <w:shd w:val="clear" w:color="000000" w:fill="FFFFFF"/>
      <w:spacing w:before="100" w:beforeAutospacing="1" w:after="100" w:afterAutospacing="1"/>
      <w:jc w:val="left"/>
    </w:pPr>
    <w:rPr>
      <w:rFonts w:ascii="宋体" w:hAnsi="宋体" w:cs="宋体"/>
      <w:kern w:val="0"/>
      <w:sz w:val="20"/>
      <w:szCs w:val="20"/>
    </w:rPr>
  </w:style>
  <w:style w:type="paragraph" w:styleId="60">
    <w:name w:val="List Paragraph"/>
    <w:basedOn w:val="1"/>
    <w:qFormat/>
    <w:uiPriority w:val="34"/>
    <w:pPr>
      <w:ind w:firstLine="420" w:firstLineChars="200"/>
    </w:pPr>
  </w:style>
  <w:style w:type="paragraph" w:customStyle="1" w:styleId="61">
    <w:name w:val="修订1"/>
    <w:hidden/>
    <w:semiHidden/>
    <w:qFormat/>
    <w:uiPriority w:val="99"/>
    <w:rPr>
      <w:rFonts w:ascii="Times New Roman" w:hAnsi="Times New Roman" w:eastAsia="宋体" w:cs="Times New Roman"/>
      <w:kern w:val="2"/>
      <w:sz w:val="21"/>
      <w:szCs w:val="24"/>
      <w:lang w:val="en-US" w:eastAsia="zh-CN" w:bidi="ar-SA"/>
    </w:rPr>
  </w:style>
  <w:style w:type="paragraph" w:customStyle="1" w:styleId="62">
    <w:name w:val="TOC 标题1"/>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F5597" w:themeColor="accent1" w:themeShade="BF"/>
      <w:kern w:val="0"/>
      <w:sz w:val="32"/>
      <w:szCs w:val="32"/>
    </w:rPr>
  </w:style>
  <w:style w:type="paragraph" w:customStyle="1" w:styleId="63">
    <w:name w:val="TOC 标题2"/>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F5597" w:themeColor="accent1" w:themeShade="BF"/>
      <w:kern w:val="0"/>
      <w:sz w:val="32"/>
      <w:szCs w:val="32"/>
    </w:rPr>
  </w:style>
  <w:style w:type="paragraph" w:customStyle="1" w:styleId="64">
    <w:name w:val="段"/>
    <w:link w:val="65"/>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character" w:customStyle="1" w:styleId="65">
    <w:name w:val="段 Char"/>
    <w:basedOn w:val="22"/>
    <w:link w:val="64"/>
    <w:qFormat/>
    <w:uiPriority w:val="0"/>
    <w:rPr>
      <w:rFonts w:ascii="宋体" w:hAnsi="Times New Roman" w:eastAsia="宋体" w:cs="Times New Roman"/>
      <w:sz w:val="21"/>
    </w:rPr>
  </w:style>
  <w:style w:type="paragraph" w:customStyle="1" w:styleId="66">
    <w:name w:val="_Style 13"/>
    <w:qFormat/>
    <w:uiPriority w:val="0"/>
    <w:pPr>
      <w:spacing w:before="120" w:after="120" w:line="288" w:lineRule="auto"/>
    </w:pPr>
    <w:rPr>
      <w:rFonts w:ascii="Arial" w:hAnsi="Arial" w:eastAsia="等线" w:cs="Arial"/>
      <w:sz w:val="22"/>
      <w:szCs w:val="22"/>
      <w:lang w:val="en-US" w:eastAsia="zh-CN" w:bidi="ar-SA"/>
    </w:rPr>
  </w:style>
  <w:style w:type="table" w:customStyle="1" w:styleId="67">
    <w:name w:val="Table Normal"/>
    <w:basedOn w:val="20"/>
    <w:unhideWhenUsed/>
    <w:qFormat/>
    <w:uiPriority w:val="0"/>
    <w:tblPr>
      <w:tblCellMar>
        <w:left w:w="0" w:type="dxa"/>
        <w:right w:w="0" w:type="dxa"/>
      </w:tblCellMar>
    </w:tblPr>
  </w:style>
  <w:style w:type="paragraph" w:customStyle="1" w:styleId="68">
    <w:name w:val="目次、标准名称标题"/>
    <w:next w:val="64"/>
    <w:qFormat/>
    <w:uiPriority w:val="0"/>
    <w:pPr>
      <w:keepNext/>
      <w:pageBreakBefore/>
      <w:shd w:val="clear" w:color="FFFFFF" w:fill="FFFFFF"/>
      <w:spacing w:before="640" w:after="560" w:line="460" w:lineRule="exact"/>
      <w:jc w:val="center"/>
      <w:outlineLvl w:val="0"/>
    </w:pPr>
    <w:rPr>
      <w:rFonts w:ascii="黑体" w:hAnsi="Times New Roman" w:eastAsia="黑体" w:cs="Times New Roman"/>
      <w:sz w:val="32"/>
      <w:lang w:val="en-US" w:eastAsia="zh-CN" w:bidi="ar-SA"/>
    </w:rPr>
  </w:style>
  <w:style w:type="paragraph" w:customStyle="1" w:styleId="69">
    <w:name w:val="章标题"/>
    <w:next w:val="64"/>
    <w:qFormat/>
    <w:uiPriority w:val="0"/>
    <w:pPr>
      <w:numPr>
        <w:ilvl w:val="0"/>
        <w:numId w:val="1"/>
      </w:numPr>
      <w:spacing w:beforeLines="100" w:afterLines="100"/>
      <w:ind w:left="0"/>
      <w:jc w:val="both"/>
      <w:outlineLvl w:val="1"/>
    </w:pPr>
    <w:rPr>
      <w:rFonts w:ascii="黑体" w:hAnsi="Times New Roman" w:eastAsia="黑体" w:cs="Times New Roman"/>
      <w:sz w:val="21"/>
      <w:lang w:val="en-US" w:eastAsia="zh-CN" w:bidi="ar-SA"/>
    </w:rPr>
  </w:style>
  <w:style w:type="paragraph" w:customStyle="1" w:styleId="70">
    <w:name w:val="一级无"/>
    <w:qFormat/>
    <w:uiPriority w:val="0"/>
    <w:pPr>
      <w:outlineLvl w:val="2"/>
    </w:pPr>
    <w:rPr>
      <w:rFonts w:ascii="宋体" w:hAnsi="Times New Roman" w:eastAsia="宋体" w:cs="Times New Roman"/>
      <w:sz w:val="21"/>
      <w:szCs w:val="21"/>
      <w:lang w:val="en-US" w:eastAsia="zh-CN" w:bidi="ar-SA"/>
    </w:rPr>
  </w:style>
  <w:style w:type="paragraph" w:customStyle="1" w:styleId="71">
    <w:name w:val="一级条标题"/>
    <w:next w:val="64"/>
    <w:qFormat/>
    <w:uiPriority w:val="0"/>
    <w:pPr>
      <w:numPr>
        <w:ilvl w:val="1"/>
        <w:numId w:val="1"/>
      </w:numPr>
      <w:spacing w:beforeLines="50" w:afterLines="50"/>
      <w:ind w:left="0"/>
      <w:outlineLvl w:val="2"/>
    </w:pPr>
    <w:rPr>
      <w:rFonts w:ascii="黑体" w:hAnsi="Times New Roman" w:eastAsia="黑体" w:cs="Times New Roman"/>
      <w:sz w:val="21"/>
      <w:szCs w:val="21"/>
      <w:lang w:val="en-US" w:eastAsia="zh-CN" w:bidi="ar-SA"/>
    </w:rPr>
  </w:style>
  <w:style w:type="paragraph" w:customStyle="1" w:styleId="72">
    <w:name w:val="正文图标题"/>
    <w:next w:val="64"/>
    <w:qFormat/>
    <w:uiPriority w:val="0"/>
    <w:pPr>
      <w:tabs>
        <w:tab w:val="left" w:pos="360"/>
      </w:tabs>
      <w:spacing w:beforeLines="50" w:afterLines="50"/>
      <w:jc w:val="center"/>
    </w:pPr>
    <w:rPr>
      <w:rFonts w:ascii="黑体" w:hAnsi="Times New Roman" w:eastAsia="黑体" w:cs="Times New Roman"/>
      <w:sz w:val="21"/>
      <w:lang w:val="en-US" w:eastAsia="zh-CN" w:bidi="ar-SA"/>
    </w:rPr>
  </w:style>
  <w:style w:type="paragraph" w:customStyle="1" w:styleId="73">
    <w:name w:val="二级无"/>
    <w:qFormat/>
    <w:uiPriority w:val="0"/>
    <w:pPr>
      <w:spacing w:before="50" w:after="50"/>
      <w:outlineLvl w:val="3"/>
    </w:pPr>
    <w:rPr>
      <w:rFonts w:ascii="宋体" w:hAnsi="Times New Roman" w:eastAsia="宋体" w:cs="Times New Roman"/>
      <w:sz w:val="21"/>
      <w:szCs w:val="21"/>
      <w:lang w:val="en-US" w:eastAsia="zh-CN" w:bidi="ar-SA"/>
    </w:rPr>
  </w:style>
  <w:style w:type="paragraph" w:customStyle="1" w:styleId="74">
    <w:name w:val="二级条标题"/>
    <w:next w:val="64"/>
    <w:qFormat/>
    <w:uiPriority w:val="0"/>
    <w:pPr>
      <w:numPr>
        <w:ilvl w:val="2"/>
        <w:numId w:val="1"/>
      </w:numPr>
      <w:spacing w:before="50" w:beforeLines="50" w:after="50" w:afterLines="50"/>
      <w:outlineLvl w:val="3"/>
    </w:pPr>
    <w:rPr>
      <w:rFonts w:ascii="黑体" w:hAnsi="Times New Roman" w:eastAsia="黑体" w:cs="Times New Roman"/>
      <w:sz w:val="21"/>
      <w:szCs w:val="21"/>
      <w:lang w:val="en-US" w:eastAsia="zh-CN" w:bidi="ar-SA"/>
    </w:rPr>
  </w:style>
  <w:style w:type="paragraph" w:customStyle="1" w:styleId="75">
    <w:name w:val="三级无"/>
    <w:qFormat/>
    <w:uiPriority w:val="0"/>
    <w:pPr>
      <w:ind w:left="284"/>
      <w:outlineLvl w:val="4"/>
    </w:pPr>
    <w:rPr>
      <w:rFonts w:ascii="宋体" w:hAnsi="Times New Roman" w:eastAsia="宋体" w:cs="Times New Roman"/>
      <w:sz w:val="21"/>
      <w:szCs w:val="21"/>
      <w:lang w:val="en-US" w:eastAsia="zh-CN" w:bidi="ar-SA"/>
    </w:rPr>
  </w:style>
  <w:style w:type="paragraph" w:customStyle="1" w:styleId="76">
    <w:name w:val="三级条标题"/>
    <w:next w:val="64"/>
    <w:qFormat/>
    <w:uiPriority w:val="0"/>
    <w:pPr>
      <w:numPr>
        <w:ilvl w:val="3"/>
        <w:numId w:val="1"/>
      </w:numPr>
      <w:spacing w:before="50" w:beforeLines="50" w:after="50" w:afterLines="50"/>
      <w:outlineLvl w:val="4"/>
    </w:pPr>
    <w:rPr>
      <w:rFonts w:ascii="黑体" w:hAnsi="Times New Roman" w:eastAsia="黑体" w:cs="Times New Roman"/>
      <w:sz w:val="21"/>
      <w:szCs w:val="21"/>
      <w:lang w:val="en-US" w:eastAsia="zh-CN" w:bidi="ar-SA"/>
    </w:rPr>
  </w:style>
  <w:style w:type="paragraph" w:customStyle="1" w:styleId="77">
    <w:name w:val="附录图标号"/>
    <w:qFormat/>
    <w:uiPriority w:val="0"/>
    <w:pPr>
      <w:keepNext/>
      <w:pageBreakBefore/>
      <w:spacing w:line="14" w:lineRule="exact"/>
      <w:ind w:firstLine="363"/>
      <w:jc w:val="center"/>
      <w:outlineLvl w:val="0"/>
    </w:pPr>
    <w:rPr>
      <w:rFonts w:ascii="Times New Roman" w:hAnsi="Times New Roman" w:eastAsia="宋体" w:cs="Times New Roman"/>
      <w:color w:val="FFFFFF"/>
      <w:kern w:val="2"/>
      <w:sz w:val="21"/>
      <w:szCs w:val="24"/>
      <w:lang w:val="en-US" w:eastAsia="zh-CN" w:bidi="ar-SA"/>
    </w:rPr>
  </w:style>
  <w:style w:type="paragraph" w:customStyle="1" w:styleId="78">
    <w:name w:val="四级条标题"/>
    <w:basedOn w:val="76"/>
    <w:next w:val="64"/>
    <w:qFormat/>
    <w:uiPriority w:val="0"/>
    <w:pPr>
      <w:numPr>
        <w:ilvl w:val="0"/>
        <w:numId w:val="0"/>
      </w:numPr>
      <w:outlineLvl w:val="5"/>
    </w:pPr>
  </w:style>
  <w:style w:type="paragraph" w:customStyle="1" w:styleId="79">
    <w:name w:val="五级条标题"/>
    <w:basedOn w:val="78"/>
    <w:next w:val="64"/>
    <w:qFormat/>
    <w:uiPriority w:val="0"/>
    <w:pPr>
      <w:outlineLvl w:val="6"/>
    </w:p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customXml" Target="../customXml/item2.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3.png"/><Relationship Id="rId17" Type="http://schemas.openxmlformats.org/officeDocument/2006/relationships/image" Target="media/image2.jpeg"/><Relationship Id="rId16" Type="http://schemas.openxmlformats.org/officeDocument/2006/relationships/image" Target="media/image1.jpeg"/><Relationship Id="rId15" Type="http://schemas.openxmlformats.org/officeDocument/2006/relationships/theme" Target="theme/theme1.xml"/><Relationship Id="rId14" Type="http://schemas.openxmlformats.org/officeDocument/2006/relationships/footer" Target="footer7.xml"/><Relationship Id="rId13" Type="http://schemas.openxmlformats.org/officeDocument/2006/relationships/header" Target="header5.xml"/><Relationship Id="rId12" Type="http://schemas.openxmlformats.org/officeDocument/2006/relationships/footer" Target="footer6.xml"/><Relationship Id="rId11" Type="http://schemas.openxmlformats.org/officeDocument/2006/relationships/header" Target="header4.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CF2BDB0-A37F-479B-AF63-36A8FBD24790}">
  <ds:schemaRefs/>
</ds:datastoreItem>
</file>

<file path=docProps/app.xml><?xml version="1.0" encoding="utf-8"?>
<Properties xmlns="http://schemas.openxmlformats.org/officeDocument/2006/extended-properties" xmlns:vt="http://schemas.openxmlformats.org/officeDocument/2006/docPropsVTypes">
  <Template>Normal</Template>
  <Pages>107</Pages>
  <Words>9240</Words>
  <Characters>9800</Characters>
  <Lines>422</Lines>
  <Paragraphs>118</Paragraphs>
  <TotalTime>81</TotalTime>
  <ScaleCrop>false</ScaleCrop>
  <LinksUpToDate>false</LinksUpToDate>
  <CharactersWithSpaces>10540</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2022-02-10T11:45:00Z</dcterms:created>
  <dc:creator>杨倩</dc:creator>
  <cp:lastModifiedBy>envy.</cp:lastModifiedBy>
  <cp:lastPrinted>2026-10-10T09:21:00Z</cp:lastPrinted>
  <dcterms:modified xsi:type="dcterms:W3CDTF">2026-10-10T14:14:24Z</dcterms:modified>
  <cp:revision>200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29B4ADFBAB2D42F1830FCEAB35E289DC_13</vt:lpwstr>
  </property>
  <property fmtid="{D5CDD505-2E9C-101B-9397-08002B2CF9AE}" pid="4" name="KSOTemplateDocerSaveRecord">
    <vt:lpwstr>eyJoZGlkIjoiNzFmNmZjMjM3Y2M5NTg4YzRhMThiOGM4ZDY3MzAyMjAiLCJ1c2VySWQiOiI0NTQ4MDg0MDgifQ==</vt:lpwstr>
  </property>
</Properties>
</file>