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0BCC">
      <w:pPr>
        <w:jc w:val="left"/>
        <w:rPr>
          <w:rFonts w:hint="eastAsia" w:eastAsia="宋体" w:cs="宋体"/>
          <w:b/>
          <w:bCs/>
          <w:sz w:val="36"/>
          <w:szCs w:val="36"/>
          <w:lang w:eastAsia="zh-CN"/>
        </w:rPr>
      </w:pPr>
      <w:bookmarkStart w:id="0" w:name="_Toc417896685"/>
      <w:bookmarkStart w:id="1" w:name="_Toc417895952"/>
      <w:bookmarkStart w:id="2" w:name="_Toc416702955"/>
      <w:bookmarkStart w:id="3" w:name="_Toc416703361"/>
      <w:bookmarkStart w:id="4" w:name="_Toc417896502"/>
      <w:r>
        <w:rPr>
          <w:rFonts w:hint="eastAsia" w:cs="宋体"/>
          <w:b/>
          <w:sz w:val="32"/>
          <w:szCs w:val="36"/>
        </w:rPr>
        <w:t>项目名称：</w:t>
      </w:r>
      <w:r>
        <w:rPr>
          <w:rFonts w:hint="eastAsia" w:cs="宋体"/>
          <w:b/>
          <w:bCs/>
          <w:sz w:val="36"/>
          <w:szCs w:val="36"/>
          <w:lang w:eastAsia="zh-CN"/>
        </w:rPr>
        <w:t>CPIC大渡口厂区分布式光伏电站建设项目EPC概算编制服务（第二次）</w:t>
      </w:r>
    </w:p>
    <w:p w14:paraId="043734DB">
      <w:pPr>
        <w:jc w:val="center"/>
        <w:rPr>
          <w:rFonts w:cs="宋体"/>
        </w:rPr>
      </w:pPr>
    </w:p>
    <w:p w14:paraId="54F35B53">
      <w:pPr>
        <w:jc w:val="center"/>
        <w:rPr>
          <w:rFonts w:cs="宋体"/>
        </w:rPr>
      </w:pPr>
    </w:p>
    <w:bookmarkEnd w:id="0"/>
    <w:bookmarkEnd w:id="1"/>
    <w:bookmarkEnd w:id="2"/>
    <w:bookmarkEnd w:id="3"/>
    <w:bookmarkEnd w:id="4"/>
    <w:p w14:paraId="730F54C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kern w:val="0"/>
          <w:sz w:val="32"/>
          <w:szCs w:val="32"/>
        </w:rPr>
      </w:pPr>
      <w:r>
        <w:rPr>
          <w:rFonts w:hint="eastAsia" w:cs="宋体"/>
          <w:b/>
          <w:kern w:val="0"/>
          <w:sz w:val="32"/>
          <w:szCs w:val="32"/>
        </w:rPr>
        <w:t>询比价编号：CPIC-GCXMCG-2025-044</w:t>
      </w:r>
    </w:p>
    <w:p w14:paraId="17035E9B">
      <w:pPr>
        <w:autoSpaceDE w:val="0"/>
        <w:autoSpaceDN w:val="0"/>
        <w:adjustRightInd w:val="0"/>
        <w:snapToGrid w:val="0"/>
        <w:spacing w:line="360" w:lineRule="auto"/>
        <w:rPr>
          <w:rFonts w:cs="宋体"/>
          <w:b/>
          <w:kern w:val="0"/>
          <w:sz w:val="32"/>
          <w:szCs w:val="32"/>
        </w:rPr>
      </w:pPr>
    </w:p>
    <w:p w14:paraId="7751143B">
      <w:pPr>
        <w:jc w:val="center"/>
        <w:rPr>
          <w:rFonts w:cs="宋体"/>
        </w:rPr>
      </w:pPr>
    </w:p>
    <w:p w14:paraId="7C8216E9">
      <w:pPr>
        <w:jc w:val="center"/>
        <w:rPr>
          <w:rFonts w:cs="宋体"/>
        </w:rPr>
      </w:pPr>
    </w:p>
    <w:p w14:paraId="25B5F609">
      <w:pPr>
        <w:jc w:val="center"/>
        <w:rPr>
          <w:rFonts w:cs="宋体"/>
        </w:rPr>
      </w:pPr>
    </w:p>
    <w:p w14:paraId="50AC87D1">
      <w:pPr>
        <w:jc w:val="center"/>
        <w:rPr>
          <w:rFonts w:cs="宋体"/>
        </w:rPr>
      </w:pPr>
    </w:p>
    <w:p w14:paraId="05E340E2">
      <w:pPr>
        <w:jc w:val="center"/>
        <w:rPr>
          <w:rFonts w:cs="宋体"/>
        </w:rPr>
      </w:pPr>
    </w:p>
    <w:p w14:paraId="7A3CDD6A">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0C071802">
      <w:pPr>
        <w:jc w:val="center"/>
        <w:rPr>
          <w:rFonts w:cs="宋体"/>
        </w:rPr>
      </w:pPr>
    </w:p>
    <w:p w14:paraId="0730B8CE">
      <w:pPr>
        <w:jc w:val="center"/>
        <w:rPr>
          <w:rFonts w:cs="宋体"/>
        </w:rPr>
      </w:pPr>
    </w:p>
    <w:p w14:paraId="732E7386">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5812E0D3">
      <w:pPr>
        <w:jc w:val="center"/>
        <w:rPr>
          <w:rFonts w:cs="宋体"/>
        </w:rPr>
      </w:pPr>
    </w:p>
    <w:p w14:paraId="6747F650">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二〇二五年九月</w:t>
      </w:r>
    </w:p>
    <w:p w14:paraId="4EC137F9">
      <w:pPr>
        <w:jc w:val="center"/>
        <w:rPr>
          <w:rFonts w:cs="宋体"/>
        </w:rPr>
      </w:pPr>
    </w:p>
    <w:p w14:paraId="658D2E49">
      <w:pPr>
        <w:jc w:val="center"/>
        <w:rPr>
          <w:rFonts w:cs="宋体"/>
        </w:rPr>
      </w:pPr>
    </w:p>
    <w:p w14:paraId="743596C2">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46E5946D">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707BEE7D">
      <w:pPr>
        <w:pStyle w:val="9"/>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 xml:space="preserve"> 审核：</w:t>
      </w:r>
      <w:r>
        <w:rPr>
          <w:rFonts w:hint="eastAsia" w:cs="宋体"/>
          <w:sz w:val="36"/>
          <w:szCs w:val="36"/>
          <w:u w:val="single"/>
        </w:rPr>
        <w:t xml:space="preserve">          </w:t>
      </w:r>
    </w:p>
    <w:p w14:paraId="5D7929E5">
      <w:pPr>
        <w:pStyle w:val="9"/>
        <w:tabs>
          <w:tab w:val="right" w:leader="dot" w:pos="8609"/>
        </w:tabs>
        <w:ind w:left="0" w:leftChars="0"/>
        <w:rPr>
          <w:rFonts w:cs="宋体"/>
          <w:bCs/>
          <w:kern w:val="0"/>
          <w:sz w:val="44"/>
          <w:szCs w:val="48"/>
        </w:rPr>
      </w:pPr>
    </w:p>
    <w:p w14:paraId="0C491308">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6A6BCF67">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p>
    <w:p w14:paraId="450096C8">
      <w:pPr>
        <w:jc w:val="center"/>
        <w:rPr>
          <w:rFonts w:cs="宋体"/>
        </w:rPr>
      </w:pPr>
    </w:p>
    <w:p w14:paraId="42A553DE">
      <w:pPr>
        <w:pStyle w:val="2"/>
        <w:jc w:val="center"/>
      </w:pPr>
      <w:bookmarkStart w:id="14" w:name="_GoBack"/>
      <w:r>
        <w:rPr>
          <w:rFonts w:hint="eastAsia"/>
        </w:rPr>
        <w:t>询比价文件</w:t>
      </w:r>
    </w:p>
    <w:p w14:paraId="5B8F43FD">
      <w:pPr>
        <w:spacing w:line="360" w:lineRule="auto"/>
        <w:ind w:firstLine="426"/>
        <w:rPr>
          <w:rFonts w:ascii="宋体" w:hAnsi="宋体"/>
          <w:sz w:val="24"/>
        </w:rPr>
      </w:pPr>
      <w:r>
        <w:rPr>
          <w:rFonts w:hint="eastAsia" w:ascii="宋体" w:hAnsi="宋体"/>
          <w:sz w:val="24"/>
        </w:rPr>
        <w:t>重庆国际复合材料股份有限公司就</w:t>
      </w:r>
      <w:r>
        <w:rPr>
          <w:rFonts w:hint="eastAsia" w:ascii="宋体" w:hAnsi="宋体"/>
          <w:sz w:val="24"/>
          <w:u w:val="single"/>
        </w:rPr>
        <w:t>　</w:t>
      </w:r>
      <w:r>
        <w:rPr>
          <w:rFonts w:hint="eastAsia" w:ascii="宋体" w:hAnsi="宋体"/>
          <w:sz w:val="24"/>
          <w:u w:val="single"/>
          <w:lang w:eastAsia="zh-CN"/>
        </w:rPr>
        <w:t>CPIC大渡口厂区分布式光伏电站建设项目EPC概算编制服务（第二次）</w:t>
      </w:r>
      <w:r>
        <w:rPr>
          <w:rFonts w:hint="eastAsia" w:ascii="宋体" w:hAnsi="宋体"/>
          <w:sz w:val="24"/>
          <w:u w:val="single"/>
        </w:rPr>
        <w:t>　</w:t>
      </w:r>
      <w:r>
        <w:rPr>
          <w:rFonts w:hint="eastAsia" w:ascii="宋体" w:hAnsi="宋体"/>
          <w:sz w:val="24"/>
        </w:rPr>
        <w:t>进行国内外询比价，邀请潜在供应商进行报价。</w:t>
      </w:r>
    </w:p>
    <w:p w14:paraId="223020AC">
      <w:pPr>
        <w:numPr>
          <w:ilvl w:val="0"/>
          <w:numId w:val="1"/>
        </w:numPr>
        <w:spacing w:line="360" w:lineRule="auto"/>
        <w:rPr>
          <w:rFonts w:ascii="宋体" w:hAnsi="宋体"/>
          <w:sz w:val="24"/>
        </w:rPr>
      </w:pPr>
      <w:r>
        <w:rPr>
          <w:rFonts w:hint="eastAsia" w:ascii="宋体" w:hAnsi="宋体"/>
          <w:sz w:val="24"/>
        </w:rPr>
        <w:t>询比价项目编号：</w:t>
      </w:r>
      <w:r>
        <w:rPr>
          <w:rFonts w:hint="eastAsia" w:ascii="宋体" w:hAnsi="宋体"/>
          <w:sz w:val="24"/>
          <w:u w:val="single"/>
        </w:rPr>
        <w:t xml:space="preserve"> </w:t>
      </w:r>
      <w:r>
        <w:rPr>
          <w:rFonts w:hint="eastAsia" w:ascii="宋体" w:hAnsi="宋体"/>
          <w:sz w:val="24"/>
          <w:u w:val="single"/>
          <w:lang w:val="en-US" w:eastAsia="zh-CN"/>
        </w:rPr>
        <w:t>CPIC-GCXMCG-2025-044</w:t>
      </w:r>
      <w:r>
        <w:rPr>
          <w:rFonts w:hint="eastAsia" w:ascii="宋体" w:hAnsi="宋体"/>
          <w:sz w:val="24"/>
          <w:u w:val="single"/>
        </w:rPr>
        <w:t xml:space="preserve"> </w:t>
      </w:r>
    </w:p>
    <w:p w14:paraId="2B621F35">
      <w:pPr>
        <w:numPr>
          <w:ilvl w:val="0"/>
          <w:numId w:val="1"/>
        </w:num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CPIC大渡口厂区分布式光伏电站建设项目EPC概算编制服务（第二次）</w:t>
      </w:r>
      <w:r>
        <w:rPr>
          <w:rFonts w:hint="eastAsia" w:ascii="宋体" w:hAnsi="宋体"/>
          <w:sz w:val="24"/>
          <w:u w:val="single"/>
        </w:rPr>
        <w:t xml:space="preserve"> </w:t>
      </w:r>
    </w:p>
    <w:p w14:paraId="6E53FAFC">
      <w:pPr>
        <w:numPr>
          <w:ilvl w:val="0"/>
          <w:numId w:val="1"/>
        </w:numPr>
        <w:spacing w:line="360" w:lineRule="auto"/>
        <w:rPr>
          <w:rFonts w:ascii="宋体" w:hAnsi="宋体"/>
          <w:sz w:val="24"/>
        </w:rPr>
      </w:pPr>
      <w:r>
        <w:rPr>
          <w:rFonts w:hint="eastAsia" w:ascii="宋体" w:hAnsi="宋体"/>
          <w:sz w:val="24"/>
        </w:rPr>
        <w:t>询比价内容：</w:t>
      </w:r>
    </w:p>
    <w:p w14:paraId="26D0815F">
      <w:pPr>
        <w:pStyle w:val="19"/>
        <w:numPr>
          <w:ilvl w:val="0"/>
          <w:numId w:val="2"/>
        </w:numPr>
        <w:spacing w:line="360" w:lineRule="auto"/>
        <w:ind w:left="426" w:firstLineChars="0"/>
        <w:rPr>
          <w:rFonts w:ascii="宋体" w:hAnsi="宋体"/>
          <w:sz w:val="24"/>
          <w:u w:val="single"/>
        </w:rPr>
      </w:pPr>
      <w:r>
        <w:rPr>
          <w:rFonts w:hint="eastAsia" w:ascii="宋体" w:hAnsi="宋体"/>
          <w:sz w:val="24"/>
        </w:rPr>
        <w:t>提供服务：</w:t>
      </w:r>
      <w:r>
        <w:rPr>
          <w:rFonts w:hint="eastAsia" w:ascii="宋体" w:hAnsi="宋体"/>
          <w:sz w:val="24"/>
          <w:u w:val="single"/>
        </w:rPr>
        <w:t xml:space="preserve">  概算编制服务   </w:t>
      </w:r>
    </w:p>
    <w:p w14:paraId="27FFDBAD">
      <w:pPr>
        <w:pStyle w:val="19"/>
        <w:numPr>
          <w:ilvl w:val="0"/>
          <w:numId w:val="3"/>
        </w:numPr>
        <w:spacing w:line="360" w:lineRule="auto"/>
        <w:ind w:left="-159" w:firstLine="0" w:firstLineChars="0"/>
        <w:rPr>
          <w:rFonts w:ascii="宋体" w:hAnsi="宋体"/>
          <w:sz w:val="24"/>
        </w:rPr>
      </w:pPr>
      <w:r>
        <w:rPr>
          <w:rFonts w:hint="eastAsia" w:ascii="宋体" w:hAnsi="宋体"/>
          <w:sz w:val="24"/>
        </w:rPr>
        <w:t>项目简介：</w:t>
      </w:r>
    </w:p>
    <w:p w14:paraId="60032F6B">
      <w:pPr>
        <w:tabs>
          <w:tab w:val="left" w:pos="3840"/>
          <w:tab w:val="left" w:pos="5300"/>
        </w:tabs>
        <w:autoSpaceDE w:val="0"/>
        <w:autoSpaceDN w:val="0"/>
        <w:adjustRightInd w:val="0"/>
        <w:snapToGrid w:val="0"/>
        <w:spacing w:line="360" w:lineRule="auto"/>
        <w:ind w:firstLine="480" w:firstLineChars="200"/>
        <w:rPr>
          <w:rFonts w:ascii="宋体" w:hAnsi="宋体" w:cs="宋体"/>
          <w:kern w:val="0"/>
          <w:sz w:val="24"/>
        </w:rPr>
      </w:pPr>
      <w:r>
        <w:rPr>
          <w:rFonts w:hint="eastAsia"/>
          <w:snapToGrid w:val="0"/>
          <w:sz w:val="24"/>
        </w:rPr>
        <w:t>本项目CPIC大渡口厂区分布式光伏电站建设项目EPC已由重庆市大渡口区发展和改革委员会以重庆市企业投资项目备案证(备案项目编码：2507-500104-04-05-424941）批准建设，项目业主为重庆国际复合材料股份有限公司，建设资金来自企业自筹，项目出资比例为100%。</w:t>
      </w:r>
    </w:p>
    <w:p w14:paraId="2F642E17">
      <w:pPr>
        <w:tabs>
          <w:tab w:val="left" w:pos="3840"/>
          <w:tab w:val="left" w:pos="530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在大渡口厂区的F01、F02、F03、F05、F06线厂房屋顶建设光伏发电，装机容量</w:t>
      </w:r>
      <w:bookmarkStart w:id="5" w:name="OLE_LINK3"/>
      <w:r>
        <w:rPr>
          <w:rFonts w:hint="eastAsia" w:ascii="宋体" w:hAnsi="宋体" w:cs="宋体"/>
          <w:kern w:val="0"/>
          <w:sz w:val="24"/>
        </w:rPr>
        <w:t>不低于10MWp</w:t>
      </w:r>
      <w:bookmarkEnd w:id="5"/>
      <w:r>
        <w:rPr>
          <w:rFonts w:hint="eastAsia" w:ascii="宋体" w:hAnsi="宋体" w:cs="宋体"/>
          <w:kern w:val="0"/>
          <w:sz w:val="24"/>
        </w:rPr>
        <w:t>，采用多个并网点升压至10kV后接入招标人110kV变电站中，并将电站监控系统纳入招标人既有智能运维中心进行集中展示，要求手机A</w:t>
      </w:r>
      <w:r>
        <w:rPr>
          <w:rFonts w:ascii="宋体" w:hAnsi="宋体" w:cs="宋体"/>
          <w:kern w:val="0"/>
          <w:sz w:val="24"/>
        </w:rPr>
        <w:t>PP能查看电量、逆变器状态等关键数据</w:t>
      </w:r>
      <w:r>
        <w:rPr>
          <w:rFonts w:hint="eastAsia" w:ascii="宋体" w:hAnsi="宋体" w:cs="宋体"/>
          <w:kern w:val="0"/>
          <w:sz w:val="24"/>
        </w:rPr>
        <w:t>。</w:t>
      </w:r>
    </w:p>
    <w:p w14:paraId="4D464C49">
      <w:pPr>
        <w:pStyle w:val="19"/>
        <w:numPr>
          <w:ilvl w:val="0"/>
          <w:numId w:val="3"/>
        </w:numPr>
        <w:spacing w:line="360" w:lineRule="auto"/>
        <w:ind w:left="-159" w:firstLine="0" w:firstLineChars="0"/>
        <w:rPr>
          <w:rFonts w:ascii="宋体" w:hAnsi="宋体"/>
          <w:sz w:val="24"/>
        </w:rPr>
      </w:pPr>
      <w:r>
        <w:rPr>
          <w:rFonts w:hint="eastAsia" w:ascii="宋体" w:hAnsi="宋体"/>
          <w:sz w:val="24"/>
        </w:rPr>
        <w:t>咨询服务内容：</w:t>
      </w:r>
    </w:p>
    <w:p w14:paraId="1CE95893">
      <w:pPr>
        <w:spacing w:line="360" w:lineRule="auto"/>
        <w:ind w:firstLine="480"/>
        <w:rPr>
          <w:rFonts w:ascii="宋体" w:hAnsi="宋体"/>
          <w:sz w:val="24"/>
        </w:rPr>
      </w:pPr>
      <w:r>
        <w:rPr>
          <w:rFonts w:hint="eastAsia" w:ascii="宋体" w:hAnsi="宋体"/>
          <w:sz w:val="24"/>
        </w:rPr>
        <w:t>根据《云天化集团有限责任公司投资管理制度》文件规定，完成本项目概算编制。</w:t>
      </w:r>
    </w:p>
    <w:p w14:paraId="671B1BE1">
      <w:pPr>
        <w:spacing w:line="360" w:lineRule="auto"/>
        <w:ind w:firstLine="480"/>
        <w:rPr>
          <w:rFonts w:ascii="宋体" w:hAnsi="宋体"/>
          <w:sz w:val="24"/>
        </w:rPr>
      </w:pPr>
      <w:r>
        <w:rPr>
          <w:rFonts w:ascii="宋体" w:hAnsi="宋体"/>
          <w:sz w:val="24"/>
        </w:rPr>
        <w:t>招标人</w:t>
      </w:r>
      <w:r>
        <w:rPr>
          <w:rFonts w:hint="eastAsia" w:ascii="宋体" w:hAnsi="宋体"/>
          <w:sz w:val="24"/>
        </w:rPr>
        <w:t>只</w:t>
      </w:r>
      <w:r>
        <w:rPr>
          <w:rFonts w:ascii="宋体" w:hAnsi="宋体"/>
          <w:sz w:val="24"/>
        </w:rPr>
        <w:t>提供项目可研报告和厂房相关图纸，编制单位需自行完成荷载检测和初步设计等工作，最终完成概算编制。</w:t>
      </w:r>
    </w:p>
    <w:p w14:paraId="3EF7C0E4">
      <w:pPr>
        <w:spacing w:line="360" w:lineRule="auto"/>
        <w:ind w:firstLine="480"/>
        <w:rPr>
          <w:rFonts w:ascii="宋体" w:hAnsi="宋体"/>
          <w:sz w:val="24"/>
        </w:rPr>
      </w:pPr>
      <w:r>
        <w:rPr>
          <w:rFonts w:hint="eastAsia" w:ascii="宋体" w:hAnsi="宋体"/>
          <w:sz w:val="24"/>
        </w:rPr>
        <w:t>配合业主与发改委、供电局等单位沟通的相关事项。</w:t>
      </w:r>
    </w:p>
    <w:p w14:paraId="41AFBB3A">
      <w:pPr>
        <w:spacing w:line="360" w:lineRule="auto"/>
        <w:ind w:firstLine="480"/>
        <w:rPr>
          <w:rFonts w:ascii="宋体" w:hAnsi="宋体"/>
          <w:sz w:val="24"/>
        </w:rPr>
      </w:pPr>
      <w:r>
        <w:rPr>
          <w:rFonts w:hint="eastAsia" w:ascii="宋体" w:hAnsi="宋体"/>
          <w:sz w:val="24"/>
        </w:rPr>
        <w:tab/>
      </w:r>
      <w:r>
        <w:rPr>
          <w:rFonts w:hint="eastAsia" w:ascii="宋体" w:hAnsi="宋体"/>
          <w:sz w:val="24"/>
        </w:rPr>
        <w:t>配合概算评审及集团审批（备案）服务，直至满足集团同意本项目进入招标施工建设节点的前置条件。</w:t>
      </w:r>
    </w:p>
    <w:p w14:paraId="0DAE7617">
      <w:pPr>
        <w:pStyle w:val="19"/>
        <w:numPr>
          <w:ilvl w:val="0"/>
          <w:numId w:val="2"/>
        </w:numPr>
        <w:spacing w:line="360" w:lineRule="auto"/>
        <w:ind w:left="426" w:firstLineChars="0"/>
        <w:rPr>
          <w:rFonts w:ascii="宋体" w:hAnsi="宋体"/>
          <w:sz w:val="24"/>
        </w:rPr>
      </w:pPr>
      <w:r>
        <w:rPr>
          <w:rFonts w:hint="eastAsia" w:ascii="宋体" w:hAnsi="宋体"/>
          <w:sz w:val="24"/>
        </w:rPr>
        <w:t>服务工期：合同签订后15天完成。</w:t>
      </w:r>
    </w:p>
    <w:p w14:paraId="78F517E9">
      <w:pPr>
        <w:pStyle w:val="19"/>
        <w:numPr>
          <w:ilvl w:val="0"/>
          <w:numId w:val="2"/>
        </w:numPr>
        <w:spacing w:line="360" w:lineRule="auto"/>
        <w:ind w:left="426" w:firstLineChars="0"/>
        <w:rPr>
          <w:rFonts w:ascii="宋体" w:hAnsi="宋体"/>
          <w:sz w:val="24"/>
        </w:rPr>
      </w:pPr>
      <w:r>
        <w:rPr>
          <w:rFonts w:hint="eastAsia" w:ascii="宋体" w:hAnsi="宋体"/>
          <w:sz w:val="24"/>
        </w:rPr>
        <w:t>服务地点：重庆市大渡口区建桥工业园B</w:t>
      </w:r>
      <w:r>
        <w:rPr>
          <w:rFonts w:ascii="宋体" w:hAnsi="宋体"/>
          <w:sz w:val="24"/>
        </w:rPr>
        <w:t>区</w:t>
      </w:r>
      <w:r>
        <w:rPr>
          <w:rFonts w:hint="eastAsia" w:ascii="宋体" w:hAnsi="宋体"/>
          <w:sz w:val="24"/>
        </w:rPr>
        <w:t>重庆国际复合材料股份有限公司。</w:t>
      </w:r>
    </w:p>
    <w:p w14:paraId="6DA33164">
      <w:pPr>
        <w:numPr>
          <w:ilvl w:val="0"/>
          <w:numId w:val="4"/>
        </w:numPr>
        <w:spacing w:line="360" w:lineRule="auto"/>
        <w:rPr>
          <w:rFonts w:ascii="宋体" w:hAnsi="宋体"/>
          <w:sz w:val="24"/>
        </w:rPr>
      </w:pPr>
      <w:r>
        <w:rPr>
          <w:rFonts w:hint="eastAsia" w:ascii="宋体" w:hAnsi="宋体"/>
          <w:sz w:val="24"/>
        </w:rPr>
        <w:t>报价人资格</w:t>
      </w:r>
    </w:p>
    <w:p w14:paraId="28AAAAF6">
      <w:pPr>
        <w:spacing w:line="360" w:lineRule="auto"/>
        <w:ind w:firstLine="480" w:firstLineChars="200"/>
        <w:rPr>
          <w:rFonts w:ascii="宋体" w:hAnsi="宋体"/>
          <w:sz w:val="24"/>
        </w:rPr>
      </w:pPr>
      <w:r>
        <w:rPr>
          <w:rFonts w:hint="eastAsia" w:ascii="宋体" w:hAnsi="宋体"/>
          <w:sz w:val="24"/>
        </w:rPr>
        <w:t>本次询比价实行资格后审，报价人应满足下列资格条件:</w:t>
      </w:r>
    </w:p>
    <w:p w14:paraId="05CE0B58">
      <w:pPr>
        <w:spacing w:line="360" w:lineRule="auto"/>
        <w:ind w:firstLine="426"/>
        <w:rPr>
          <w:rFonts w:ascii="宋体" w:hAnsi="宋体"/>
          <w:sz w:val="24"/>
        </w:rPr>
      </w:pPr>
      <w:r>
        <w:rPr>
          <w:rFonts w:hint="eastAsia" w:ascii="宋体" w:hAnsi="宋体"/>
          <w:sz w:val="24"/>
        </w:rPr>
        <w:t>（1）具有独立法人资格，需提供事业单位法人证书或企业营业执照。</w:t>
      </w:r>
    </w:p>
    <w:p w14:paraId="1AB7A3D2">
      <w:pPr>
        <w:spacing w:line="360" w:lineRule="auto"/>
        <w:ind w:firstLine="426"/>
        <w:rPr>
          <w:rFonts w:ascii="宋体" w:hAnsi="宋体"/>
          <w:sz w:val="24"/>
        </w:rPr>
      </w:pPr>
      <w:r>
        <w:rPr>
          <w:rFonts w:hint="eastAsia" w:ascii="宋体" w:hAnsi="宋体"/>
          <w:sz w:val="24"/>
        </w:rPr>
        <w:t>（2）报价人2022年至今在经营活动中没有重大违法记录，需提供“信用中国”网站（www.creditchina.gov.cn）、"中国政府采购网"(www.ccgp.gov.cn）等渠道查询的竞选人信用记录。</w:t>
      </w:r>
    </w:p>
    <w:p w14:paraId="0ADD360A">
      <w:pPr>
        <w:spacing w:line="360" w:lineRule="auto"/>
        <w:ind w:firstLine="426"/>
        <w:rPr>
          <w:rFonts w:ascii="宋体" w:hAnsi="宋体"/>
          <w:sz w:val="24"/>
        </w:rPr>
      </w:pPr>
      <w:r>
        <w:rPr>
          <w:rFonts w:hint="eastAsia" w:ascii="宋体" w:hAnsi="宋体"/>
          <w:sz w:val="24"/>
        </w:rPr>
        <w:t>（3）报价人须具备建筑工程乙级及以上设计资质。</w:t>
      </w:r>
    </w:p>
    <w:p w14:paraId="2CEF0328">
      <w:pPr>
        <w:spacing w:line="360" w:lineRule="auto"/>
        <w:ind w:firstLine="426"/>
        <w:rPr>
          <w:rFonts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报价人须具备电力行业(新能源发电)专业乙级或电力行业(送电工程)专业乙级以及电力行业(变电工程)专业乙级或工程设计综合甲级资质。</w:t>
      </w:r>
    </w:p>
    <w:p w14:paraId="6858E421">
      <w:pPr>
        <w:spacing w:line="360" w:lineRule="auto"/>
        <w:ind w:firstLine="426"/>
        <w:rPr>
          <w:rFonts w:ascii="宋体" w:hAnsi="宋体"/>
          <w:sz w:val="24"/>
        </w:rPr>
      </w:pPr>
      <w:r>
        <w:rPr>
          <w:rFonts w:hint="eastAsia" w:ascii="宋体" w:hAnsi="宋体"/>
          <w:sz w:val="24"/>
        </w:rPr>
        <w:t>（4）具有2022年至今完成过1个装机容量5</w:t>
      </w:r>
      <w:r>
        <w:rPr>
          <w:rFonts w:ascii="宋体" w:hAnsi="宋体"/>
          <w:sz w:val="24"/>
        </w:rPr>
        <w:t>MW</w:t>
      </w:r>
      <w:r>
        <w:rPr>
          <w:rFonts w:hint="eastAsia" w:ascii="宋体" w:hAnsi="宋体"/>
          <w:sz w:val="24"/>
        </w:rPr>
        <w:t>厂房屋顶分布式光伏发电项目的概算编制业绩，需提供项目合同或专家组审查意见或项目成果报告封面。</w:t>
      </w:r>
    </w:p>
    <w:p w14:paraId="378BBF65">
      <w:pPr>
        <w:spacing w:line="360" w:lineRule="auto"/>
        <w:ind w:firstLine="426"/>
        <w:rPr>
          <w:rFonts w:ascii="宋体" w:hAnsi="宋体"/>
          <w:sz w:val="24"/>
        </w:rPr>
      </w:pPr>
      <w:r>
        <w:rPr>
          <w:rFonts w:hint="eastAsia" w:ascii="宋体" w:hAnsi="宋体"/>
          <w:sz w:val="24"/>
        </w:rPr>
        <w:t>（5）报价人拟派本项目负责人必须具有注册造价工程师（结构或机电类）资格（必须已在申请人单位注册），拟派本项目团队成员须包括结构类、机电类、造价类中级及以上职称专业技术人员，并提供以上人员的职称证书和202</w:t>
      </w:r>
      <w:r>
        <w:rPr>
          <w:rFonts w:ascii="宋体" w:hAnsi="宋体"/>
          <w:sz w:val="24"/>
        </w:rPr>
        <w:t>5</w:t>
      </w:r>
      <w:r>
        <w:rPr>
          <w:rFonts w:hint="eastAsia" w:ascii="宋体" w:hAnsi="宋体"/>
          <w:sz w:val="24"/>
        </w:rPr>
        <w:t>年</w:t>
      </w:r>
      <w:r>
        <w:rPr>
          <w:rFonts w:ascii="宋体" w:hAnsi="宋体"/>
          <w:sz w:val="24"/>
        </w:rPr>
        <w:t>3</w:t>
      </w:r>
      <w:r>
        <w:rPr>
          <w:rFonts w:hint="eastAsia" w:ascii="宋体" w:hAnsi="宋体"/>
          <w:sz w:val="24"/>
        </w:rPr>
        <w:t>月至2025年</w:t>
      </w:r>
      <w:r>
        <w:rPr>
          <w:rFonts w:ascii="宋体" w:hAnsi="宋体"/>
          <w:sz w:val="24"/>
        </w:rPr>
        <w:t>8</w:t>
      </w:r>
      <w:r>
        <w:rPr>
          <w:rFonts w:hint="eastAsia" w:ascii="宋体" w:hAnsi="宋体"/>
          <w:sz w:val="24"/>
        </w:rPr>
        <w:t>月的连续养老保险参保证明复印件并加盖申请人单位公章。</w:t>
      </w:r>
    </w:p>
    <w:p w14:paraId="74088472">
      <w:pPr>
        <w:spacing w:line="360" w:lineRule="auto"/>
        <w:ind w:firstLine="426"/>
        <w:rPr>
          <w:rFonts w:ascii="宋体" w:hAnsi="宋体"/>
          <w:sz w:val="24"/>
        </w:rPr>
      </w:pPr>
      <w:r>
        <w:rPr>
          <w:rFonts w:hint="eastAsia" w:ascii="宋体" w:hAnsi="宋体"/>
          <w:sz w:val="24"/>
        </w:rPr>
        <w:t>（6）本次询比价不接受联合体。</w:t>
      </w:r>
    </w:p>
    <w:p w14:paraId="6953DB39">
      <w:pPr>
        <w:spacing w:line="360" w:lineRule="auto"/>
        <w:ind w:firstLine="426"/>
        <w:rPr>
          <w:rFonts w:ascii="宋体" w:hAnsi="宋体"/>
          <w:sz w:val="24"/>
        </w:rPr>
      </w:pPr>
      <w:r>
        <w:rPr>
          <w:rFonts w:ascii="宋体" w:hAnsi="宋体"/>
          <w:sz w:val="24"/>
        </w:rPr>
        <w:t>以上材料需提供</w:t>
      </w:r>
      <w:r>
        <w:rPr>
          <w:rFonts w:hint="eastAsia" w:ascii="宋体" w:hAnsi="宋体"/>
          <w:sz w:val="24"/>
        </w:rPr>
        <w:t>复印件并加盖申请人单位公章，原件备查。</w:t>
      </w:r>
    </w:p>
    <w:p w14:paraId="158E9D74">
      <w:pPr>
        <w:spacing w:line="360" w:lineRule="auto"/>
        <w:rPr>
          <w:rFonts w:ascii="宋体" w:hAnsi="宋体"/>
          <w:sz w:val="24"/>
        </w:rPr>
      </w:pPr>
      <w:r>
        <w:rPr>
          <w:rFonts w:hint="eastAsia" w:ascii="宋体" w:hAnsi="宋体"/>
          <w:sz w:val="24"/>
        </w:rPr>
        <w:t>五、报价文件要求：</w:t>
      </w:r>
    </w:p>
    <w:p w14:paraId="1B3B3A6B">
      <w:pPr>
        <w:numPr>
          <w:ilvl w:val="0"/>
          <w:numId w:val="5"/>
        </w:numPr>
        <w:spacing w:line="360" w:lineRule="auto"/>
        <w:rPr>
          <w:rFonts w:ascii="宋体" w:hAnsi="宋体"/>
          <w:sz w:val="24"/>
        </w:rPr>
      </w:pPr>
      <w:r>
        <w:rPr>
          <w:rFonts w:hint="eastAsia" w:ascii="宋体" w:hAnsi="宋体"/>
          <w:sz w:val="24"/>
        </w:rPr>
        <w:t>报价文件加盖公章，除法定代表人和委托代理人签字外，其余手填无效。</w:t>
      </w:r>
    </w:p>
    <w:p w14:paraId="4A3CD517">
      <w:pPr>
        <w:numPr>
          <w:ilvl w:val="0"/>
          <w:numId w:val="5"/>
        </w:numPr>
        <w:spacing w:line="360" w:lineRule="auto"/>
        <w:rPr>
          <w:rFonts w:ascii="宋体" w:hAnsi="宋体"/>
          <w:sz w:val="24"/>
        </w:rPr>
      </w:pPr>
      <w:r>
        <w:rPr>
          <w:rFonts w:hint="eastAsia" w:ascii="宋体" w:hAnsi="宋体"/>
          <w:sz w:val="24"/>
        </w:rPr>
        <w:t>报价文件应密封，封皮注明询比价项目、报价单位及报价日期并加盖公章。</w:t>
      </w:r>
    </w:p>
    <w:p w14:paraId="1AC7B25E">
      <w:pPr>
        <w:numPr>
          <w:ilvl w:val="0"/>
          <w:numId w:val="5"/>
        </w:numPr>
        <w:spacing w:line="360" w:lineRule="auto"/>
        <w:rPr>
          <w:rFonts w:ascii="宋体" w:hAnsi="宋体"/>
          <w:sz w:val="24"/>
        </w:rPr>
      </w:pPr>
      <w:r>
        <w:rPr>
          <w:rFonts w:hint="eastAsia" w:ascii="宋体" w:hAnsi="宋体"/>
          <w:sz w:val="24"/>
        </w:rPr>
        <w:t>有效期：报价文件及有关承诺文件有效期为报价文件投递截止之日起90天。</w:t>
      </w:r>
    </w:p>
    <w:p w14:paraId="7A127FE9">
      <w:pPr>
        <w:numPr>
          <w:ilvl w:val="0"/>
          <w:numId w:val="5"/>
        </w:numPr>
        <w:spacing w:line="360" w:lineRule="auto"/>
        <w:rPr>
          <w:rFonts w:ascii="宋体" w:hAnsi="宋体"/>
          <w:sz w:val="24"/>
        </w:rPr>
      </w:pPr>
      <w:r>
        <w:rPr>
          <w:rFonts w:hint="eastAsia" w:ascii="宋体" w:hAnsi="宋体"/>
          <w:sz w:val="24"/>
        </w:rPr>
        <w:t>报价人提交的报价文件由报价、资格审查资料和报价人所作的一切有效补充、修改和承诺书等文件组成。</w:t>
      </w:r>
    </w:p>
    <w:p w14:paraId="32C1FD97">
      <w:pPr>
        <w:spacing w:line="360" w:lineRule="auto"/>
        <w:rPr>
          <w:rFonts w:ascii="宋体" w:hAnsi="宋体"/>
          <w:sz w:val="24"/>
        </w:rPr>
      </w:pPr>
      <w:r>
        <w:rPr>
          <w:rFonts w:hint="eastAsia" w:ascii="宋体" w:hAnsi="宋体"/>
          <w:sz w:val="24"/>
        </w:rPr>
        <w:t>六、报价要求：</w:t>
      </w:r>
    </w:p>
    <w:p w14:paraId="572A4BB7">
      <w:pPr>
        <w:numPr>
          <w:ilvl w:val="0"/>
          <w:numId w:val="6"/>
        </w:numPr>
        <w:spacing w:line="360" w:lineRule="auto"/>
        <w:rPr>
          <w:rFonts w:ascii="宋体" w:hAnsi="宋体"/>
          <w:sz w:val="24"/>
        </w:rPr>
      </w:pPr>
      <w:r>
        <w:rPr>
          <w:rFonts w:hint="eastAsia" w:ascii="宋体" w:hAnsi="宋体"/>
          <w:sz w:val="24"/>
        </w:rPr>
        <w:t>该项目设置最高限价：</w:t>
      </w:r>
      <w:r>
        <w:rPr>
          <w:rFonts w:hint="eastAsia" w:ascii="宋体" w:hAnsi="宋体"/>
          <w:b w:val="0"/>
          <w:bCs/>
          <w:color w:val="auto"/>
          <w:sz w:val="24"/>
        </w:rPr>
        <w:t>人民币</w:t>
      </w:r>
      <w:r>
        <w:rPr>
          <w:rFonts w:ascii="宋体" w:hAnsi="宋体"/>
          <w:b w:val="0"/>
          <w:bCs/>
          <w:color w:val="auto"/>
          <w:sz w:val="24"/>
        </w:rPr>
        <w:t>8.89</w:t>
      </w:r>
      <w:r>
        <w:rPr>
          <w:rFonts w:hint="eastAsia" w:ascii="宋体" w:hAnsi="宋体"/>
          <w:b w:val="0"/>
          <w:bCs/>
          <w:color w:val="auto"/>
          <w:sz w:val="24"/>
        </w:rPr>
        <w:t>万元</w:t>
      </w:r>
      <w:r>
        <w:rPr>
          <w:rFonts w:hint="eastAsia" w:ascii="宋体" w:hAnsi="宋体"/>
          <w:sz w:val="24"/>
        </w:rPr>
        <w:t>。所有单位报价不得超过最高限价，该最高限价的范围包括承包方为完成合同全部义务应承担的一切成本、费用和支出以及承包方的合理利润。（包含但不限于服务人员的工资、劳保、医疗、福利、津贴、保险、差旅费、评审费、调查费、咨询费、专家费、审查费、设计单位的管理费、税金、利润等所有费用。采购人不再另行支付任何费用，报价人也不得与本项目的任何承包商、服务商等发生任何经济关系。）。</w:t>
      </w:r>
    </w:p>
    <w:p w14:paraId="0CA79EB9">
      <w:pPr>
        <w:numPr>
          <w:ilvl w:val="0"/>
          <w:numId w:val="6"/>
        </w:numPr>
        <w:spacing w:line="360" w:lineRule="auto"/>
        <w:rPr>
          <w:rFonts w:ascii="宋体" w:hAnsi="宋体"/>
          <w:sz w:val="24"/>
        </w:rPr>
      </w:pPr>
      <w:r>
        <w:rPr>
          <w:rFonts w:hint="eastAsia" w:ascii="宋体" w:hAnsi="宋体"/>
          <w:sz w:val="24"/>
        </w:rPr>
        <w:t>本项目报价以人民币报价，报价为一次性报价且为最终报价，所有报价均含6%增值税。</w:t>
      </w:r>
    </w:p>
    <w:p w14:paraId="1580E09F">
      <w:pPr>
        <w:numPr>
          <w:ilvl w:val="0"/>
          <w:numId w:val="6"/>
        </w:numPr>
        <w:spacing w:line="360" w:lineRule="auto"/>
        <w:rPr>
          <w:rFonts w:ascii="宋体" w:hAnsi="宋体"/>
          <w:sz w:val="24"/>
        </w:rPr>
      </w:pPr>
      <w:r>
        <w:rPr>
          <w:rFonts w:hint="eastAsia" w:ascii="宋体" w:hAnsi="宋体"/>
          <w:sz w:val="24"/>
        </w:rPr>
        <w:t>报价货币为人民币(RMB)，应包含完成合同全部义务应承担的一切成本，包括但不限于询比价范围内的项目概算编制及咨询单位的管理费、税金、利润等所有费用。</w:t>
      </w:r>
    </w:p>
    <w:p w14:paraId="0C35FD32">
      <w:pPr>
        <w:spacing w:line="360" w:lineRule="auto"/>
        <w:rPr>
          <w:rFonts w:ascii="宋体" w:hAnsi="宋体"/>
          <w:sz w:val="24"/>
        </w:rPr>
      </w:pPr>
      <w:r>
        <w:rPr>
          <w:rFonts w:hint="eastAsia" w:ascii="宋体" w:hAnsi="宋体"/>
          <w:sz w:val="24"/>
        </w:rPr>
        <w:t>七、付款方式：</w:t>
      </w:r>
    </w:p>
    <w:p w14:paraId="0E3F1AF1">
      <w:pPr>
        <w:numPr>
          <w:ilvl w:val="0"/>
          <w:numId w:val="7"/>
        </w:numPr>
        <w:spacing w:line="360" w:lineRule="auto"/>
        <w:rPr>
          <w:rFonts w:ascii="宋体" w:hAnsi="宋体"/>
          <w:sz w:val="24"/>
        </w:rPr>
      </w:pPr>
      <w:r>
        <w:rPr>
          <w:rFonts w:hint="eastAsia" w:ascii="宋体" w:hAnsi="宋体"/>
          <w:sz w:val="24"/>
        </w:rPr>
        <w:t>银行承兑汇票或现金电汇。付款方式为电汇付款，则乙方对甲方的支付金额给予1%的现金折扣（其中付至农民工工资专户的农民工工资不享受该现金折扣）。</w:t>
      </w:r>
    </w:p>
    <w:p w14:paraId="25F956BC">
      <w:pPr>
        <w:numPr>
          <w:ilvl w:val="0"/>
          <w:numId w:val="7"/>
        </w:numPr>
        <w:spacing w:line="360" w:lineRule="auto"/>
        <w:rPr>
          <w:rFonts w:ascii="宋体" w:hAnsi="宋体"/>
          <w:sz w:val="24"/>
        </w:rPr>
      </w:pPr>
      <w:r>
        <w:rPr>
          <w:rFonts w:hint="eastAsia" w:ascii="宋体" w:hAnsi="宋体"/>
          <w:sz w:val="24"/>
        </w:rPr>
        <w:t>完成项目概算编制并将全套文件资料交于采购人，采购人在30日内支付合同金额的70%。</w:t>
      </w:r>
    </w:p>
    <w:p w14:paraId="69813333">
      <w:pPr>
        <w:numPr>
          <w:ilvl w:val="0"/>
          <w:numId w:val="7"/>
        </w:numPr>
        <w:spacing w:line="360" w:lineRule="auto"/>
        <w:rPr>
          <w:rFonts w:ascii="宋体" w:hAnsi="宋体"/>
          <w:sz w:val="24"/>
        </w:rPr>
      </w:pPr>
      <w:r>
        <w:rPr>
          <w:rFonts w:hint="eastAsia" w:ascii="宋体" w:hAnsi="宋体"/>
          <w:sz w:val="24"/>
        </w:rPr>
        <w:t>完成</w:t>
      </w:r>
      <w:bookmarkStart w:id="6" w:name="OLE_LINK1"/>
      <w:r>
        <w:rPr>
          <w:rFonts w:hint="eastAsia" w:ascii="宋体" w:hAnsi="宋体"/>
          <w:sz w:val="24"/>
        </w:rPr>
        <w:t>概算</w:t>
      </w:r>
      <w:bookmarkEnd w:id="6"/>
      <w:r>
        <w:rPr>
          <w:rFonts w:hint="eastAsia" w:ascii="宋体" w:hAnsi="宋体"/>
          <w:sz w:val="24"/>
        </w:rPr>
        <w:t>评审、集团审批（备案），采购人在30日内支付合同金额的30%。</w:t>
      </w:r>
    </w:p>
    <w:p w14:paraId="1C96219E">
      <w:pPr>
        <w:numPr>
          <w:ilvl w:val="0"/>
          <w:numId w:val="7"/>
        </w:numPr>
        <w:spacing w:line="360" w:lineRule="auto"/>
        <w:rPr>
          <w:rFonts w:ascii="宋体" w:hAnsi="宋体"/>
          <w:sz w:val="24"/>
        </w:rPr>
      </w:pPr>
      <w:r>
        <w:rPr>
          <w:rFonts w:hint="eastAsia" w:ascii="宋体" w:hAnsi="宋体"/>
          <w:sz w:val="24"/>
        </w:rPr>
        <w:t>采购人在支付服务费前，需收到服务商开具税率为6%的全额增值税专用发票，否则不予支付。</w:t>
      </w:r>
    </w:p>
    <w:p w14:paraId="46946810">
      <w:pPr>
        <w:spacing w:line="360" w:lineRule="auto"/>
        <w:rPr>
          <w:rFonts w:ascii="宋体" w:hAnsi="宋体"/>
          <w:sz w:val="24"/>
        </w:rPr>
      </w:pPr>
      <w:r>
        <w:rPr>
          <w:rFonts w:hint="eastAsia" w:ascii="宋体" w:hAnsi="宋体"/>
          <w:sz w:val="24"/>
        </w:rPr>
        <w:t>八、询比价公告时间</w:t>
      </w:r>
    </w:p>
    <w:p w14:paraId="46691A75">
      <w:pPr>
        <w:numPr>
          <w:ilvl w:val="0"/>
          <w:numId w:val="8"/>
        </w:numPr>
        <w:spacing w:line="360" w:lineRule="auto"/>
        <w:rPr>
          <w:rFonts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 </w:t>
      </w:r>
      <w:r>
        <w:rPr>
          <w:rFonts w:hint="eastAsia" w:ascii="宋体" w:hAnsi="宋体"/>
          <w:sz w:val="24"/>
        </w:rPr>
        <w:t>月</w:t>
      </w:r>
      <w:r>
        <w:rPr>
          <w:rFonts w:hint="eastAsia" w:ascii="宋体" w:hAnsi="宋体"/>
          <w:sz w:val="24"/>
          <w:u w:val="single"/>
          <w:lang w:val="en-US" w:eastAsia="zh-CN"/>
        </w:rPr>
        <w:t>25</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w:t>
      </w:r>
      <w:r>
        <w:rPr>
          <w:rFonts w:hint="eastAsia" w:ascii="宋体" w:hAnsi="宋体"/>
          <w:sz w:val="24"/>
        </w:rPr>
        <w:t>月</w:t>
      </w:r>
      <w:r>
        <w:rPr>
          <w:rFonts w:hint="eastAsia" w:ascii="宋体" w:hAnsi="宋体"/>
          <w:sz w:val="24"/>
          <w:u w:val="single"/>
          <w:lang w:val="en-US" w:eastAsia="zh-CN"/>
        </w:rPr>
        <w:t>29</w:t>
      </w:r>
      <w:r>
        <w:rPr>
          <w:rFonts w:hint="eastAsia" w:ascii="宋体" w:hAnsi="宋体"/>
          <w:sz w:val="24"/>
        </w:rPr>
        <w:t>日。</w:t>
      </w:r>
    </w:p>
    <w:p w14:paraId="4928E2E1">
      <w:pPr>
        <w:numPr>
          <w:ilvl w:val="0"/>
          <w:numId w:val="8"/>
        </w:numPr>
        <w:spacing w:line="360" w:lineRule="auto"/>
        <w:rPr>
          <w:rFonts w:ascii="宋体" w:hAnsi="宋体"/>
          <w:sz w:val="24"/>
        </w:rPr>
      </w:pPr>
      <w:r>
        <w:rPr>
          <w:rFonts w:hint="eastAsia" w:ascii="宋体" w:hAnsi="宋体"/>
          <w:sz w:val="24"/>
        </w:rPr>
        <w:t xml:space="preserve">取得询比价文件的联系方式： </w:t>
      </w:r>
    </w:p>
    <w:p w14:paraId="4094AC8D">
      <w:pPr>
        <w:spacing w:line="360" w:lineRule="auto"/>
        <w:ind w:firstLine="480" w:firstLineChars="200"/>
        <w:rPr>
          <w:rFonts w:ascii="宋体" w:hAnsi="宋体"/>
          <w:sz w:val="24"/>
        </w:rPr>
      </w:pPr>
      <w:r>
        <w:rPr>
          <w:rFonts w:hint="eastAsia" w:ascii="宋体" w:hAnsi="宋体"/>
          <w:sz w:val="24"/>
        </w:rPr>
        <w:t>采   购   人：重庆国际复合材料股份有限公司</w:t>
      </w:r>
    </w:p>
    <w:p w14:paraId="22AC7CC2">
      <w:pPr>
        <w:spacing w:line="360" w:lineRule="auto"/>
        <w:ind w:firstLine="480" w:firstLineChars="200"/>
        <w:rPr>
          <w:rFonts w:ascii="宋体" w:hAnsi="宋体"/>
          <w:sz w:val="24"/>
        </w:rPr>
      </w:pPr>
      <w:r>
        <w:rPr>
          <w:rFonts w:hint="eastAsia" w:ascii="宋体" w:hAnsi="宋体"/>
          <w:sz w:val="24"/>
        </w:rPr>
        <w:t>办  公 地 址：重庆市大渡口区建桥工业园B区</w:t>
      </w:r>
    </w:p>
    <w:p w14:paraId="4E3AE8A8">
      <w:pPr>
        <w:spacing w:line="360" w:lineRule="auto"/>
        <w:ind w:firstLine="480" w:firstLineChars="200"/>
        <w:rPr>
          <w:rFonts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44FC4820">
      <w:pPr>
        <w:spacing w:line="360" w:lineRule="auto"/>
        <w:rPr>
          <w:rFonts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1D67DE53">
      <w:pPr>
        <w:spacing w:line="360" w:lineRule="auto"/>
        <w:ind w:firstLine="480"/>
        <w:rPr>
          <w:rFonts w:ascii="宋体" w:hAnsi="宋体"/>
          <w:sz w:val="24"/>
        </w:rPr>
      </w:pPr>
      <w:r>
        <w:rPr>
          <w:rFonts w:hint="eastAsia" w:ascii="宋体" w:hAnsi="宋体"/>
          <w:sz w:val="24"/>
        </w:rPr>
        <w:t>监督人：重庆国际复合材料股份有限公司</w:t>
      </w:r>
    </w:p>
    <w:p w14:paraId="34C8E2CE">
      <w:pPr>
        <w:spacing w:line="360" w:lineRule="auto"/>
        <w:ind w:firstLine="480"/>
        <w:rPr>
          <w:rFonts w:ascii="宋体" w:hAnsi="宋体"/>
          <w:sz w:val="24"/>
        </w:rPr>
      </w:pPr>
      <w:r>
        <w:rPr>
          <w:rFonts w:hint="eastAsia" w:ascii="宋体" w:hAnsi="宋体"/>
          <w:sz w:val="24"/>
        </w:rPr>
        <w:t>地址：重庆市大渡口区建桥工业园B区</w:t>
      </w:r>
    </w:p>
    <w:p w14:paraId="19B1CBB6">
      <w:pPr>
        <w:spacing w:line="360" w:lineRule="auto"/>
        <w:ind w:firstLine="480"/>
        <w:rPr>
          <w:rFonts w:ascii="宋体" w:hAnsi="宋体"/>
          <w:sz w:val="24"/>
        </w:rPr>
      </w:pPr>
      <w:r>
        <w:rPr>
          <w:rFonts w:hint="eastAsia" w:ascii="宋体" w:hAnsi="宋体"/>
          <w:sz w:val="24"/>
        </w:rPr>
        <w:t>联系人：付老师</w:t>
      </w:r>
    </w:p>
    <w:p w14:paraId="54E0B48C">
      <w:pPr>
        <w:spacing w:line="360" w:lineRule="auto"/>
        <w:ind w:firstLine="480"/>
        <w:rPr>
          <w:rFonts w:ascii="宋体" w:hAnsi="宋体"/>
          <w:sz w:val="24"/>
        </w:rPr>
      </w:pPr>
      <w:r>
        <w:rPr>
          <w:rFonts w:hint="eastAsia" w:ascii="宋体" w:hAnsi="宋体"/>
          <w:sz w:val="24"/>
        </w:rPr>
        <w:t>联系电话：023-68536643</w:t>
      </w:r>
    </w:p>
    <w:p w14:paraId="4B7B37E0">
      <w:pPr>
        <w:spacing w:line="360" w:lineRule="auto"/>
        <w:ind w:firstLine="480"/>
        <w:rPr>
          <w:rFonts w:ascii="宋体" w:hAnsi="宋体"/>
          <w:sz w:val="24"/>
        </w:rPr>
      </w:pPr>
      <w:r>
        <w:rPr>
          <w:rFonts w:hint="eastAsia" w:ascii="宋体" w:hAnsi="宋体"/>
          <w:sz w:val="24"/>
        </w:rPr>
        <w:t>邮箱：</w:t>
      </w:r>
      <w:r>
        <w:rPr>
          <w:rFonts w:ascii="宋体" w:hAnsi="宋体" w:cs="宋体"/>
          <w:sz w:val="24"/>
        </w:rPr>
        <w:t>fuwei4253@cpicfiber.com</w:t>
      </w:r>
    </w:p>
    <w:p w14:paraId="511B5E1F">
      <w:pPr>
        <w:spacing w:line="360" w:lineRule="auto"/>
        <w:rPr>
          <w:rFonts w:ascii="宋体" w:hAnsi="宋体"/>
          <w:sz w:val="24"/>
        </w:rPr>
      </w:pPr>
      <w:r>
        <w:rPr>
          <w:rFonts w:hint="eastAsia" w:ascii="宋体" w:hAnsi="宋体"/>
          <w:sz w:val="24"/>
        </w:rPr>
        <w:t>十、文件递交：</w:t>
      </w:r>
    </w:p>
    <w:p w14:paraId="21F6AB9F">
      <w:pPr>
        <w:numPr>
          <w:ilvl w:val="0"/>
          <w:numId w:val="9"/>
        </w:numPr>
        <w:tabs>
          <w:tab w:val="left" w:pos="1425"/>
        </w:tabs>
        <w:spacing w:line="360" w:lineRule="auto"/>
        <w:rPr>
          <w:rFonts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9 </w:t>
      </w:r>
      <w:r>
        <w:rPr>
          <w:rFonts w:hint="eastAsia" w:ascii="宋体" w:hAnsi="宋体" w:cs="宋体"/>
          <w:sz w:val="24"/>
        </w:rPr>
        <w:t xml:space="preserve">月 </w:t>
      </w:r>
      <w:r>
        <w:rPr>
          <w:rFonts w:hint="eastAsia" w:ascii="宋体" w:hAnsi="宋体" w:cs="宋体"/>
          <w:sz w:val="24"/>
          <w:u w:val="single"/>
          <w:lang w:val="en-US" w:eastAsia="zh-CN"/>
        </w:rPr>
        <w:t>30</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0F22BCDE">
      <w:pPr>
        <w:numPr>
          <w:ilvl w:val="0"/>
          <w:numId w:val="9"/>
        </w:numPr>
        <w:tabs>
          <w:tab w:val="left" w:pos="1425"/>
        </w:tabs>
        <w:spacing w:line="360" w:lineRule="auto"/>
        <w:rPr>
          <w:rFonts w:ascii="宋体" w:hAnsi="宋体" w:cs="宋体"/>
          <w:sz w:val="24"/>
        </w:rPr>
      </w:pPr>
      <w:r>
        <w:rPr>
          <w:rFonts w:hint="eastAsia" w:ascii="宋体" w:hAnsi="宋体" w:cs="宋体"/>
          <w:sz w:val="24"/>
        </w:rPr>
        <w:t>比价时间：报价文件递交截止之日起3个工作日内。</w:t>
      </w:r>
    </w:p>
    <w:p w14:paraId="42B45CC7">
      <w:pPr>
        <w:numPr>
          <w:ilvl w:val="0"/>
          <w:numId w:val="9"/>
        </w:numPr>
        <w:tabs>
          <w:tab w:val="left" w:pos="1425"/>
        </w:tabs>
        <w:spacing w:line="360" w:lineRule="auto"/>
        <w:rPr>
          <w:rFonts w:ascii="宋体" w:hAnsi="宋体" w:cs="宋体"/>
          <w:sz w:val="24"/>
        </w:rPr>
      </w:pPr>
      <w:r>
        <w:rPr>
          <w:rFonts w:hint="eastAsia" w:ascii="宋体" w:hAnsi="宋体" w:cs="宋体"/>
          <w:sz w:val="24"/>
        </w:rPr>
        <w:t>比价地点：重庆市大渡口区重庆国际复合材料股份有限公司大渡口本部。</w:t>
      </w:r>
    </w:p>
    <w:p w14:paraId="1C5806C0">
      <w:pPr>
        <w:numPr>
          <w:ilvl w:val="0"/>
          <w:numId w:val="9"/>
        </w:numPr>
        <w:tabs>
          <w:tab w:val="left" w:pos="1425"/>
        </w:tabs>
        <w:spacing w:line="360" w:lineRule="auto"/>
        <w:rPr>
          <w:rFonts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7807C006">
      <w:pPr>
        <w:spacing w:line="360" w:lineRule="auto"/>
        <w:jc w:val="left"/>
        <w:rPr>
          <w:rFonts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w:t>
      </w:r>
    </w:p>
    <w:p w14:paraId="5C5EA2EF">
      <w:pPr>
        <w:pStyle w:val="19"/>
        <w:numPr>
          <w:ilvl w:val="0"/>
          <w:numId w:val="10"/>
        </w:numPr>
        <w:spacing w:line="360" w:lineRule="auto"/>
        <w:ind w:left="0" w:firstLine="0" w:firstLineChars="0"/>
        <w:jc w:val="left"/>
        <w:rPr>
          <w:rFonts w:ascii="宋体" w:hAnsi="宋体"/>
          <w:snapToGrid w:val="0"/>
          <w:kern w:val="0"/>
          <w:sz w:val="24"/>
        </w:rPr>
      </w:pPr>
      <w:r>
        <w:rPr>
          <w:rFonts w:hint="eastAsia" w:ascii="宋体" w:hAnsi="宋体"/>
          <w:snapToGrid w:val="0"/>
          <w:kern w:val="0"/>
          <w:sz w:val="24"/>
        </w:rPr>
        <w:t>本次比价采取经资格后审合格采用综合评分法。</w:t>
      </w:r>
    </w:p>
    <w:p w14:paraId="359D954C">
      <w:pPr>
        <w:pStyle w:val="19"/>
        <w:spacing w:line="360" w:lineRule="auto"/>
        <w:ind w:firstLine="0" w:firstLineChars="0"/>
        <w:jc w:val="left"/>
        <w:rPr>
          <w:rFonts w:ascii="宋体" w:hAnsi="宋体"/>
          <w:snapToGrid w:val="0"/>
          <w:kern w:val="0"/>
          <w:sz w:val="24"/>
        </w:rPr>
      </w:pPr>
      <w:r>
        <w:rPr>
          <w:rFonts w:hint="eastAsia" w:ascii="宋体" w:hAnsi="宋体"/>
          <w:snapToGrid w:val="0"/>
          <w:kern w:val="0"/>
          <w:sz w:val="24"/>
        </w:rPr>
        <w:t>1.1对满足资格要求的所有报价人的谈判文件，进入符合性审查。</w:t>
      </w:r>
    </w:p>
    <w:p w14:paraId="797562B7">
      <w:pPr>
        <w:pStyle w:val="19"/>
        <w:spacing w:line="360" w:lineRule="auto"/>
        <w:ind w:firstLine="0" w:firstLineChars="0"/>
        <w:jc w:val="left"/>
        <w:rPr>
          <w:rFonts w:ascii="宋体" w:hAnsi="宋体"/>
          <w:snapToGrid w:val="0"/>
          <w:kern w:val="0"/>
          <w:sz w:val="24"/>
        </w:rPr>
      </w:pPr>
      <w:r>
        <w:rPr>
          <w:rFonts w:hint="eastAsia" w:ascii="宋体" w:hAnsi="宋体"/>
          <w:snapToGrid w:val="0"/>
          <w:kern w:val="0"/>
          <w:sz w:val="24"/>
        </w:rPr>
        <w:t>1.2符合性审查合格的竞选人中，综合评分最高的成为第一成交候选人，综合评分次高的成为第二成交候选人，依次类推。</w:t>
      </w:r>
    </w:p>
    <w:p w14:paraId="27590C14">
      <w:pPr>
        <w:pStyle w:val="19"/>
        <w:spacing w:line="360" w:lineRule="auto"/>
        <w:ind w:firstLine="0" w:firstLineChars="0"/>
        <w:jc w:val="left"/>
        <w:rPr>
          <w:rFonts w:ascii="宋体" w:hAnsi="宋体"/>
          <w:snapToGrid w:val="0"/>
          <w:kern w:val="0"/>
          <w:sz w:val="24"/>
        </w:rPr>
      </w:pPr>
      <w:r>
        <w:rPr>
          <w:rFonts w:hint="eastAsia" w:ascii="宋体" w:hAnsi="宋体"/>
          <w:snapToGrid w:val="0"/>
          <w:kern w:val="0"/>
          <w:sz w:val="24"/>
        </w:rPr>
        <w:t>1.3因谈判小组作否决处理，导致有效供应商不足三个的，谈判小组应当否决所有谈判文件。</w:t>
      </w:r>
    </w:p>
    <w:p w14:paraId="1E313003">
      <w:pPr>
        <w:pStyle w:val="19"/>
        <w:numPr>
          <w:ilvl w:val="0"/>
          <w:numId w:val="10"/>
        </w:numPr>
        <w:spacing w:line="360" w:lineRule="auto"/>
        <w:ind w:left="0" w:firstLine="0" w:firstLineChars="0"/>
        <w:jc w:val="left"/>
        <w:rPr>
          <w:rFonts w:ascii="宋体" w:hAnsi="宋体"/>
          <w:snapToGrid w:val="0"/>
          <w:kern w:val="0"/>
          <w:sz w:val="24"/>
        </w:rPr>
      </w:pPr>
      <w:r>
        <w:rPr>
          <w:rFonts w:hint="eastAsia" w:ascii="宋体" w:hAnsi="宋体"/>
          <w:snapToGrid w:val="0"/>
          <w:kern w:val="0"/>
          <w:sz w:val="24"/>
        </w:rPr>
        <w:t>评选方法：采用综合评分法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198"/>
        <w:gridCol w:w="1152"/>
        <w:gridCol w:w="1728"/>
        <w:gridCol w:w="3339"/>
      </w:tblGrid>
      <w:tr w14:paraId="2C1A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600BA746">
            <w:pPr>
              <w:spacing w:line="360" w:lineRule="auto"/>
              <w:jc w:val="center"/>
              <w:rPr>
                <w:rFonts w:ascii="宋体" w:hAnsi="宋体"/>
                <w:color w:val="000000"/>
                <w:szCs w:val="21"/>
              </w:rPr>
            </w:pPr>
            <w:r>
              <w:rPr>
                <w:rFonts w:hint="eastAsia" w:ascii="宋体" w:hAnsi="宋体"/>
                <w:color w:val="000000"/>
                <w:szCs w:val="21"/>
              </w:rPr>
              <w:t>条款号</w:t>
            </w:r>
          </w:p>
        </w:tc>
        <w:tc>
          <w:tcPr>
            <w:tcW w:w="1198" w:type="dxa"/>
          </w:tcPr>
          <w:p w14:paraId="3A1D0D82">
            <w:pPr>
              <w:spacing w:line="360" w:lineRule="auto"/>
              <w:jc w:val="center"/>
              <w:rPr>
                <w:rFonts w:ascii="宋体" w:hAnsi="宋体"/>
                <w:color w:val="000000"/>
                <w:szCs w:val="21"/>
              </w:rPr>
            </w:pPr>
            <w:r>
              <w:rPr>
                <w:rFonts w:hint="eastAsia" w:ascii="宋体" w:hAnsi="宋体"/>
                <w:color w:val="000000"/>
                <w:szCs w:val="21"/>
              </w:rPr>
              <w:t>条款号</w:t>
            </w:r>
          </w:p>
        </w:tc>
        <w:tc>
          <w:tcPr>
            <w:tcW w:w="1152" w:type="dxa"/>
          </w:tcPr>
          <w:p w14:paraId="079C0F58">
            <w:pPr>
              <w:spacing w:line="360" w:lineRule="auto"/>
              <w:jc w:val="center"/>
              <w:rPr>
                <w:rFonts w:ascii="宋体" w:hAnsi="宋体"/>
                <w:color w:val="000000"/>
                <w:szCs w:val="21"/>
              </w:rPr>
            </w:pPr>
            <w:r>
              <w:rPr>
                <w:rFonts w:hint="eastAsia" w:ascii="宋体" w:hAnsi="宋体"/>
                <w:color w:val="000000"/>
                <w:szCs w:val="21"/>
              </w:rPr>
              <w:t>评审因数</w:t>
            </w:r>
          </w:p>
        </w:tc>
        <w:tc>
          <w:tcPr>
            <w:tcW w:w="5067" w:type="dxa"/>
            <w:gridSpan w:val="2"/>
          </w:tcPr>
          <w:p w14:paraId="090551A7">
            <w:pPr>
              <w:spacing w:line="360" w:lineRule="auto"/>
              <w:jc w:val="center"/>
              <w:rPr>
                <w:rFonts w:ascii="宋体" w:hAnsi="宋体"/>
                <w:color w:val="000000"/>
                <w:szCs w:val="21"/>
              </w:rPr>
            </w:pPr>
            <w:r>
              <w:rPr>
                <w:rFonts w:hint="eastAsia" w:ascii="宋体" w:hAnsi="宋体"/>
                <w:color w:val="000000"/>
                <w:szCs w:val="21"/>
              </w:rPr>
              <w:t>评审标准</w:t>
            </w:r>
          </w:p>
        </w:tc>
      </w:tr>
      <w:tr w14:paraId="5443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034B1D62">
            <w:pPr>
              <w:spacing w:line="360" w:lineRule="auto"/>
              <w:rPr>
                <w:rFonts w:ascii="宋体" w:hAnsi="宋体"/>
                <w:color w:val="000000"/>
                <w:szCs w:val="21"/>
              </w:rPr>
            </w:pPr>
            <w:r>
              <w:rPr>
                <w:rFonts w:hint="eastAsia" w:ascii="宋体" w:hAnsi="宋体"/>
                <w:color w:val="000000"/>
                <w:szCs w:val="21"/>
              </w:rPr>
              <w:t>4.1</w:t>
            </w:r>
          </w:p>
        </w:tc>
        <w:tc>
          <w:tcPr>
            <w:tcW w:w="1198" w:type="dxa"/>
          </w:tcPr>
          <w:p w14:paraId="73B2EED9">
            <w:pPr>
              <w:spacing w:line="360" w:lineRule="auto"/>
              <w:rPr>
                <w:rFonts w:ascii="宋体" w:hAnsi="宋体"/>
                <w:color w:val="000000"/>
                <w:szCs w:val="21"/>
              </w:rPr>
            </w:pPr>
          </w:p>
        </w:tc>
        <w:tc>
          <w:tcPr>
            <w:tcW w:w="1152" w:type="dxa"/>
            <w:vAlign w:val="center"/>
          </w:tcPr>
          <w:p w14:paraId="3281E828">
            <w:pPr>
              <w:spacing w:line="360" w:lineRule="auto"/>
              <w:rPr>
                <w:rFonts w:ascii="宋体" w:hAnsi="宋体"/>
                <w:color w:val="000000"/>
                <w:szCs w:val="21"/>
              </w:rPr>
            </w:pPr>
            <w:r>
              <w:rPr>
                <w:rFonts w:hint="eastAsia" w:ascii="宋体" w:hAnsi="宋体"/>
                <w:color w:val="000000"/>
                <w:szCs w:val="21"/>
              </w:rPr>
              <w:t>分值构成</w:t>
            </w:r>
          </w:p>
          <w:p w14:paraId="3CB41189">
            <w:pPr>
              <w:spacing w:line="360" w:lineRule="auto"/>
              <w:rPr>
                <w:rFonts w:ascii="宋体" w:hAnsi="宋体"/>
                <w:color w:val="000000"/>
                <w:szCs w:val="21"/>
              </w:rPr>
            </w:pPr>
            <w:r>
              <w:rPr>
                <w:rFonts w:hint="eastAsia" w:ascii="宋体" w:hAnsi="宋体"/>
                <w:color w:val="000000"/>
                <w:szCs w:val="21"/>
              </w:rPr>
              <w:t>(总分100分)</w:t>
            </w:r>
          </w:p>
        </w:tc>
        <w:tc>
          <w:tcPr>
            <w:tcW w:w="5067" w:type="dxa"/>
            <w:gridSpan w:val="2"/>
          </w:tcPr>
          <w:p w14:paraId="631187CA">
            <w:pPr>
              <w:spacing w:line="360" w:lineRule="auto"/>
              <w:rPr>
                <w:rFonts w:ascii="宋体" w:hAnsi="宋体"/>
                <w:color w:val="000000"/>
                <w:szCs w:val="21"/>
              </w:rPr>
            </w:pPr>
            <w:r>
              <w:rPr>
                <w:rFonts w:hint="eastAsia" w:ascii="宋体" w:hAnsi="宋体"/>
                <w:color w:val="000000"/>
                <w:szCs w:val="21"/>
              </w:rPr>
              <w:t>投选报价75分</w:t>
            </w:r>
          </w:p>
          <w:p w14:paraId="3293341D">
            <w:pPr>
              <w:spacing w:line="360" w:lineRule="auto"/>
              <w:rPr>
                <w:rFonts w:ascii="宋体" w:hAnsi="宋体"/>
                <w:color w:val="000000"/>
                <w:szCs w:val="21"/>
              </w:rPr>
            </w:pPr>
            <w:r>
              <w:rPr>
                <w:rFonts w:hint="eastAsia" w:ascii="宋体" w:hAnsi="宋体"/>
                <w:color w:val="000000"/>
                <w:szCs w:val="21"/>
              </w:rPr>
              <w:t>技术部分25分</w:t>
            </w:r>
          </w:p>
        </w:tc>
      </w:tr>
      <w:tr w14:paraId="00D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2B626232">
            <w:pPr>
              <w:spacing w:line="360" w:lineRule="auto"/>
              <w:rPr>
                <w:rFonts w:ascii="宋体" w:hAnsi="宋体"/>
                <w:color w:val="000000"/>
                <w:szCs w:val="21"/>
              </w:rPr>
            </w:pPr>
            <w:r>
              <w:rPr>
                <w:rFonts w:hint="eastAsia" w:ascii="宋体" w:hAnsi="宋体"/>
                <w:color w:val="000000"/>
                <w:szCs w:val="21"/>
              </w:rPr>
              <w:t>4.2</w:t>
            </w:r>
          </w:p>
        </w:tc>
        <w:tc>
          <w:tcPr>
            <w:tcW w:w="1198" w:type="dxa"/>
          </w:tcPr>
          <w:p w14:paraId="785DF17A">
            <w:pPr>
              <w:spacing w:line="360" w:lineRule="auto"/>
              <w:rPr>
                <w:rFonts w:ascii="宋体" w:hAnsi="宋体"/>
                <w:color w:val="000000"/>
                <w:szCs w:val="21"/>
              </w:rPr>
            </w:pPr>
            <w:r>
              <w:rPr>
                <w:rFonts w:hint="eastAsia" w:ascii="宋体" w:hAnsi="宋体"/>
                <w:color w:val="000000"/>
                <w:szCs w:val="21"/>
              </w:rPr>
              <w:t>评标基准价</w:t>
            </w:r>
          </w:p>
        </w:tc>
        <w:tc>
          <w:tcPr>
            <w:tcW w:w="1152" w:type="dxa"/>
            <w:vAlign w:val="center"/>
          </w:tcPr>
          <w:p w14:paraId="4705C2F1">
            <w:pPr>
              <w:spacing w:line="360" w:lineRule="auto"/>
              <w:rPr>
                <w:rFonts w:ascii="宋体" w:hAnsi="宋体"/>
                <w:color w:val="000000"/>
                <w:szCs w:val="21"/>
              </w:rPr>
            </w:pPr>
            <w:r>
              <w:rPr>
                <w:rFonts w:hint="eastAsia" w:ascii="宋体" w:hAnsi="宋体"/>
                <w:color w:val="000000"/>
                <w:szCs w:val="21"/>
              </w:rPr>
              <w:t>评标基准价计算方法</w:t>
            </w:r>
          </w:p>
        </w:tc>
        <w:tc>
          <w:tcPr>
            <w:tcW w:w="5067" w:type="dxa"/>
            <w:gridSpan w:val="2"/>
          </w:tcPr>
          <w:p w14:paraId="43146780">
            <w:pPr>
              <w:spacing w:line="360" w:lineRule="auto"/>
              <w:rPr>
                <w:rFonts w:ascii="宋体" w:hAnsi="宋体"/>
                <w:color w:val="000000"/>
                <w:szCs w:val="21"/>
              </w:rPr>
            </w:pPr>
            <w:r>
              <w:rPr>
                <w:rFonts w:hint="eastAsia" w:ascii="宋体" w:hAnsi="宋体"/>
                <w:color w:val="000000"/>
                <w:szCs w:val="21"/>
              </w:rPr>
              <w:t>当所有通过初步评审合格的投选人数量大于等于6家时，将所有投选人的投选总报价按照从低到高的顺序排列，去掉最低价（去掉家数的计算方式：通过初步评审合格的投选人数量*1/6。不能整除的按小数点前的整数取整）和最高价（去掉家数等同最低价的去掉家数），对剩余投选总报价进行算术平均计算，所得结果即为投选总报价的评标基准价；若通过初步评审合格的投选人不足6家，直接对所有投选人的投选总报价进行算术平均计算，所得结果即为投选总报价的评标基准价。</w:t>
            </w:r>
          </w:p>
        </w:tc>
      </w:tr>
      <w:tr w14:paraId="2424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Pr>
          <w:p w14:paraId="49E5CED2">
            <w:pPr>
              <w:spacing w:line="360" w:lineRule="auto"/>
              <w:rPr>
                <w:rFonts w:ascii="宋体" w:hAnsi="宋体"/>
                <w:color w:val="000000"/>
                <w:szCs w:val="21"/>
              </w:rPr>
            </w:pPr>
            <w:r>
              <w:rPr>
                <w:rFonts w:hint="eastAsia" w:ascii="宋体" w:hAnsi="宋体"/>
                <w:color w:val="000000"/>
                <w:szCs w:val="21"/>
              </w:rPr>
              <w:t>4.3</w:t>
            </w:r>
          </w:p>
        </w:tc>
        <w:tc>
          <w:tcPr>
            <w:tcW w:w="1198" w:type="dxa"/>
          </w:tcPr>
          <w:p w14:paraId="103C37CB">
            <w:pPr>
              <w:spacing w:line="360" w:lineRule="auto"/>
              <w:rPr>
                <w:rFonts w:ascii="宋体" w:hAnsi="宋体"/>
                <w:color w:val="000000"/>
                <w:szCs w:val="21"/>
              </w:rPr>
            </w:pPr>
            <w:r>
              <w:rPr>
                <w:rFonts w:hint="eastAsia" w:ascii="宋体" w:hAnsi="宋体"/>
                <w:color w:val="000000"/>
                <w:szCs w:val="21"/>
              </w:rPr>
              <w:t>（1）</w:t>
            </w:r>
          </w:p>
        </w:tc>
        <w:tc>
          <w:tcPr>
            <w:tcW w:w="1152" w:type="dxa"/>
            <w:vAlign w:val="center"/>
          </w:tcPr>
          <w:p w14:paraId="71351C18">
            <w:pPr>
              <w:spacing w:line="360" w:lineRule="auto"/>
              <w:rPr>
                <w:rFonts w:ascii="宋体" w:hAnsi="宋体"/>
                <w:color w:val="000000"/>
                <w:szCs w:val="21"/>
              </w:rPr>
            </w:pPr>
            <w:r>
              <w:rPr>
                <w:rFonts w:hint="eastAsia" w:ascii="宋体" w:hAnsi="宋体"/>
                <w:color w:val="000000"/>
                <w:szCs w:val="21"/>
              </w:rPr>
              <w:t>投选报价评分标准A（75分）</w:t>
            </w:r>
          </w:p>
        </w:tc>
        <w:tc>
          <w:tcPr>
            <w:tcW w:w="5067" w:type="dxa"/>
            <w:gridSpan w:val="2"/>
          </w:tcPr>
          <w:p w14:paraId="1D83AB26">
            <w:pPr>
              <w:spacing w:line="360" w:lineRule="auto"/>
              <w:rPr>
                <w:rFonts w:ascii="宋体" w:hAnsi="宋体"/>
                <w:color w:val="000000"/>
                <w:szCs w:val="21"/>
              </w:rPr>
            </w:pPr>
            <w:r>
              <w:rPr>
                <w:rFonts w:hint="eastAsia" w:ascii="宋体" w:hAnsi="宋体"/>
                <w:color w:val="000000"/>
                <w:szCs w:val="21"/>
              </w:rPr>
              <w:t>所有通过初步评审合格的投选人的投选总报价得本附表规定分值的满分75分。在此基础上，投选总报价与评标准基价相比，每增加1%扣1分，扣完为止，减少不扣分。</w:t>
            </w:r>
          </w:p>
          <w:p w14:paraId="5F498FF8">
            <w:pPr>
              <w:spacing w:line="360" w:lineRule="auto"/>
              <w:rPr>
                <w:rFonts w:ascii="宋体" w:hAnsi="宋体"/>
                <w:color w:val="000000"/>
                <w:szCs w:val="21"/>
              </w:rPr>
            </w:pPr>
            <w:r>
              <w:rPr>
                <w:rFonts w:hint="eastAsia" w:ascii="宋体" w:hAnsi="宋体"/>
                <w:color w:val="000000"/>
                <w:szCs w:val="21"/>
              </w:rPr>
              <w:t>注：按插入法计算得分；得分保留小数点后两位，小数点后第三位“四舍五入”</w:t>
            </w:r>
          </w:p>
        </w:tc>
      </w:tr>
      <w:tr w14:paraId="445D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39D71859">
            <w:pPr>
              <w:spacing w:line="360" w:lineRule="auto"/>
              <w:rPr>
                <w:rFonts w:ascii="宋体" w:hAnsi="宋体"/>
                <w:color w:val="000000"/>
                <w:szCs w:val="21"/>
              </w:rPr>
            </w:pPr>
          </w:p>
        </w:tc>
        <w:tc>
          <w:tcPr>
            <w:tcW w:w="1198" w:type="dxa"/>
            <w:vMerge w:val="restart"/>
          </w:tcPr>
          <w:p w14:paraId="0BCDF0A4">
            <w:pPr>
              <w:spacing w:line="360" w:lineRule="auto"/>
              <w:rPr>
                <w:rFonts w:ascii="宋体" w:hAnsi="宋体"/>
                <w:color w:val="000000"/>
                <w:szCs w:val="21"/>
              </w:rPr>
            </w:pPr>
            <w:r>
              <w:rPr>
                <w:rFonts w:hint="eastAsia" w:ascii="宋体" w:hAnsi="宋体"/>
                <w:color w:val="000000"/>
                <w:szCs w:val="21"/>
              </w:rPr>
              <w:t>（2）</w:t>
            </w:r>
          </w:p>
        </w:tc>
        <w:tc>
          <w:tcPr>
            <w:tcW w:w="1152" w:type="dxa"/>
            <w:vMerge w:val="restart"/>
            <w:vAlign w:val="center"/>
          </w:tcPr>
          <w:p w14:paraId="7695830A">
            <w:pPr>
              <w:spacing w:line="360" w:lineRule="auto"/>
              <w:rPr>
                <w:rFonts w:ascii="宋体" w:hAnsi="宋体"/>
                <w:color w:val="000000"/>
                <w:szCs w:val="21"/>
              </w:rPr>
            </w:pPr>
            <w:r>
              <w:rPr>
                <w:rFonts w:hint="eastAsia" w:ascii="宋体" w:hAnsi="宋体"/>
                <w:color w:val="000000"/>
                <w:szCs w:val="21"/>
              </w:rPr>
              <w:t>技术部分评分标准B</w:t>
            </w:r>
            <w:bookmarkStart w:id="7" w:name="OLE_LINK6"/>
            <w:r>
              <w:rPr>
                <w:rFonts w:hint="eastAsia" w:ascii="宋体" w:hAnsi="宋体"/>
                <w:color w:val="000000"/>
                <w:szCs w:val="21"/>
              </w:rPr>
              <w:t>（25分）</w:t>
            </w:r>
            <w:bookmarkEnd w:id="7"/>
          </w:p>
        </w:tc>
        <w:tc>
          <w:tcPr>
            <w:tcW w:w="1728" w:type="dxa"/>
            <w:vAlign w:val="center"/>
          </w:tcPr>
          <w:p w14:paraId="60D11110">
            <w:pPr>
              <w:spacing w:line="360" w:lineRule="auto"/>
              <w:jc w:val="center"/>
              <w:rPr>
                <w:rFonts w:ascii="宋体" w:hAnsi="宋体"/>
                <w:color w:val="000000"/>
                <w:szCs w:val="21"/>
              </w:rPr>
            </w:pPr>
            <w:r>
              <w:rPr>
                <w:rFonts w:hint="eastAsia" w:ascii="宋体" w:hAnsi="宋体"/>
                <w:color w:val="000000"/>
                <w:szCs w:val="21"/>
              </w:rPr>
              <w:t>本项目概算编制的理解（满分10分）</w:t>
            </w:r>
          </w:p>
        </w:tc>
        <w:tc>
          <w:tcPr>
            <w:tcW w:w="3339" w:type="dxa"/>
          </w:tcPr>
          <w:p w14:paraId="4F888B85">
            <w:pPr>
              <w:spacing w:line="360" w:lineRule="auto"/>
              <w:rPr>
                <w:rFonts w:ascii="宋体" w:hAnsi="宋体"/>
                <w:color w:val="000000"/>
                <w:szCs w:val="21"/>
              </w:rPr>
            </w:pPr>
            <w:r>
              <w:rPr>
                <w:rFonts w:hint="eastAsia" w:ascii="宋体" w:hAnsi="宋体"/>
                <w:color w:val="000000"/>
                <w:szCs w:val="21"/>
              </w:rPr>
              <w:t>根据</w:t>
            </w:r>
            <w:r>
              <w:rPr>
                <w:rFonts w:hint="eastAsia" w:ascii="宋体" w:hAnsi="宋体"/>
                <w:snapToGrid w:val="0"/>
                <w:kern w:val="0"/>
                <w:szCs w:val="21"/>
              </w:rPr>
              <w:t>报价</w:t>
            </w:r>
            <w:r>
              <w:rPr>
                <w:rFonts w:hint="eastAsia" w:ascii="宋体" w:hAnsi="宋体"/>
                <w:color w:val="000000"/>
                <w:szCs w:val="21"/>
              </w:rPr>
              <w:t>人所提供的对本项目可行性研究报告和概算编制的理解，总体技术方案阐述</w:t>
            </w:r>
            <w:bookmarkStart w:id="8" w:name="OLE_LINK8"/>
            <w:r>
              <w:rPr>
                <w:rFonts w:hint="eastAsia" w:ascii="宋体" w:hAnsi="宋体"/>
                <w:color w:val="000000"/>
                <w:szCs w:val="21"/>
              </w:rPr>
              <w:t>等。</w:t>
            </w:r>
            <w:r>
              <w:rPr>
                <w:rFonts w:hint="eastAsia" w:ascii="宋体" w:hAnsi="宋体"/>
                <w:snapToGrid w:val="0"/>
                <w:kern w:val="0"/>
                <w:szCs w:val="21"/>
              </w:rPr>
              <w:t>询比价小组进行横向比较</w:t>
            </w:r>
            <w:bookmarkEnd w:id="8"/>
            <w:r>
              <w:rPr>
                <w:rFonts w:hint="eastAsia" w:ascii="宋体" w:hAnsi="宋体"/>
                <w:snapToGrid w:val="0"/>
                <w:kern w:val="0"/>
                <w:szCs w:val="21"/>
              </w:rPr>
              <w:t>：</w:t>
            </w:r>
            <w:r>
              <w:rPr>
                <w:rFonts w:hint="eastAsia" w:ascii="宋体" w:hAnsi="宋体"/>
                <w:color w:val="000000"/>
                <w:szCs w:val="21"/>
              </w:rPr>
              <w:t>优秀得7-10分、良好得3-6.9分、一般得0-2.9分。</w:t>
            </w:r>
          </w:p>
        </w:tc>
      </w:tr>
      <w:tr w14:paraId="5962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4D1491F3">
            <w:pPr>
              <w:spacing w:line="360" w:lineRule="auto"/>
              <w:rPr>
                <w:rFonts w:ascii="宋体" w:hAnsi="宋体"/>
                <w:color w:val="000000"/>
                <w:szCs w:val="21"/>
              </w:rPr>
            </w:pPr>
          </w:p>
        </w:tc>
        <w:tc>
          <w:tcPr>
            <w:tcW w:w="1198" w:type="dxa"/>
            <w:vMerge w:val="continue"/>
          </w:tcPr>
          <w:p w14:paraId="292FE667">
            <w:pPr>
              <w:spacing w:line="360" w:lineRule="auto"/>
              <w:rPr>
                <w:rFonts w:ascii="宋体" w:hAnsi="宋体"/>
                <w:color w:val="000000"/>
                <w:szCs w:val="21"/>
              </w:rPr>
            </w:pPr>
          </w:p>
        </w:tc>
        <w:tc>
          <w:tcPr>
            <w:tcW w:w="1152" w:type="dxa"/>
            <w:vMerge w:val="continue"/>
          </w:tcPr>
          <w:p w14:paraId="2DA6D011">
            <w:pPr>
              <w:spacing w:line="360" w:lineRule="auto"/>
              <w:rPr>
                <w:rFonts w:ascii="宋体" w:hAnsi="宋体"/>
                <w:color w:val="000000"/>
                <w:szCs w:val="21"/>
              </w:rPr>
            </w:pPr>
          </w:p>
        </w:tc>
        <w:tc>
          <w:tcPr>
            <w:tcW w:w="1728" w:type="dxa"/>
            <w:vAlign w:val="center"/>
          </w:tcPr>
          <w:p w14:paraId="7388DD10">
            <w:pPr>
              <w:spacing w:line="360" w:lineRule="auto"/>
              <w:jc w:val="center"/>
              <w:rPr>
                <w:rFonts w:ascii="宋体" w:hAnsi="宋体"/>
                <w:color w:val="000000"/>
                <w:szCs w:val="21"/>
              </w:rPr>
            </w:pPr>
            <w:bookmarkStart w:id="9" w:name="OLE_LINK11"/>
            <w:bookmarkStart w:id="10" w:name="OLE_LINK10"/>
            <w:r>
              <w:rPr>
                <w:rFonts w:hint="eastAsia" w:ascii="宋体" w:hAnsi="宋体"/>
                <w:color w:val="000000"/>
                <w:szCs w:val="21"/>
              </w:rPr>
              <w:t>本项目概算编制重难点及合理化建议</w:t>
            </w:r>
            <w:bookmarkStart w:id="11" w:name="OLE_LINK13"/>
            <w:bookmarkStart w:id="12" w:name="OLE_LINK12"/>
            <w:r>
              <w:rPr>
                <w:rFonts w:hint="eastAsia" w:ascii="宋体" w:hAnsi="宋体"/>
                <w:color w:val="000000"/>
                <w:szCs w:val="21"/>
              </w:rPr>
              <w:t>（满分10分）</w:t>
            </w:r>
            <w:bookmarkEnd w:id="9"/>
            <w:bookmarkEnd w:id="10"/>
            <w:bookmarkEnd w:id="11"/>
            <w:bookmarkEnd w:id="12"/>
          </w:p>
        </w:tc>
        <w:tc>
          <w:tcPr>
            <w:tcW w:w="3339" w:type="dxa"/>
          </w:tcPr>
          <w:p w14:paraId="64959430">
            <w:pPr>
              <w:spacing w:line="360" w:lineRule="auto"/>
              <w:rPr>
                <w:rFonts w:ascii="宋体" w:hAnsi="宋体"/>
                <w:color w:val="000000"/>
                <w:szCs w:val="21"/>
              </w:rPr>
            </w:pPr>
            <w:r>
              <w:rPr>
                <w:rFonts w:hint="eastAsia" w:ascii="宋体" w:hAnsi="宋体"/>
                <w:color w:val="000000"/>
                <w:szCs w:val="21"/>
              </w:rPr>
              <w:t>根据</w:t>
            </w:r>
            <w:r>
              <w:rPr>
                <w:rFonts w:hint="eastAsia" w:ascii="宋体" w:hAnsi="宋体"/>
                <w:snapToGrid w:val="0"/>
                <w:kern w:val="0"/>
                <w:szCs w:val="21"/>
              </w:rPr>
              <w:t>报价</w:t>
            </w:r>
            <w:r>
              <w:rPr>
                <w:rFonts w:hint="eastAsia" w:ascii="宋体" w:hAnsi="宋体"/>
                <w:color w:val="000000"/>
                <w:szCs w:val="21"/>
              </w:rPr>
              <w:t>人对本项目概算编制的特点、关键技术问题的认识及对策措施</w:t>
            </w:r>
            <w:bookmarkStart w:id="13" w:name="OLE_LINK14"/>
            <w:r>
              <w:rPr>
                <w:rFonts w:hint="eastAsia" w:ascii="宋体" w:hAnsi="宋体"/>
                <w:color w:val="000000"/>
                <w:szCs w:val="21"/>
              </w:rPr>
              <w:t>等。</w:t>
            </w:r>
            <w:r>
              <w:rPr>
                <w:rFonts w:hint="eastAsia" w:ascii="宋体" w:hAnsi="宋体"/>
                <w:snapToGrid w:val="0"/>
                <w:kern w:val="0"/>
                <w:szCs w:val="21"/>
              </w:rPr>
              <w:t>询比价小组进行横向比较：</w:t>
            </w:r>
            <w:r>
              <w:rPr>
                <w:rFonts w:hint="eastAsia" w:ascii="宋体" w:hAnsi="宋体"/>
                <w:color w:val="000000"/>
                <w:szCs w:val="21"/>
              </w:rPr>
              <w:t>优秀得7-10分、良好得3-6.9分、一般得0-2.9分。</w:t>
            </w:r>
            <w:bookmarkEnd w:id="13"/>
          </w:p>
        </w:tc>
      </w:tr>
      <w:tr w14:paraId="50F2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4317B607">
            <w:pPr>
              <w:spacing w:line="360" w:lineRule="auto"/>
              <w:rPr>
                <w:rFonts w:ascii="宋体" w:hAnsi="宋体"/>
                <w:color w:val="000000"/>
                <w:szCs w:val="21"/>
              </w:rPr>
            </w:pPr>
          </w:p>
        </w:tc>
        <w:tc>
          <w:tcPr>
            <w:tcW w:w="1198" w:type="dxa"/>
            <w:vMerge w:val="continue"/>
          </w:tcPr>
          <w:p w14:paraId="7FAF07FA">
            <w:pPr>
              <w:spacing w:line="360" w:lineRule="auto"/>
              <w:rPr>
                <w:rFonts w:ascii="宋体" w:hAnsi="宋体"/>
                <w:color w:val="000000"/>
                <w:szCs w:val="21"/>
              </w:rPr>
            </w:pPr>
          </w:p>
        </w:tc>
        <w:tc>
          <w:tcPr>
            <w:tcW w:w="1152" w:type="dxa"/>
            <w:vMerge w:val="continue"/>
          </w:tcPr>
          <w:p w14:paraId="78D1EF10">
            <w:pPr>
              <w:spacing w:line="360" w:lineRule="auto"/>
              <w:rPr>
                <w:rFonts w:ascii="宋体" w:hAnsi="宋体"/>
                <w:color w:val="000000"/>
                <w:szCs w:val="21"/>
              </w:rPr>
            </w:pPr>
          </w:p>
        </w:tc>
        <w:tc>
          <w:tcPr>
            <w:tcW w:w="1728" w:type="dxa"/>
            <w:vAlign w:val="center"/>
          </w:tcPr>
          <w:p w14:paraId="28CD32B9">
            <w:pPr>
              <w:spacing w:line="360" w:lineRule="auto"/>
              <w:jc w:val="center"/>
              <w:rPr>
                <w:rFonts w:ascii="宋体" w:hAnsi="宋体"/>
                <w:color w:val="000000"/>
                <w:szCs w:val="21"/>
              </w:rPr>
            </w:pPr>
            <w:r>
              <w:rPr>
                <w:rFonts w:hint="eastAsia" w:ascii="宋体" w:hAnsi="宋体"/>
                <w:color w:val="000000"/>
                <w:szCs w:val="21"/>
              </w:rPr>
              <w:t>本项目概算编制管理工作（满分5分）</w:t>
            </w:r>
          </w:p>
        </w:tc>
        <w:tc>
          <w:tcPr>
            <w:tcW w:w="3339" w:type="dxa"/>
          </w:tcPr>
          <w:p w14:paraId="631FAB10">
            <w:pPr>
              <w:spacing w:line="360" w:lineRule="auto"/>
              <w:rPr>
                <w:rFonts w:ascii="宋体" w:hAnsi="宋体"/>
                <w:color w:val="000000"/>
                <w:szCs w:val="21"/>
              </w:rPr>
            </w:pPr>
            <w:r>
              <w:rPr>
                <w:rFonts w:hint="eastAsia" w:ascii="宋体" w:hAnsi="宋体"/>
                <w:color w:val="000000"/>
                <w:szCs w:val="21"/>
              </w:rPr>
              <w:t>根据</w:t>
            </w:r>
            <w:r>
              <w:rPr>
                <w:rFonts w:hint="eastAsia" w:ascii="宋体" w:hAnsi="宋体"/>
                <w:snapToGrid w:val="0"/>
                <w:kern w:val="0"/>
                <w:szCs w:val="21"/>
              </w:rPr>
              <w:t>报价</w:t>
            </w:r>
            <w:r>
              <w:rPr>
                <w:rFonts w:hint="eastAsia" w:ascii="宋体" w:hAnsi="宋体"/>
                <w:color w:val="000000"/>
                <w:szCs w:val="21"/>
              </w:rPr>
              <w:t>人</w:t>
            </w:r>
            <w:r>
              <w:rPr>
                <w:rFonts w:hint="eastAsia"/>
                <w:color w:val="000000"/>
                <w:szCs w:val="21"/>
              </w:rPr>
              <w:t>对本项目</w:t>
            </w:r>
            <w:r>
              <w:rPr>
                <w:rFonts w:hint="eastAsia" w:ascii="宋体" w:hAnsi="宋体"/>
                <w:color w:val="000000"/>
                <w:szCs w:val="21"/>
              </w:rPr>
              <w:t>概算</w:t>
            </w:r>
            <w:r>
              <w:rPr>
                <w:rFonts w:hint="eastAsia"/>
                <w:color w:val="000000"/>
                <w:szCs w:val="21"/>
              </w:rPr>
              <w:t>编制质量保证措施、进度保证措施、保密措施等。</w:t>
            </w:r>
            <w:r>
              <w:rPr>
                <w:rFonts w:hint="eastAsia" w:ascii="宋体" w:hAnsi="宋体"/>
                <w:snapToGrid w:val="0"/>
                <w:kern w:val="0"/>
                <w:szCs w:val="21"/>
              </w:rPr>
              <w:t>询比价小组进行横向比较：</w:t>
            </w:r>
            <w:r>
              <w:rPr>
                <w:rFonts w:hint="eastAsia" w:ascii="宋体" w:hAnsi="宋体"/>
                <w:color w:val="000000"/>
                <w:szCs w:val="21"/>
              </w:rPr>
              <w:t>优秀得4-5分、良好得2-3.9分、一般得0-1.9分。</w:t>
            </w:r>
          </w:p>
        </w:tc>
      </w:tr>
      <w:tr w14:paraId="6303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7E429188">
            <w:pPr>
              <w:spacing w:line="360" w:lineRule="auto"/>
              <w:rPr>
                <w:rFonts w:ascii="宋体" w:hAnsi="宋体"/>
                <w:color w:val="000000"/>
                <w:szCs w:val="21"/>
              </w:rPr>
            </w:pPr>
            <w:r>
              <w:rPr>
                <w:rFonts w:hint="eastAsia" w:ascii="宋体" w:hAnsi="宋体"/>
                <w:color w:val="000000"/>
                <w:szCs w:val="21"/>
              </w:rPr>
              <w:t>4.4</w:t>
            </w:r>
          </w:p>
        </w:tc>
        <w:tc>
          <w:tcPr>
            <w:tcW w:w="7417" w:type="dxa"/>
            <w:gridSpan w:val="4"/>
          </w:tcPr>
          <w:p w14:paraId="5AD61C2B">
            <w:pPr>
              <w:spacing w:line="360" w:lineRule="auto"/>
              <w:rPr>
                <w:rFonts w:ascii="宋体" w:hAnsi="宋体"/>
                <w:color w:val="000000"/>
                <w:szCs w:val="21"/>
              </w:rPr>
            </w:pPr>
            <w:r>
              <w:rPr>
                <w:rFonts w:hint="eastAsia" w:ascii="宋体" w:hAnsi="宋体"/>
                <w:color w:val="000000"/>
                <w:szCs w:val="21"/>
              </w:rPr>
              <w:t>综合评分为：A+B</w:t>
            </w:r>
          </w:p>
        </w:tc>
      </w:tr>
    </w:tbl>
    <w:p w14:paraId="1ADC0F92">
      <w:pPr>
        <w:spacing w:line="360" w:lineRule="auto"/>
        <w:jc w:val="left"/>
        <w:rPr>
          <w:rFonts w:ascii="宋体" w:hAnsi="宋体" w:cs="宋体"/>
          <w:sz w:val="24"/>
        </w:rPr>
      </w:pPr>
    </w:p>
    <w:p w14:paraId="074E195A">
      <w:pPr>
        <w:spacing w:line="360" w:lineRule="auto"/>
        <w:jc w:val="right"/>
        <w:rPr>
          <w:rFonts w:ascii="宋体" w:hAnsi="宋体"/>
          <w:color w:val="0000FF"/>
          <w:kern w:val="0"/>
          <w:sz w:val="24"/>
        </w:rPr>
      </w:pPr>
      <w:r>
        <w:rPr>
          <w:rFonts w:hint="eastAsia" w:ascii="宋体" w:hAnsi="宋体"/>
          <w:color w:val="0000FF"/>
          <w:kern w:val="0"/>
          <w:sz w:val="24"/>
        </w:rPr>
        <w:t xml:space="preserve">  </w:t>
      </w:r>
    </w:p>
    <w:p w14:paraId="5A2F45D8">
      <w:pPr>
        <w:spacing w:line="360" w:lineRule="auto"/>
        <w:jc w:val="right"/>
        <w:rPr>
          <w:rFonts w:ascii="宋体" w:hAnsi="宋体" w:cs="宋体"/>
          <w:sz w:val="24"/>
        </w:rPr>
      </w:pPr>
      <w:r>
        <w:rPr>
          <w:rFonts w:hint="eastAsia" w:ascii="宋体" w:hAnsi="宋体" w:cs="宋体"/>
          <w:sz w:val="24"/>
        </w:rPr>
        <w:t>重庆国际复合材料股份有限公司</w:t>
      </w:r>
    </w:p>
    <w:p w14:paraId="6297597E">
      <w:pPr>
        <w:spacing w:line="360" w:lineRule="auto"/>
        <w:jc w:val="right"/>
        <w:rPr>
          <w:rFonts w:ascii="宋体" w:hAnsi="宋体" w:cs="宋体"/>
          <w:sz w:val="24"/>
        </w:rPr>
      </w:pPr>
      <w:r>
        <w:rPr>
          <w:rFonts w:hint="eastAsia" w:ascii="宋体" w:hAnsi="宋体" w:cs="宋体"/>
          <w:sz w:val="24"/>
        </w:rPr>
        <w:t>2025年9月</w:t>
      </w:r>
      <w:r>
        <w:rPr>
          <w:rFonts w:hint="eastAsia" w:ascii="宋体" w:hAnsi="宋体" w:cs="宋体"/>
          <w:sz w:val="24"/>
          <w:lang w:val="en-US" w:eastAsia="zh-CN"/>
        </w:rPr>
        <w:t>25</w:t>
      </w:r>
      <w:r>
        <w:rPr>
          <w:rFonts w:hint="eastAsia" w:ascii="宋体" w:hAnsi="宋体" w:cs="宋体"/>
          <w:sz w:val="24"/>
        </w:rPr>
        <w:t>日</w:t>
      </w:r>
    </w:p>
    <w:p w14:paraId="6351116F">
      <w:pPr>
        <w:spacing w:line="360" w:lineRule="auto"/>
        <w:rPr>
          <w:rFonts w:ascii="宋体" w:hAnsi="宋体"/>
          <w:sz w:val="24"/>
        </w:rPr>
        <w:sectPr>
          <w:pgSz w:w="11906" w:h="16838"/>
          <w:pgMar w:top="1440" w:right="1800" w:bottom="1440" w:left="1800" w:header="851" w:footer="992" w:gutter="0"/>
          <w:cols w:space="720" w:num="1"/>
          <w:docGrid w:type="lines" w:linePitch="312" w:charSpace="0"/>
        </w:sectPr>
      </w:pPr>
    </w:p>
    <w:bookmarkEnd w:id="14"/>
    <w:p w14:paraId="3816C749">
      <w:pPr>
        <w:spacing w:before="180" w:beforeLines="75" w:after="240" w:afterLines="100"/>
        <w:jc w:val="center"/>
        <w:rPr>
          <w:rFonts w:ascii="宋体" w:hAnsi="宋体" w:cs="Arial"/>
          <w:b/>
          <w:color w:val="000000"/>
          <w:sz w:val="44"/>
          <w:szCs w:val="44"/>
        </w:rPr>
      </w:pPr>
      <w:r>
        <w:rPr>
          <w:rFonts w:hint="eastAsia" w:ascii="宋体" w:hAnsi="宋体" w:cs="Arial"/>
          <w:b/>
          <w:color w:val="000000"/>
          <w:sz w:val="44"/>
          <w:szCs w:val="44"/>
        </w:rPr>
        <w:t>法定代表人授权书</w:t>
      </w:r>
    </w:p>
    <w:p w14:paraId="5CE80DF0">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4D6BA8E5">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363B4AEF">
      <w:pPr>
        <w:spacing w:line="480" w:lineRule="auto"/>
        <w:rPr>
          <w:rFonts w:ascii="宋体" w:hAnsi="宋体"/>
          <w:color w:val="000000"/>
          <w:sz w:val="24"/>
        </w:rPr>
      </w:pPr>
    </w:p>
    <w:p w14:paraId="1BB68253">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43B27947">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30E36B71">
      <w:pPr>
        <w:rPr>
          <w:rFonts w:ascii="宋体" w:hAnsi="宋体"/>
          <w:color w:val="000000"/>
        </w:rPr>
      </w:pPr>
    </w:p>
    <w:p w14:paraId="1F9D8EF1">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7A817290">
      <w:pPr>
        <w:spacing w:line="360" w:lineRule="auto"/>
        <w:rPr>
          <w:rFonts w:ascii="宋体" w:hAnsi="宋体"/>
          <w:color w:val="000000"/>
          <w:sz w:val="24"/>
        </w:rPr>
      </w:pPr>
    </w:p>
    <w:p w14:paraId="5314F54C">
      <w:pPr>
        <w:spacing w:line="360" w:lineRule="auto"/>
        <w:rPr>
          <w:rFonts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66134F88">
      <w:pPr>
        <w:spacing w:line="360" w:lineRule="auto"/>
        <w:rPr>
          <w:rFonts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C588">
    <w:pPr>
      <w:pStyle w:val="8"/>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06506C3B"/>
    <w:multiLevelType w:val="multilevel"/>
    <w:tmpl w:val="06506C3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DD9423B"/>
    <w:multiLevelType w:val="singleLevel"/>
    <w:tmpl w:val="1DD9423B"/>
    <w:lvl w:ilvl="0" w:tentative="0">
      <w:start w:val="1"/>
      <w:numFmt w:val="decimal"/>
      <w:suff w:val="nothing"/>
      <w:lvlText w:val="（%1）"/>
      <w:lvlJc w:val="left"/>
    </w:lvl>
  </w:abstractNum>
  <w:abstractNum w:abstractNumId="4">
    <w:nsid w:val="23582637"/>
    <w:multiLevelType w:val="multilevel"/>
    <w:tmpl w:val="235826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CAC5F95"/>
    <w:multiLevelType w:val="singleLevel"/>
    <w:tmpl w:val="2CAC5F95"/>
    <w:lvl w:ilvl="0" w:tentative="0">
      <w:start w:val="4"/>
      <w:numFmt w:val="chineseCounting"/>
      <w:suff w:val="nothing"/>
      <w:lvlText w:val="%1、"/>
      <w:lvlJc w:val="left"/>
      <w:rPr>
        <w:rFonts w:hint="eastAsia"/>
        <w:lang w:val="en-US"/>
      </w:rPr>
    </w:lvl>
  </w:abstractNum>
  <w:abstractNum w:abstractNumId="6">
    <w:nsid w:val="2F5D3C08"/>
    <w:multiLevelType w:val="singleLevel"/>
    <w:tmpl w:val="2F5D3C08"/>
    <w:lvl w:ilvl="0" w:tentative="0">
      <w:start w:val="1"/>
      <w:numFmt w:val="decimal"/>
      <w:suff w:val="nothing"/>
      <w:lvlText w:val="（%1）"/>
      <w:lvlJc w:val="left"/>
    </w:lvl>
  </w:abstractNum>
  <w:abstractNum w:abstractNumId="7">
    <w:nsid w:val="43816AEE"/>
    <w:multiLevelType w:val="singleLevel"/>
    <w:tmpl w:val="43816AEE"/>
    <w:lvl w:ilvl="0" w:tentative="0">
      <w:start w:val="1"/>
      <w:numFmt w:val="decimal"/>
      <w:suff w:val="nothing"/>
      <w:lvlText w:val="（%1）"/>
      <w:lvlJc w:val="left"/>
    </w:lvl>
  </w:abstractNum>
  <w:abstractNum w:abstractNumId="8">
    <w:nsid w:val="509B11AD"/>
    <w:multiLevelType w:val="multilevel"/>
    <w:tmpl w:val="509B11A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78A17D2A"/>
    <w:multiLevelType w:val="singleLevel"/>
    <w:tmpl w:val="78A17D2A"/>
    <w:lvl w:ilvl="0" w:tentative="0">
      <w:start w:val="1"/>
      <w:numFmt w:val="chineseCounting"/>
      <w:suff w:val="nothing"/>
      <w:lvlText w:val="%1、"/>
      <w:lvlJc w:val="left"/>
      <w:rPr>
        <w:rFonts w:hint="eastAsia"/>
      </w:rPr>
    </w:lvl>
  </w:abstractNum>
  <w:num w:numId="1">
    <w:abstractNumId w:val="9"/>
  </w:num>
  <w:num w:numId="2">
    <w:abstractNumId w:val="2"/>
  </w:num>
  <w:num w:numId="3">
    <w:abstractNumId w:val="8"/>
  </w:num>
  <w:num w:numId="4">
    <w:abstractNumId w:val="5"/>
  </w:num>
  <w:num w:numId="5">
    <w:abstractNumId w:val="3"/>
  </w:num>
  <w:num w:numId="6">
    <w:abstractNumId w:val="7"/>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01D22"/>
    <w:rsid w:val="00007041"/>
    <w:rsid w:val="000115BF"/>
    <w:rsid w:val="000141E9"/>
    <w:rsid w:val="00014CB0"/>
    <w:rsid w:val="00020136"/>
    <w:rsid w:val="00023BEE"/>
    <w:rsid w:val="00044F29"/>
    <w:rsid w:val="00051B94"/>
    <w:rsid w:val="00076005"/>
    <w:rsid w:val="00082D37"/>
    <w:rsid w:val="000834A1"/>
    <w:rsid w:val="00096D53"/>
    <w:rsid w:val="00096F79"/>
    <w:rsid w:val="000C1E8C"/>
    <w:rsid w:val="000C4590"/>
    <w:rsid w:val="000C6F84"/>
    <w:rsid w:val="000D7814"/>
    <w:rsid w:val="000D7DB7"/>
    <w:rsid w:val="00101C5B"/>
    <w:rsid w:val="00102444"/>
    <w:rsid w:val="00102454"/>
    <w:rsid w:val="00121DC3"/>
    <w:rsid w:val="0012223B"/>
    <w:rsid w:val="00125FA0"/>
    <w:rsid w:val="001313D8"/>
    <w:rsid w:val="00131F98"/>
    <w:rsid w:val="0015065D"/>
    <w:rsid w:val="001508DD"/>
    <w:rsid w:val="001633C2"/>
    <w:rsid w:val="00170A81"/>
    <w:rsid w:val="00183C3B"/>
    <w:rsid w:val="001916E4"/>
    <w:rsid w:val="001B508F"/>
    <w:rsid w:val="001C5A9F"/>
    <w:rsid w:val="001D48D5"/>
    <w:rsid w:val="001D72F5"/>
    <w:rsid w:val="001E73D5"/>
    <w:rsid w:val="00204419"/>
    <w:rsid w:val="002049E3"/>
    <w:rsid w:val="002164D7"/>
    <w:rsid w:val="00217C48"/>
    <w:rsid w:val="00220A0C"/>
    <w:rsid w:val="002439A6"/>
    <w:rsid w:val="00290EDC"/>
    <w:rsid w:val="0029731F"/>
    <w:rsid w:val="002A124C"/>
    <w:rsid w:val="002B1F91"/>
    <w:rsid w:val="002C0128"/>
    <w:rsid w:val="002C3176"/>
    <w:rsid w:val="002C4713"/>
    <w:rsid w:val="002D62DF"/>
    <w:rsid w:val="002E4B26"/>
    <w:rsid w:val="002E73A8"/>
    <w:rsid w:val="002F077C"/>
    <w:rsid w:val="002F0C5E"/>
    <w:rsid w:val="003025C4"/>
    <w:rsid w:val="003075B3"/>
    <w:rsid w:val="003163CF"/>
    <w:rsid w:val="00321348"/>
    <w:rsid w:val="003517DD"/>
    <w:rsid w:val="003536FA"/>
    <w:rsid w:val="0036241F"/>
    <w:rsid w:val="003749C4"/>
    <w:rsid w:val="00375A1A"/>
    <w:rsid w:val="00387164"/>
    <w:rsid w:val="00396B0D"/>
    <w:rsid w:val="003B1276"/>
    <w:rsid w:val="003B5C92"/>
    <w:rsid w:val="003D58E3"/>
    <w:rsid w:val="003E6377"/>
    <w:rsid w:val="003F2E8A"/>
    <w:rsid w:val="003F7E62"/>
    <w:rsid w:val="00407A0D"/>
    <w:rsid w:val="00410882"/>
    <w:rsid w:val="00415360"/>
    <w:rsid w:val="00450EEE"/>
    <w:rsid w:val="004562BE"/>
    <w:rsid w:val="00464F62"/>
    <w:rsid w:val="0047643C"/>
    <w:rsid w:val="004873D3"/>
    <w:rsid w:val="004A4272"/>
    <w:rsid w:val="004B5BBE"/>
    <w:rsid w:val="004D0BD1"/>
    <w:rsid w:val="004D23A9"/>
    <w:rsid w:val="004E4984"/>
    <w:rsid w:val="004E5897"/>
    <w:rsid w:val="004F54C9"/>
    <w:rsid w:val="005120B6"/>
    <w:rsid w:val="005248D6"/>
    <w:rsid w:val="005357D9"/>
    <w:rsid w:val="00542ADD"/>
    <w:rsid w:val="005644E4"/>
    <w:rsid w:val="0057690B"/>
    <w:rsid w:val="00584163"/>
    <w:rsid w:val="005A4D2E"/>
    <w:rsid w:val="005B49E5"/>
    <w:rsid w:val="005D3573"/>
    <w:rsid w:val="005F72D6"/>
    <w:rsid w:val="006130E4"/>
    <w:rsid w:val="0062387B"/>
    <w:rsid w:val="0063764C"/>
    <w:rsid w:val="00640DAC"/>
    <w:rsid w:val="006570C0"/>
    <w:rsid w:val="00664B09"/>
    <w:rsid w:val="00672F6B"/>
    <w:rsid w:val="00694F93"/>
    <w:rsid w:val="006B2B99"/>
    <w:rsid w:val="006B6FF5"/>
    <w:rsid w:val="006E4A9A"/>
    <w:rsid w:val="006F276B"/>
    <w:rsid w:val="006F3B56"/>
    <w:rsid w:val="00714587"/>
    <w:rsid w:val="007149EC"/>
    <w:rsid w:val="00721D0B"/>
    <w:rsid w:val="00727DAB"/>
    <w:rsid w:val="007305F1"/>
    <w:rsid w:val="0073337D"/>
    <w:rsid w:val="00734AC7"/>
    <w:rsid w:val="00776615"/>
    <w:rsid w:val="00777F4E"/>
    <w:rsid w:val="007927B3"/>
    <w:rsid w:val="007955C8"/>
    <w:rsid w:val="007A510A"/>
    <w:rsid w:val="007A6E57"/>
    <w:rsid w:val="007B3CF6"/>
    <w:rsid w:val="007D23C4"/>
    <w:rsid w:val="007E41EB"/>
    <w:rsid w:val="007E7CB1"/>
    <w:rsid w:val="00807322"/>
    <w:rsid w:val="0082261C"/>
    <w:rsid w:val="00830928"/>
    <w:rsid w:val="00833429"/>
    <w:rsid w:val="00836F94"/>
    <w:rsid w:val="00845B23"/>
    <w:rsid w:val="00856EC2"/>
    <w:rsid w:val="00857259"/>
    <w:rsid w:val="008662D1"/>
    <w:rsid w:val="008857F6"/>
    <w:rsid w:val="00885ABC"/>
    <w:rsid w:val="00885C77"/>
    <w:rsid w:val="00887F9F"/>
    <w:rsid w:val="00893389"/>
    <w:rsid w:val="008A55D3"/>
    <w:rsid w:val="008B1D37"/>
    <w:rsid w:val="008B64BE"/>
    <w:rsid w:val="008C342F"/>
    <w:rsid w:val="008D2A46"/>
    <w:rsid w:val="008F2214"/>
    <w:rsid w:val="008F7024"/>
    <w:rsid w:val="00901216"/>
    <w:rsid w:val="009058F7"/>
    <w:rsid w:val="009069FD"/>
    <w:rsid w:val="009078BD"/>
    <w:rsid w:val="009150D0"/>
    <w:rsid w:val="00922334"/>
    <w:rsid w:val="009268CF"/>
    <w:rsid w:val="00933E43"/>
    <w:rsid w:val="00964B15"/>
    <w:rsid w:val="00965C0D"/>
    <w:rsid w:val="009744F3"/>
    <w:rsid w:val="009B6283"/>
    <w:rsid w:val="009C04D0"/>
    <w:rsid w:val="009C0AE5"/>
    <w:rsid w:val="009D6817"/>
    <w:rsid w:val="00A059A4"/>
    <w:rsid w:val="00A5312C"/>
    <w:rsid w:val="00A53673"/>
    <w:rsid w:val="00A53AC1"/>
    <w:rsid w:val="00A92103"/>
    <w:rsid w:val="00A93F5E"/>
    <w:rsid w:val="00AA07CD"/>
    <w:rsid w:val="00AB40E1"/>
    <w:rsid w:val="00AB7CD9"/>
    <w:rsid w:val="00AD160C"/>
    <w:rsid w:val="00AD2B6E"/>
    <w:rsid w:val="00AD350D"/>
    <w:rsid w:val="00B0570C"/>
    <w:rsid w:val="00B06791"/>
    <w:rsid w:val="00B069A8"/>
    <w:rsid w:val="00B1332B"/>
    <w:rsid w:val="00B162AD"/>
    <w:rsid w:val="00B47430"/>
    <w:rsid w:val="00B52A56"/>
    <w:rsid w:val="00B83FF9"/>
    <w:rsid w:val="00B8722F"/>
    <w:rsid w:val="00B900D5"/>
    <w:rsid w:val="00B91012"/>
    <w:rsid w:val="00BA0D3F"/>
    <w:rsid w:val="00BA4447"/>
    <w:rsid w:val="00BB33C2"/>
    <w:rsid w:val="00BC4E8A"/>
    <w:rsid w:val="00BC7E1D"/>
    <w:rsid w:val="00BE35AE"/>
    <w:rsid w:val="00BE6F57"/>
    <w:rsid w:val="00BE7BBE"/>
    <w:rsid w:val="00C1153A"/>
    <w:rsid w:val="00C157D4"/>
    <w:rsid w:val="00C277BA"/>
    <w:rsid w:val="00C33841"/>
    <w:rsid w:val="00C43290"/>
    <w:rsid w:val="00C45E82"/>
    <w:rsid w:val="00C546E8"/>
    <w:rsid w:val="00C57E16"/>
    <w:rsid w:val="00C6119B"/>
    <w:rsid w:val="00C73E79"/>
    <w:rsid w:val="00C74410"/>
    <w:rsid w:val="00C863A1"/>
    <w:rsid w:val="00CB18E9"/>
    <w:rsid w:val="00CB3C78"/>
    <w:rsid w:val="00CB69A1"/>
    <w:rsid w:val="00CB6C9E"/>
    <w:rsid w:val="00CC66D2"/>
    <w:rsid w:val="00CE1276"/>
    <w:rsid w:val="00CF0004"/>
    <w:rsid w:val="00CF2DF1"/>
    <w:rsid w:val="00CF75EC"/>
    <w:rsid w:val="00D3202D"/>
    <w:rsid w:val="00D34D48"/>
    <w:rsid w:val="00D37A28"/>
    <w:rsid w:val="00D419C9"/>
    <w:rsid w:val="00D55E75"/>
    <w:rsid w:val="00D66801"/>
    <w:rsid w:val="00D821A5"/>
    <w:rsid w:val="00D87A55"/>
    <w:rsid w:val="00D94F43"/>
    <w:rsid w:val="00D96ED7"/>
    <w:rsid w:val="00DA129F"/>
    <w:rsid w:val="00DB0AE7"/>
    <w:rsid w:val="00DB35E8"/>
    <w:rsid w:val="00DB6CB6"/>
    <w:rsid w:val="00DC6D12"/>
    <w:rsid w:val="00DE59AF"/>
    <w:rsid w:val="00DE6B55"/>
    <w:rsid w:val="00DF000B"/>
    <w:rsid w:val="00DF108C"/>
    <w:rsid w:val="00E03FD3"/>
    <w:rsid w:val="00E17C42"/>
    <w:rsid w:val="00E37304"/>
    <w:rsid w:val="00E55874"/>
    <w:rsid w:val="00E65254"/>
    <w:rsid w:val="00E72746"/>
    <w:rsid w:val="00E7503D"/>
    <w:rsid w:val="00E800B2"/>
    <w:rsid w:val="00E94F25"/>
    <w:rsid w:val="00E96392"/>
    <w:rsid w:val="00EA460C"/>
    <w:rsid w:val="00EA6B9F"/>
    <w:rsid w:val="00EC0658"/>
    <w:rsid w:val="00EF07EE"/>
    <w:rsid w:val="00EF767D"/>
    <w:rsid w:val="00F223EA"/>
    <w:rsid w:val="00F251A4"/>
    <w:rsid w:val="00F276D3"/>
    <w:rsid w:val="00F356B7"/>
    <w:rsid w:val="00F3769D"/>
    <w:rsid w:val="00F6407B"/>
    <w:rsid w:val="00F820BE"/>
    <w:rsid w:val="00F94C9D"/>
    <w:rsid w:val="00FC547F"/>
    <w:rsid w:val="00FF0818"/>
    <w:rsid w:val="01407DFE"/>
    <w:rsid w:val="01CA3F1A"/>
    <w:rsid w:val="031663E9"/>
    <w:rsid w:val="03D401FE"/>
    <w:rsid w:val="041A45D7"/>
    <w:rsid w:val="04CA2DA2"/>
    <w:rsid w:val="06C675E3"/>
    <w:rsid w:val="075E46C1"/>
    <w:rsid w:val="0A841422"/>
    <w:rsid w:val="0B1B7564"/>
    <w:rsid w:val="0CF74C6E"/>
    <w:rsid w:val="0DF52C6F"/>
    <w:rsid w:val="0E664FCA"/>
    <w:rsid w:val="0EBA407A"/>
    <w:rsid w:val="0F272FC3"/>
    <w:rsid w:val="0FBB574F"/>
    <w:rsid w:val="1031378F"/>
    <w:rsid w:val="10DF0323"/>
    <w:rsid w:val="11420714"/>
    <w:rsid w:val="1208017F"/>
    <w:rsid w:val="12BB58E4"/>
    <w:rsid w:val="12BF484E"/>
    <w:rsid w:val="12DE784D"/>
    <w:rsid w:val="180513B0"/>
    <w:rsid w:val="1883444F"/>
    <w:rsid w:val="18A0021C"/>
    <w:rsid w:val="18E90CD1"/>
    <w:rsid w:val="19A75820"/>
    <w:rsid w:val="19D05434"/>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6387272"/>
    <w:rsid w:val="274370A4"/>
    <w:rsid w:val="2B2D6198"/>
    <w:rsid w:val="2EED69CE"/>
    <w:rsid w:val="2EF83608"/>
    <w:rsid w:val="2F8C615C"/>
    <w:rsid w:val="2FA33530"/>
    <w:rsid w:val="3073310C"/>
    <w:rsid w:val="322724D4"/>
    <w:rsid w:val="33165873"/>
    <w:rsid w:val="33A87367"/>
    <w:rsid w:val="33CA5530"/>
    <w:rsid w:val="340C1E14"/>
    <w:rsid w:val="34D941C9"/>
    <w:rsid w:val="358E07DF"/>
    <w:rsid w:val="359978AF"/>
    <w:rsid w:val="35D408E8"/>
    <w:rsid w:val="38B467AE"/>
    <w:rsid w:val="3C3C2D43"/>
    <w:rsid w:val="3C507AAD"/>
    <w:rsid w:val="3CA1704A"/>
    <w:rsid w:val="3D31435C"/>
    <w:rsid w:val="3D3B2FFA"/>
    <w:rsid w:val="3DD079F6"/>
    <w:rsid w:val="3FFF71F2"/>
    <w:rsid w:val="40195815"/>
    <w:rsid w:val="41171FD0"/>
    <w:rsid w:val="43243258"/>
    <w:rsid w:val="43EE7018"/>
    <w:rsid w:val="44200866"/>
    <w:rsid w:val="44696E0A"/>
    <w:rsid w:val="44A447D8"/>
    <w:rsid w:val="46F91CF8"/>
    <w:rsid w:val="478A52AA"/>
    <w:rsid w:val="49935F6C"/>
    <w:rsid w:val="4AE65862"/>
    <w:rsid w:val="4CC4300C"/>
    <w:rsid w:val="4D2910C1"/>
    <w:rsid w:val="4D7A36CB"/>
    <w:rsid w:val="4DBB652F"/>
    <w:rsid w:val="4E221B99"/>
    <w:rsid w:val="4FDF5118"/>
    <w:rsid w:val="511432A7"/>
    <w:rsid w:val="515661FD"/>
    <w:rsid w:val="53266CED"/>
    <w:rsid w:val="53EF504B"/>
    <w:rsid w:val="53F95F9A"/>
    <w:rsid w:val="542477F4"/>
    <w:rsid w:val="56BE671B"/>
    <w:rsid w:val="56C377C5"/>
    <w:rsid w:val="56F00128"/>
    <w:rsid w:val="56FA6C77"/>
    <w:rsid w:val="57D50C32"/>
    <w:rsid w:val="588875E4"/>
    <w:rsid w:val="588C0AC2"/>
    <w:rsid w:val="5A8738CB"/>
    <w:rsid w:val="5EA36BFC"/>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adjustRightInd w:val="0"/>
      <w:spacing w:line="360" w:lineRule="atLeast"/>
      <w:jc w:val="left"/>
      <w:textAlignment w:val="baseline"/>
    </w:pPr>
    <w:rPr>
      <w:kern w:val="0"/>
      <w:sz w:val="24"/>
      <w:szCs w:val="20"/>
    </w:rPr>
  </w:style>
  <w:style w:type="paragraph" w:styleId="5">
    <w:name w:val="Date"/>
    <w:basedOn w:val="1"/>
    <w:next w:val="1"/>
    <w:link w:val="18"/>
    <w:qFormat/>
    <w:uiPriority w:val="0"/>
    <w:pPr>
      <w:ind w:left="100" w:leftChars="2500"/>
    </w:pPr>
  </w:style>
  <w:style w:type="paragraph" w:styleId="6">
    <w:name w:val="Balloon Text"/>
    <w:basedOn w:val="1"/>
    <w:link w:val="23"/>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00"/>
      <w:u w:val="none"/>
    </w:rPr>
  </w:style>
  <w:style w:type="character" w:styleId="15">
    <w:name w:val="annotation reference"/>
    <w:basedOn w:val="13"/>
    <w:qFormat/>
    <w:uiPriority w:val="0"/>
    <w:rPr>
      <w:sz w:val="21"/>
      <w:szCs w:val="21"/>
    </w:rPr>
  </w:style>
  <w:style w:type="character" w:customStyle="1" w:styleId="16">
    <w:name w:val="页脚 Char"/>
    <w:link w:val="7"/>
    <w:qFormat/>
    <w:uiPriority w:val="0"/>
    <w:rPr>
      <w:kern w:val="2"/>
      <w:sz w:val="18"/>
      <w:szCs w:val="18"/>
    </w:rPr>
  </w:style>
  <w:style w:type="character" w:customStyle="1" w:styleId="17">
    <w:name w:val="页眉 Char"/>
    <w:link w:val="8"/>
    <w:qFormat/>
    <w:uiPriority w:val="0"/>
    <w:rPr>
      <w:kern w:val="2"/>
      <w:sz w:val="18"/>
      <w:szCs w:val="18"/>
    </w:rPr>
  </w:style>
  <w:style w:type="character" w:customStyle="1" w:styleId="18">
    <w:name w:val="日期 Char"/>
    <w:basedOn w:val="13"/>
    <w:link w:val="5"/>
    <w:qFormat/>
    <w:uiPriority w:val="0"/>
    <w:rPr>
      <w:kern w:val="2"/>
      <w:sz w:val="21"/>
      <w:szCs w:val="24"/>
    </w:rPr>
  </w:style>
  <w:style w:type="paragraph" w:styleId="19">
    <w:name w:val="List Paragraph"/>
    <w:basedOn w:val="1"/>
    <w:qFormat/>
    <w:uiPriority w:val="99"/>
    <w:pPr>
      <w:ind w:firstLine="420" w:firstLineChars="200"/>
    </w:pPr>
  </w:style>
  <w:style w:type="character" w:customStyle="1" w:styleId="20">
    <w:name w:val="标题 1 Char"/>
    <w:basedOn w:val="13"/>
    <w:link w:val="2"/>
    <w:qFormat/>
    <w:uiPriority w:val="0"/>
    <w:rPr>
      <w:b/>
      <w:bCs/>
      <w:kern w:val="44"/>
      <w:sz w:val="44"/>
      <w:szCs w:val="44"/>
    </w:rPr>
  </w:style>
  <w:style w:type="paragraph" w:customStyle="1" w:styleId="2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character" w:customStyle="1" w:styleId="22">
    <w:name w:val="批注文字 Char"/>
    <w:basedOn w:val="13"/>
    <w:link w:val="4"/>
    <w:qFormat/>
    <w:uiPriority w:val="99"/>
    <w:rPr>
      <w:sz w:val="24"/>
    </w:rPr>
  </w:style>
  <w:style w:type="character" w:customStyle="1" w:styleId="23">
    <w:name w:val="批注框文本 Char"/>
    <w:basedOn w:val="13"/>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3091</Words>
  <Characters>3389</Characters>
  <Lines>28</Lines>
  <Paragraphs>7</Paragraphs>
  <TotalTime>3</TotalTime>
  <ScaleCrop>false</ScaleCrop>
  <LinksUpToDate>false</LinksUpToDate>
  <CharactersWithSpaces>3841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2025-05-07T07:52:00Z</dcterms:created>
  <dc:creator>leeqiang</dc:creator>
  <cp:lastModifiedBy>envy.</cp:lastModifiedBy>
  <cp:lastPrinted>2025-05-08T02:07:00Z</cp:lastPrinted>
  <dcterms:modified xsi:type="dcterms:W3CDTF">2025-09-25T00:35:42Z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6A14AAB1064747338A0ABD4A2FAB3DC6_13</vt:lpwstr>
  </property>
  <property fmtid="{D5CDD505-2E9C-101B-9397-08002B2CF9AE}" pid="4" name="KSOTemplateDocerSaveRecord">
    <vt:lpwstr>eyJoZGlkIjoiNWQ5NmI4N2NlMWNiMzBkNDJiYWM1NGJhNDg0MDViODUiLCJ1c2VySWQiOiI0NTQ4MDg0MDgifQ==</vt:lpwstr>
  </property>
</Properties>
</file>