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41B80">
      <w:pPr>
        <w:rPr>
          <w:rFonts w:ascii="宋体" w:hAnsi="宋体" w:cs="宋体"/>
          <w:b/>
          <w:sz w:val="32"/>
        </w:rPr>
      </w:pPr>
      <w:bookmarkStart w:id="0" w:name="_Toc416702955"/>
      <w:bookmarkStart w:id="1" w:name="_Toc417896502"/>
      <w:bookmarkStart w:id="2" w:name="_Toc416703361"/>
      <w:bookmarkStart w:id="3" w:name="_Toc417895952"/>
      <w:bookmarkStart w:id="4" w:name="_Toc417896685"/>
      <w:r>
        <w:rPr>
          <w:rFonts w:hint="eastAsia" w:ascii="宋体" w:hAnsi="宋体" w:cs="宋体"/>
          <w:b/>
          <w:sz w:val="32"/>
        </w:rPr>
        <w:t>项目名称：</w:t>
      </w:r>
      <w:r>
        <w:rPr>
          <w:rFonts w:hint="eastAsia" w:ascii="宋体" w:hAnsi="宋体" w:cs="宋体"/>
          <w:b/>
          <w:sz w:val="32"/>
          <w:szCs w:val="36"/>
        </w:rPr>
        <w:t>电子级玻璃纤维生产线设备更新及数智化提质增效项目---</w:t>
      </w:r>
      <w:r>
        <w:rPr>
          <w:rFonts w:hint="eastAsia" w:ascii="宋体" w:hAnsi="宋体" w:cs="宋体"/>
          <w:b/>
          <w:sz w:val="32"/>
        </w:rPr>
        <w:t>110kV国复变电站主变增容及设备装置大修技改工程设计服务采购</w:t>
      </w:r>
    </w:p>
    <w:p w14:paraId="1BC37ACA">
      <w:pPr>
        <w:ind w:left="3370" w:hanging="3370" w:hangingChars="1049"/>
        <w:jc w:val="left"/>
        <w:rPr>
          <w:rFonts w:ascii="宋体" w:hAnsi="宋体" w:cs="宋体"/>
          <w:b/>
          <w:sz w:val="32"/>
        </w:rPr>
      </w:pPr>
    </w:p>
    <w:p w14:paraId="164E89D4">
      <w:pPr>
        <w:ind w:left="2860" w:hanging="2860" w:hangingChars="1300"/>
        <w:jc w:val="center"/>
        <w:rPr>
          <w:rFonts w:ascii="宋体" w:hAnsi="宋体" w:cs="宋体"/>
          <w:kern w:val="0"/>
          <w:sz w:val="22"/>
        </w:rPr>
      </w:pPr>
    </w:p>
    <w:p w14:paraId="5A0E98EA">
      <w:pPr>
        <w:ind w:left="2860" w:hanging="2860" w:hangingChars="1300"/>
        <w:jc w:val="center"/>
        <w:rPr>
          <w:rFonts w:ascii="宋体" w:hAnsi="宋体" w:cs="宋体"/>
          <w:kern w:val="0"/>
          <w:sz w:val="22"/>
        </w:rPr>
      </w:pPr>
    </w:p>
    <w:p w14:paraId="321101A9">
      <w:pPr>
        <w:autoSpaceDE w:val="0"/>
        <w:autoSpaceDN w:val="0"/>
        <w:adjustRightInd w:val="0"/>
        <w:snapToGrid w:val="0"/>
        <w:spacing w:line="360" w:lineRule="auto"/>
        <w:rPr>
          <w:rFonts w:ascii="宋体" w:hAnsi="宋体" w:cs="宋体"/>
          <w:b/>
          <w:kern w:val="0"/>
          <w:sz w:val="32"/>
          <w:szCs w:val="32"/>
        </w:rPr>
      </w:pPr>
      <w:r>
        <w:rPr>
          <w:rFonts w:hint="eastAsia" w:ascii="宋体" w:hAnsi="宋体" w:cs="宋体"/>
          <w:b/>
          <w:sz w:val="32"/>
          <w:szCs w:val="32"/>
        </w:rPr>
        <w:t>采购</w:t>
      </w:r>
      <w:r>
        <w:rPr>
          <w:rFonts w:hint="eastAsia" w:ascii="宋体" w:hAnsi="宋体" w:cs="宋体"/>
          <w:b/>
          <w:kern w:val="0"/>
          <w:sz w:val="32"/>
          <w:szCs w:val="32"/>
        </w:rPr>
        <w:t>编号：</w:t>
      </w:r>
    </w:p>
    <w:p w14:paraId="39D8C348">
      <w:pPr>
        <w:rPr>
          <w:rFonts w:ascii="宋体" w:hAnsi="宋体" w:cs="宋体"/>
        </w:rPr>
      </w:pPr>
    </w:p>
    <w:p w14:paraId="237F309B">
      <w:pPr>
        <w:tabs>
          <w:tab w:val="left" w:pos="6705"/>
          <w:tab w:val="left" w:pos="7065"/>
        </w:tabs>
        <w:autoSpaceDE w:val="0"/>
        <w:autoSpaceDN w:val="0"/>
        <w:adjustRightInd w:val="0"/>
        <w:snapToGrid w:val="0"/>
        <w:spacing w:line="360" w:lineRule="auto"/>
        <w:jc w:val="left"/>
        <w:rPr>
          <w:rFonts w:ascii="宋体" w:hAnsi="宋体" w:cs="宋体"/>
          <w:kern w:val="0"/>
          <w:sz w:val="20"/>
          <w:szCs w:val="20"/>
        </w:rPr>
      </w:pPr>
      <w:r>
        <w:rPr>
          <w:rFonts w:hint="eastAsia" w:ascii="宋体" w:hAnsi="宋体" w:cs="宋体"/>
          <w:kern w:val="0"/>
          <w:sz w:val="20"/>
          <w:szCs w:val="20"/>
        </w:rPr>
        <w:tab/>
      </w:r>
      <w:r>
        <w:rPr>
          <w:rFonts w:hint="eastAsia" w:ascii="宋体" w:hAnsi="宋体" w:cs="宋体"/>
          <w:kern w:val="0"/>
          <w:sz w:val="20"/>
          <w:szCs w:val="20"/>
        </w:rPr>
        <w:tab/>
      </w:r>
    </w:p>
    <w:p w14:paraId="6F797E48">
      <w:pPr>
        <w:autoSpaceDE w:val="0"/>
        <w:autoSpaceDN w:val="0"/>
        <w:adjustRightInd w:val="0"/>
        <w:snapToGrid w:val="0"/>
        <w:spacing w:line="360" w:lineRule="auto"/>
        <w:jc w:val="center"/>
        <w:rPr>
          <w:rFonts w:ascii="宋体" w:hAnsi="宋体" w:cs="宋体"/>
          <w:kern w:val="0"/>
          <w:sz w:val="10"/>
          <w:szCs w:val="10"/>
        </w:rPr>
      </w:pPr>
    </w:p>
    <w:p w14:paraId="242BB3E1">
      <w:pPr>
        <w:autoSpaceDE w:val="0"/>
        <w:autoSpaceDN w:val="0"/>
        <w:adjustRightInd w:val="0"/>
        <w:snapToGrid w:val="0"/>
        <w:spacing w:line="360" w:lineRule="auto"/>
        <w:jc w:val="center"/>
        <w:rPr>
          <w:rFonts w:ascii="宋体" w:hAnsi="宋体" w:cs="宋体"/>
          <w:kern w:val="0"/>
          <w:sz w:val="10"/>
          <w:szCs w:val="10"/>
        </w:rPr>
      </w:pPr>
    </w:p>
    <w:p w14:paraId="3018F958">
      <w:pPr>
        <w:autoSpaceDE w:val="0"/>
        <w:autoSpaceDN w:val="0"/>
        <w:adjustRightInd w:val="0"/>
        <w:snapToGrid w:val="0"/>
        <w:spacing w:line="360" w:lineRule="auto"/>
        <w:jc w:val="center"/>
        <w:rPr>
          <w:rFonts w:ascii="宋体" w:hAnsi="宋体" w:cs="宋体"/>
          <w:kern w:val="0"/>
          <w:sz w:val="10"/>
          <w:szCs w:val="10"/>
        </w:rPr>
      </w:pPr>
    </w:p>
    <w:p w14:paraId="770BED67">
      <w:pPr>
        <w:autoSpaceDE w:val="0"/>
        <w:autoSpaceDN w:val="0"/>
        <w:adjustRightInd w:val="0"/>
        <w:snapToGrid w:val="0"/>
        <w:spacing w:line="360" w:lineRule="auto"/>
        <w:jc w:val="center"/>
        <w:rPr>
          <w:rFonts w:ascii="宋体" w:hAnsi="宋体" w:cs="宋体"/>
          <w:kern w:val="0"/>
          <w:sz w:val="10"/>
          <w:szCs w:val="10"/>
        </w:rPr>
      </w:pPr>
    </w:p>
    <w:p w14:paraId="0395CD5D">
      <w:pPr>
        <w:autoSpaceDE w:val="0"/>
        <w:autoSpaceDN w:val="0"/>
        <w:adjustRightInd w:val="0"/>
        <w:snapToGrid w:val="0"/>
        <w:spacing w:line="360" w:lineRule="auto"/>
        <w:jc w:val="center"/>
        <w:rPr>
          <w:rFonts w:ascii="宋体" w:hAnsi="宋体" w:cs="宋体"/>
          <w:kern w:val="0"/>
          <w:sz w:val="10"/>
          <w:szCs w:val="10"/>
        </w:rPr>
      </w:pPr>
    </w:p>
    <w:p w14:paraId="1AC749BA">
      <w:pPr>
        <w:autoSpaceDE w:val="0"/>
        <w:autoSpaceDN w:val="0"/>
        <w:adjustRightInd w:val="0"/>
        <w:snapToGrid w:val="0"/>
        <w:spacing w:line="360" w:lineRule="auto"/>
        <w:jc w:val="center"/>
        <w:rPr>
          <w:rFonts w:ascii="宋体" w:hAnsi="宋体" w:cs="宋体"/>
          <w:kern w:val="0"/>
          <w:sz w:val="10"/>
          <w:szCs w:val="10"/>
        </w:rPr>
      </w:pPr>
    </w:p>
    <w:p w14:paraId="3736EE11">
      <w:pPr>
        <w:autoSpaceDE w:val="0"/>
        <w:autoSpaceDN w:val="0"/>
        <w:adjustRightInd w:val="0"/>
        <w:snapToGrid w:val="0"/>
        <w:spacing w:line="360" w:lineRule="auto"/>
        <w:jc w:val="center"/>
        <w:rPr>
          <w:rFonts w:ascii="宋体" w:hAnsi="宋体" w:cs="宋体"/>
          <w:spacing w:val="24"/>
          <w:w w:val="80"/>
          <w:sz w:val="120"/>
          <w:szCs w:val="120"/>
        </w:rPr>
      </w:pPr>
      <w:r>
        <w:rPr>
          <w:rFonts w:hint="eastAsia" w:ascii="宋体" w:hAnsi="宋体" w:cs="宋体"/>
          <w:spacing w:val="24"/>
          <w:w w:val="80"/>
          <w:sz w:val="120"/>
          <w:szCs w:val="120"/>
        </w:rPr>
        <w:t>询比价文件</w:t>
      </w:r>
    </w:p>
    <w:p w14:paraId="4B17997C">
      <w:pPr>
        <w:autoSpaceDE w:val="0"/>
        <w:autoSpaceDN w:val="0"/>
        <w:adjustRightInd w:val="0"/>
        <w:snapToGrid w:val="0"/>
        <w:spacing w:line="360" w:lineRule="auto"/>
        <w:jc w:val="left"/>
        <w:rPr>
          <w:rFonts w:ascii="宋体" w:hAnsi="宋体" w:cs="宋体"/>
          <w:kern w:val="0"/>
          <w:sz w:val="20"/>
          <w:szCs w:val="20"/>
        </w:rPr>
      </w:pPr>
    </w:p>
    <w:p w14:paraId="78903905">
      <w:pPr>
        <w:autoSpaceDE w:val="0"/>
        <w:autoSpaceDN w:val="0"/>
        <w:adjustRightInd w:val="0"/>
        <w:snapToGrid w:val="0"/>
        <w:spacing w:line="360" w:lineRule="auto"/>
        <w:jc w:val="left"/>
        <w:rPr>
          <w:rFonts w:ascii="宋体" w:hAnsi="宋体" w:cs="宋体"/>
          <w:kern w:val="0"/>
          <w:sz w:val="20"/>
          <w:szCs w:val="20"/>
        </w:rPr>
      </w:pPr>
    </w:p>
    <w:p w14:paraId="718A8F95">
      <w:pPr>
        <w:autoSpaceDE w:val="0"/>
        <w:autoSpaceDN w:val="0"/>
        <w:adjustRightInd w:val="0"/>
        <w:snapToGrid w:val="0"/>
        <w:spacing w:line="360" w:lineRule="auto"/>
        <w:jc w:val="center"/>
        <w:rPr>
          <w:rFonts w:ascii="宋体" w:hAnsi="宋体" w:cs="宋体"/>
          <w:b/>
          <w:bCs/>
        </w:rPr>
      </w:pPr>
      <w:r>
        <w:rPr>
          <w:rFonts w:hint="eastAsia" w:ascii="宋体" w:hAnsi="宋体" w:cs="宋体"/>
          <w:b/>
          <w:bCs/>
        </w:rPr>
        <w:t>采购人:</w:t>
      </w:r>
      <w:r>
        <w:rPr>
          <w:rFonts w:hint="eastAsia" w:ascii="宋体" w:hAnsi="宋体"/>
        </w:rPr>
        <w:t xml:space="preserve"> </w:t>
      </w:r>
      <w:r>
        <w:rPr>
          <w:rFonts w:hint="eastAsia" w:ascii="宋体" w:hAnsi="宋体" w:cs="宋体"/>
          <w:b/>
          <w:bCs/>
          <w:sz w:val="36"/>
          <w:szCs w:val="36"/>
        </w:rPr>
        <w:t>重庆天泽新材料有限公司</w:t>
      </w:r>
    </w:p>
    <w:p w14:paraId="05DEE67B">
      <w:pPr>
        <w:autoSpaceDE w:val="0"/>
        <w:autoSpaceDN w:val="0"/>
        <w:adjustRightInd w:val="0"/>
        <w:snapToGrid w:val="0"/>
        <w:spacing w:line="360" w:lineRule="auto"/>
        <w:jc w:val="center"/>
        <w:rPr>
          <w:rFonts w:ascii="宋体" w:hAnsi="宋体" w:cs="宋体"/>
          <w:kern w:val="0"/>
          <w:sz w:val="20"/>
          <w:szCs w:val="20"/>
        </w:rPr>
      </w:pPr>
    </w:p>
    <w:p w14:paraId="362E9264">
      <w:pPr>
        <w:tabs>
          <w:tab w:val="left" w:pos="3200"/>
          <w:tab w:val="left" w:pos="4320"/>
          <w:tab w:val="left" w:pos="5420"/>
        </w:tabs>
        <w:autoSpaceDE w:val="0"/>
        <w:autoSpaceDN w:val="0"/>
        <w:adjustRightInd w:val="0"/>
        <w:snapToGrid w:val="0"/>
        <w:spacing w:line="360" w:lineRule="auto"/>
        <w:jc w:val="center"/>
        <w:rPr>
          <w:rFonts w:ascii="宋体" w:hAnsi="宋体" w:cs="宋体"/>
          <w:b/>
          <w:w w:val="95"/>
          <w:kern w:val="0"/>
          <w:sz w:val="32"/>
          <w:szCs w:val="32"/>
        </w:rPr>
      </w:pPr>
    </w:p>
    <w:p w14:paraId="04CCF8FC">
      <w:pPr>
        <w:tabs>
          <w:tab w:val="left" w:pos="3200"/>
          <w:tab w:val="left" w:pos="4320"/>
          <w:tab w:val="left" w:pos="5420"/>
        </w:tabs>
        <w:autoSpaceDE w:val="0"/>
        <w:autoSpaceDN w:val="0"/>
        <w:adjustRightInd w:val="0"/>
        <w:snapToGrid w:val="0"/>
        <w:spacing w:line="360" w:lineRule="auto"/>
        <w:jc w:val="center"/>
        <w:rPr>
          <w:rFonts w:ascii="宋体" w:hAnsi="宋体" w:cs="宋体"/>
          <w:b/>
          <w:w w:val="95"/>
          <w:kern w:val="0"/>
          <w:sz w:val="32"/>
          <w:szCs w:val="32"/>
        </w:rPr>
      </w:pPr>
      <w:r>
        <w:rPr>
          <w:rFonts w:hint="eastAsia" w:ascii="宋体" w:hAnsi="宋体" w:cs="宋体"/>
          <w:b/>
          <w:w w:val="95"/>
          <w:kern w:val="0"/>
          <w:sz w:val="32"/>
          <w:szCs w:val="32"/>
        </w:rPr>
        <w:t>二〇二五年</w:t>
      </w:r>
      <w:r>
        <w:rPr>
          <w:rFonts w:hint="eastAsia" w:ascii="宋体" w:hAnsi="宋体" w:cs="宋体"/>
          <w:b/>
          <w:w w:val="95"/>
          <w:kern w:val="0"/>
          <w:sz w:val="32"/>
          <w:szCs w:val="32"/>
          <w:lang w:val="en-US" w:eastAsia="zh-CN"/>
        </w:rPr>
        <w:t>三</w:t>
      </w:r>
      <w:r>
        <w:rPr>
          <w:rFonts w:hint="eastAsia" w:ascii="宋体" w:hAnsi="宋体" w:cs="宋体"/>
          <w:b/>
          <w:w w:val="95"/>
          <w:kern w:val="0"/>
          <w:sz w:val="32"/>
          <w:szCs w:val="32"/>
        </w:rPr>
        <w:t>月</w:t>
      </w:r>
    </w:p>
    <w:p w14:paraId="4EA51319">
      <w:pPr>
        <w:tabs>
          <w:tab w:val="left" w:pos="3200"/>
          <w:tab w:val="left" w:pos="4320"/>
          <w:tab w:val="left" w:pos="5420"/>
        </w:tabs>
        <w:autoSpaceDE w:val="0"/>
        <w:autoSpaceDN w:val="0"/>
        <w:adjustRightInd w:val="0"/>
        <w:snapToGrid w:val="0"/>
        <w:spacing w:line="360" w:lineRule="auto"/>
        <w:jc w:val="center"/>
        <w:rPr>
          <w:rFonts w:ascii="宋体" w:hAnsi="宋体" w:cs="宋体"/>
          <w:b/>
          <w:w w:val="95"/>
          <w:kern w:val="0"/>
          <w:sz w:val="32"/>
          <w:szCs w:val="32"/>
        </w:rPr>
      </w:pPr>
    </w:p>
    <w:p w14:paraId="64E34F38">
      <w:pPr>
        <w:pStyle w:val="12"/>
        <w:numPr>
          <w:ilvl w:val="0"/>
          <w:numId w:val="0"/>
        </w:numPr>
        <w:ind w:left="980"/>
        <w:rPr>
          <w:rFonts w:ascii="宋体" w:eastAsia="宋体"/>
          <w:color w:val="auto"/>
        </w:rPr>
      </w:pPr>
    </w:p>
    <w:p w14:paraId="574BE330">
      <w:pPr>
        <w:rPr>
          <w:rFonts w:ascii="宋体" w:hAnsi="宋体" w:cs="宋体"/>
          <w:u w:val="single"/>
        </w:rPr>
      </w:pPr>
      <w:r>
        <w:rPr>
          <w:rFonts w:hint="eastAsia" w:ascii="宋体" w:hAnsi="宋体" w:cs="宋体"/>
        </w:rPr>
        <w:t>编制：</w:t>
      </w:r>
      <w:r>
        <w:rPr>
          <w:rFonts w:hint="eastAsia" w:ascii="宋体" w:hAnsi="宋体" w:cs="宋体"/>
          <w:u w:val="single"/>
        </w:rPr>
        <w:t xml:space="preserve">             </w:t>
      </w:r>
      <w:r>
        <w:rPr>
          <w:rFonts w:ascii="宋体" w:hAnsi="宋体" w:cs="宋体"/>
        </w:rPr>
        <w:t xml:space="preserve">   </w:t>
      </w:r>
      <w:r>
        <w:rPr>
          <w:rFonts w:hint="eastAsia" w:ascii="宋体" w:hAnsi="宋体" w:cs="宋体"/>
        </w:rPr>
        <w:t xml:space="preserve">    审核：</w:t>
      </w:r>
      <w:r>
        <w:rPr>
          <w:rFonts w:hint="eastAsia" w:ascii="宋体" w:hAnsi="宋体" w:cs="宋体"/>
          <w:u w:val="single"/>
        </w:rPr>
        <w:t xml:space="preserve">             </w:t>
      </w:r>
      <w:r>
        <w:rPr>
          <w:rFonts w:ascii="宋体" w:hAnsi="宋体" w:cs="宋体"/>
          <w:u w:val="single"/>
        </w:rPr>
        <w:t xml:space="preserve">  </w:t>
      </w:r>
    </w:p>
    <w:p w14:paraId="0BF17EEB">
      <w:pPr>
        <w:jc w:val="center"/>
        <w:rPr>
          <w:rFonts w:ascii="宋体" w:hAnsi="宋体"/>
          <w:szCs w:val="44"/>
        </w:rPr>
      </w:pPr>
    </w:p>
    <w:bookmarkEnd w:id="0"/>
    <w:bookmarkEnd w:id="1"/>
    <w:bookmarkEnd w:id="2"/>
    <w:bookmarkEnd w:id="3"/>
    <w:bookmarkEnd w:id="4"/>
    <w:p w14:paraId="1B8A2359">
      <w:pPr>
        <w:spacing w:line="360" w:lineRule="auto"/>
        <w:jc w:val="center"/>
        <w:rPr>
          <w:rFonts w:ascii="宋体" w:hAnsi="宋体" w:cs="宋体"/>
          <w:b/>
          <w:bCs/>
          <w:sz w:val="44"/>
          <w:szCs w:val="44"/>
        </w:rPr>
      </w:pPr>
      <w:r>
        <w:rPr>
          <w:rFonts w:hint="eastAsia" w:ascii="宋体" w:hAnsi="宋体" w:cs="宋体"/>
          <w:b/>
          <w:bCs/>
          <w:sz w:val="44"/>
          <w:szCs w:val="44"/>
        </w:rPr>
        <w:t>目</w:t>
      </w:r>
      <w:r>
        <w:rPr>
          <w:rFonts w:ascii="宋体" w:hAnsi="宋体" w:cs="宋体"/>
          <w:b/>
          <w:bCs/>
          <w:sz w:val="44"/>
          <w:szCs w:val="44"/>
        </w:rPr>
        <w:t xml:space="preserve">  </w:t>
      </w:r>
      <w:r>
        <w:rPr>
          <w:rFonts w:hint="eastAsia" w:ascii="宋体" w:hAnsi="宋体" w:cs="宋体"/>
          <w:b/>
          <w:bCs/>
          <w:sz w:val="44"/>
          <w:szCs w:val="44"/>
        </w:rPr>
        <w:t>录</w:t>
      </w:r>
    </w:p>
    <w:p w14:paraId="239087FA">
      <w:pPr>
        <w:pStyle w:val="20"/>
        <w:spacing w:line="264" w:lineRule="auto"/>
        <w:rPr>
          <w:rFonts w:ascii="宋体" w:hAnsi="宋体" w:cs="宋体"/>
          <w:b/>
          <w:bCs/>
          <w:color w:val="auto"/>
          <w:sz w:val="28"/>
          <w:szCs w:val="28"/>
        </w:rPr>
      </w:pPr>
    </w:p>
    <w:p w14:paraId="5A5B4724">
      <w:pPr>
        <w:pStyle w:val="20"/>
        <w:spacing w:line="264" w:lineRule="auto"/>
        <w:rPr>
          <w:rFonts w:ascii="宋体" w:hAnsi="宋体" w:cs="宋体"/>
          <w:color w:val="auto"/>
          <w:kern w:val="2"/>
          <w:sz w:val="28"/>
          <w:szCs w:val="28"/>
        </w:rPr>
      </w:pPr>
      <w:r>
        <w:rPr>
          <w:rFonts w:hint="eastAsia" w:ascii="宋体" w:hAnsi="宋体" w:cs="宋体"/>
          <w:color w:val="auto"/>
          <w:kern w:val="2"/>
          <w:sz w:val="28"/>
          <w:szCs w:val="28"/>
        </w:rPr>
        <w:t>第一章  询比价公告</w:t>
      </w:r>
    </w:p>
    <w:p w14:paraId="1845B711">
      <w:pPr>
        <w:rPr>
          <w:rFonts w:ascii="宋体" w:hAnsi="宋体" w:cs="宋体"/>
          <w:sz w:val="28"/>
          <w:szCs w:val="28"/>
        </w:rPr>
      </w:pPr>
      <w:r>
        <w:rPr>
          <w:rFonts w:hint="eastAsia" w:ascii="宋体" w:hAnsi="宋体" w:cs="宋体"/>
          <w:sz w:val="28"/>
          <w:szCs w:val="28"/>
        </w:rPr>
        <w:t>第二章  技术服务要求</w:t>
      </w:r>
    </w:p>
    <w:p w14:paraId="4949D4EB">
      <w:pPr>
        <w:rPr>
          <w:rFonts w:ascii="宋体" w:hAnsi="宋体"/>
          <w:sz w:val="24"/>
          <w:szCs w:val="24"/>
        </w:rPr>
      </w:pPr>
      <w:r>
        <w:rPr>
          <w:rFonts w:hint="eastAsia" w:ascii="宋体" w:hAnsi="宋体" w:cs="宋体"/>
          <w:sz w:val="28"/>
          <w:szCs w:val="28"/>
        </w:rPr>
        <w:t>第三章  合同模板</w:t>
      </w:r>
      <w:r>
        <w:rPr>
          <w:rFonts w:hint="eastAsia" w:ascii="宋体" w:hAnsi="宋体" w:cs="宋体"/>
          <w:sz w:val="28"/>
          <w:szCs w:val="28"/>
        </w:rPr>
        <w:br w:type="page"/>
      </w:r>
    </w:p>
    <w:p w14:paraId="2D2AE123">
      <w:pPr>
        <w:jc w:val="center"/>
        <w:rPr>
          <w:rFonts w:ascii="宋体" w:hAnsi="宋体"/>
          <w:sz w:val="32"/>
          <w:szCs w:val="32"/>
        </w:rPr>
      </w:pPr>
      <w:r>
        <w:rPr>
          <w:rFonts w:ascii="宋体" w:hAnsi="宋体"/>
          <w:sz w:val="32"/>
          <w:szCs w:val="32"/>
        </w:rPr>
        <w:t xml:space="preserve">第一章 </w:t>
      </w:r>
      <w:r>
        <w:rPr>
          <w:rFonts w:hint="eastAsia" w:ascii="宋体" w:hAnsi="宋体"/>
          <w:sz w:val="32"/>
          <w:szCs w:val="32"/>
        </w:rPr>
        <w:t>询比价公告</w:t>
      </w:r>
    </w:p>
    <w:p w14:paraId="41D19914">
      <w:pPr>
        <w:spacing w:line="360" w:lineRule="auto"/>
        <w:rPr>
          <w:rFonts w:ascii="宋体" w:hAnsi="宋体"/>
          <w:b/>
          <w:snapToGrid w:val="0"/>
          <w:sz w:val="24"/>
          <w:szCs w:val="24"/>
        </w:rPr>
      </w:pPr>
      <w:bookmarkStart w:id="5" w:name="_Toc30279"/>
      <w:bookmarkStart w:id="6" w:name="_Toc14729"/>
      <w:bookmarkStart w:id="7" w:name="_Toc844"/>
      <w:bookmarkStart w:id="8" w:name="_Toc5554"/>
      <w:bookmarkStart w:id="9" w:name="_Toc4962"/>
      <w:bookmarkStart w:id="10" w:name="_Toc16466"/>
      <w:bookmarkStart w:id="11" w:name="_Toc27508"/>
      <w:bookmarkStart w:id="12" w:name="_Toc26356"/>
      <w:bookmarkStart w:id="13" w:name="_Toc10497"/>
      <w:bookmarkStart w:id="14" w:name="_Toc29382"/>
      <w:bookmarkStart w:id="15" w:name="_Toc415675120"/>
      <w:bookmarkStart w:id="16" w:name="OLE_LINK4"/>
      <w:bookmarkStart w:id="17" w:name="_Toc440556695"/>
      <w:bookmarkStart w:id="18" w:name="OLE_LINK7"/>
      <w:bookmarkStart w:id="19" w:name="OLE_LINK1"/>
      <w:bookmarkStart w:id="20" w:name="_Toc415675642"/>
      <w:r>
        <w:rPr>
          <w:rFonts w:hint="eastAsia" w:ascii="宋体" w:hAnsi="宋体"/>
          <w:b/>
          <w:snapToGrid w:val="0"/>
          <w:sz w:val="24"/>
          <w:szCs w:val="24"/>
        </w:rPr>
        <w:t>一、询比价条件</w:t>
      </w:r>
      <w:bookmarkEnd w:id="5"/>
      <w:bookmarkEnd w:id="6"/>
      <w:bookmarkEnd w:id="7"/>
      <w:bookmarkEnd w:id="8"/>
      <w:bookmarkEnd w:id="9"/>
      <w:bookmarkEnd w:id="10"/>
      <w:bookmarkEnd w:id="11"/>
      <w:bookmarkEnd w:id="12"/>
      <w:bookmarkEnd w:id="13"/>
      <w:bookmarkEnd w:id="14"/>
    </w:p>
    <w:p w14:paraId="6CD422D5">
      <w:pPr>
        <w:spacing w:line="360" w:lineRule="auto"/>
        <w:ind w:firstLine="480" w:firstLineChars="200"/>
        <w:rPr>
          <w:rFonts w:ascii="宋体" w:hAnsi="宋体"/>
          <w:snapToGrid w:val="0"/>
          <w:sz w:val="24"/>
          <w:szCs w:val="24"/>
        </w:rPr>
      </w:pPr>
      <w:r>
        <w:rPr>
          <w:rFonts w:hint="eastAsia" w:ascii="宋体" w:hAnsi="宋体"/>
          <w:sz w:val="24"/>
          <w:szCs w:val="24"/>
        </w:rPr>
        <w:t>本询比价项目为重庆国际复合材料股份有限公司</w:t>
      </w:r>
      <w:r>
        <w:rPr>
          <w:rFonts w:hint="eastAsia" w:ascii="宋体" w:hAnsi="宋体"/>
          <w:sz w:val="24"/>
          <w:szCs w:val="24"/>
          <w:u w:val="single"/>
        </w:rPr>
        <w:t>“电子级玻璃纤维生产线设备更新及数智化提质增效项目---110kV国复变电站主变增容及设备装置大修技改工程设计服务采购</w:t>
      </w:r>
      <w:r>
        <w:rPr>
          <w:rFonts w:hint="eastAsia" w:ascii="宋体" w:hAnsi="宋体"/>
          <w:sz w:val="24"/>
          <w:szCs w:val="24"/>
        </w:rPr>
        <w:t>”，资金来源</w:t>
      </w:r>
      <w:r>
        <w:rPr>
          <w:rFonts w:hint="eastAsia" w:ascii="宋体" w:hAnsi="宋体"/>
          <w:sz w:val="24"/>
          <w:szCs w:val="24"/>
          <w:u w:val="single"/>
        </w:rPr>
        <w:t>业主自筹</w:t>
      </w:r>
      <w:r>
        <w:rPr>
          <w:rFonts w:hint="eastAsia" w:ascii="宋体" w:hAnsi="宋体"/>
          <w:sz w:val="24"/>
          <w:szCs w:val="24"/>
        </w:rPr>
        <w:t>，项目出资比例为</w:t>
      </w:r>
      <w:r>
        <w:rPr>
          <w:rFonts w:ascii="宋体" w:hAnsi="宋体"/>
          <w:sz w:val="24"/>
          <w:szCs w:val="24"/>
          <w:u w:val="single"/>
        </w:rPr>
        <w:t>100%</w:t>
      </w:r>
      <w:r>
        <w:rPr>
          <w:rFonts w:hint="eastAsia" w:ascii="宋体" w:hAnsi="宋体"/>
          <w:sz w:val="24"/>
          <w:szCs w:val="24"/>
          <w:u w:val="single"/>
        </w:rPr>
        <w:t>国有资金</w:t>
      </w:r>
      <w:r>
        <w:rPr>
          <w:rFonts w:hint="eastAsia" w:ascii="宋体" w:hAnsi="宋体"/>
          <w:sz w:val="24"/>
          <w:szCs w:val="24"/>
        </w:rPr>
        <w:t>；本项目已具备询比价条件，特邀请潜在供应商进行报价。</w:t>
      </w:r>
    </w:p>
    <w:p w14:paraId="79D274E6">
      <w:pPr>
        <w:spacing w:line="360" w:lineRule="auto"/>
        <w:rPr>
          <w:rFonts w:ascii="宋体" w:hAnsi="宋体"/>
          <w:b/>
          <w:snapToGrid w:val="0"/>
          <w:sz w:val="24"/>
          <w:szCs w:val="24"/>
        </w:rPr>
      </w:pPr>
      <w:bookmarkStart w:id="21" w:name="_Toc6552"/>
      <w:bookmarkStart w:id="22" w:name="_Toc31685"/>
      <w:bookmarkStart w:id="23" w:name="_Toc8077"/>
      <w:bookmarkStart w:id="24" w:name="_Toc19590"/>
      <w:bookmarkStart w:id="25" w:name="_Toc29348"/>
      <w:bookmarkStart w:id="26" w:name="_Toc18911"/>
      <w:bookmarkStart w:id="27" w:name="_Toc16188"/>
      <w:bookmarkStart w:id="28" w:name="_Toc24224"/>
      <w:bookmarkStart w:id="29" w:name="_Toc20027"/>
      <w:bookmarkStart w:id="30" w:name="_Toc17916"/>
      <w:r>
        <w:rPr>
          <w:rFonts w:hint="eastAsia" w:ascii="宋体" w:hAnsi="宋体"/>
          <w:b/>
          <w:snapToGrid w:val="0"/>
          <w:sz w:val="24"/>
          <w:szCs w:val="24"/>
        </w:rPr>
        <w:t>二、项目概况与询比价范围</w:t>
      </w:r>
      <w:bookmarkEnd w:id="21"/>
      <w:bookmarkEnd w:id="22"/>
      <w:bookmarkEnd w:id="23"/>
      <w:bookmarkEnd w:id="24"/>
      <w:bookmarkEnd w:id="25"/>
      <w:bookmarkEnd w:id="26"/>
      <w:bookmarkEnd w:id="27"/>
      <w:bookmarkEnd w:id="28"/>
      <w:bookmarkEnd w:id="29"/>
      <w:bookmarkEnd w:id="30"/>
    </w:p>
    <w:p w14:paraId="602F02E3">
      <w:pPr>
        <w:spacing w:line="360" w:lineRule="auto"/>
        <w:rPr>
          <w:rFonts w:ascii="宋体" w:hAnsi="宋体"/>
          <w:bCs/>
          <w:kern w:val="0"/>
          <w:sz w:val="24"/>
          <w:szCs w:val="24"/>
        </w:rPr>
      </w:pPr>
      <w:r>
        <w:rPr>
          <w:rFonts w:hint="eastAsia" w:ascii="宋体" w:hAnsi="宋体"/>
          <w:kern w:val="0"/>
          <w:sz w:val="24"/>
          <w:szCs w:val="24"/>
        </w:rPr>
        <w:t>2.1 项目名称：</w:t>
      </w:r>
      <w:r>
        <w:rPr>
          <w:rFonts w:hint="eastAsia" w:ascii="宋体" w:hAnsi="宋体"/>
          <w:sz w:val="24"/>
          <w:szCs w:val="24"/>
          <w:u w:val="single"/>
        </w:rPr>
        <w:t>电子级玻璃纤维生产线设备更新及数智化提质增效项目---110kV国复变电站主变增容及设备装置大修技改工程设计服务采购</w:t>
      </w:r>
    </w:p>
    <w:p w14:paraId="6E09BC15">
      <w:pPr>
        <w:spacing w:line="360" w:lineRule="auto"/>
        <w:rPr>
          <w:rFonts w:ascii="宋体" w:hAnsi="宋体"/>
          <w:sz w:val="24"/>
          <w:szCs w:val="24"/>
          <w:u w:val="single"/>
        </w:rPr>
      </w:pPr>
      <w:r>
        <w:rPr>
          <w:rFonts w:hint="eastAsia" w:ascii="宋体" w:hAnsi="宋体"/>
          <w:sz w:val="24"/>
          <w:szCs w:val="24"/>
        </w:rPr>
        <w:t>2.2 询比价范围：</w:t>
      </w:r>
      <w:r>
        <w:rPr>
          <w:rFonts w:hint="eastAsia" w:ascii="宋体" w:hAnsi="宋体"/>
          <w:sz w:val="24"/>
          <w:szCs w:val="24"/>
          <w:u w:val="single"/>
        </w:rPr>
        <w:t>110kV国复变电站主变增容及设备装置大修技改工程初步设计及概算、施工图设计、工程施工至工程竣工验收全过程的相关服务等。</w:t>
      </w:r>
    </w:p>
    <w:p w14:paraId="39B868A5">
      <w:pPr>
        <w:ind w:firstLine="482" w:firstLineChars="200"/>
        <w:jc w:val="center"/>
        <w:rPr>
          <w:rFonts w:ascii="宋体" w:hAnsi="宋体"/>
          <w:b/>
          <w:bCs/>
          <w:sz w:val="24"/>
          <w:szCs w:val="24"/>
        </w:rPr>
      </w:pPr>
      <w:r>
        <w:rPr>
          <w:rFonts w:hint="eastAsia" w:ascii="宋体" w:hAnsi="宋体"/>
          <w:b/>
          <w:bCs/>
          <w:sz w:val="24"/>
          <w:szCs w:val="24"/>
        </w:rPr>
        <w:t>主要设计范围及内容概况表</w:t>
      </w:r>
    </w:p>
    <w:tbl>
      <w:tblPr>
        <w:tblStyle w:val="13"/>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282"/>
        <w:gridCol w:w="456"/>
        <w:gridCol w:w="1807"/>
        <w:gridCol w:w="3107"/>
        <w:gridCol w:w="2657"/>
      </w:tblGrid>
      <w:tr w14:paraId="594D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678" w:type="dxa"/>
            <w:gridSpan w:val="2"/>
            <w:shd w:val="clear" w:color="auto" w:fill="auto"/>
            <w:vAlign w:val="center"/>
          </w:tcPr>
          <w:p w14:paraId="33E92156">
            <w:pPr>
              <w:widowControl/>
              <w:spacing w:line="240" w:lineRule="auto"/>
              <w:jc w:val="center"/>
              <w:rPr>
                <w:rFonts w:ascii="宋体" w:hAnsi="宋体" w:cs="宋体"/>
                <w:b/>
                <w:bCs/>
                <w:kern w:val="0"/>
                <w:sz w:val="21"/>
                <w:szCs w:val="21"/>
              </w:rPr>
            </w:pPr>
            <w:r>
              <w:rPr>
                <w:rFonts w:hint="eastAsia" w:ascii="宋体" w:hAnsi="宋体" w:cs="宋体"/>
                <w:b/>
                <w:bCs/>
                <w:kern w:val="0"/>
                <w:sz w:val="21"/>
                <w:szCs w:val="21"/>
              </w:rPr>
              <w:t>项目类别</w:t>
            </w:r>
          </w:p>
        </w:tc>
        <w:tc>
          <w:tcPr>
            <w:tcW w:w="2263" w:type="dxa"/>
            <w:gridSpan w:val="2"/>
            <w:shd w:val="clear" w:color="auto" w:fill="auto"/>
            <w:vAlign w:val="center"/>
          </w:tcPr>
          <w:p w14:paraId="73B434A6">
            <w:pPr>
              <w:widowControl/>
              <w:spacing w:line="240" w:lineRule="auto"/>
              <w:jc w:val="center"/>
              <w:rPr>
                <w:rFonts w:ascii="宋体" w:hAnsi="宋体" w:cs="宋体"/>
                <w:b/>
                <w:bCs/>
                <w:kern w:val="0"/>
                <w:sz w:val="21"/>
                <w:szCs w:val="21"/>
              </w:rPr>
            </w:pPr>
            <w:r>
              <w:rPr>
                <w:rFonts w:hint="eastAsia" w:ascii="宋体" w:hAnsi="宋体" w:cs="宋体"/>
                <w:b/>
                <w:bCs/>
                <w:kern w:val="0"/>
                <w:sz w:val="21"/>
                <w:szCs w:val="21"/>
              </w:rPr>
              <w:t>现状</w:t>
            </w:r>
          </w:p>
        </w:tc>
        <w:tc>
          <w:tcPr>
            <w:tcW w:w="3107" w:type="dxa"/>
            <w:shd w:val="clear" w:color="auto" w:fill="auto"/>
            <w:vAlign w:val="center"/>
          </w:tcPr>
          <w:p w14:paraId="6AA197F5">
            <w:pPr>
              <w:widowControl/>
              <w:spacing w:line="240" w:lineRule="auto"/>
              <w:jc w:val="center"/>
              <w:rPr>
                <w:rFonts w:ascii="宋体" w:hAnsi="宋体" w:cs="宋体"/>
                <w:b/>
                <w:bCs/>
                <w:kern w:val="0"/>
                <w:sz w:val="21"/>
                <w:szCs w:val="21"/>
              </w:rPr>
            </w:pPr>
            <w:r>
              <w:rPr>
                <w:rFonts w:hint="eastAsia" w:ascii="宋体" w:hAnsi="宋体" w:cs="宋体"/>
                <w:b/>
                <w:bCs/>
                <w:kern w:val="0"/>
                <w:sz w:val="21"/>
                <w:szCs w:val="21"/>
              </w:rPr>
              <w:t>改造方案</w:t>
            </w:r>
          </w:p>
        </w:tc>
        <w:tc>
          <w:tcPr>
            <w:tcW w:w="2657" w:type="dxa"/>
            <w:shd w:val="clear" w:color="auto" w:fill="auto"/>
            <w:vAlign w:val="center"/>
          </w:tcPr>
          <w:p w14:paraId="1FEF3915">
            <w:pPr>
              <w:widowControl/>
              <w:spacing w:line="240" w:lineRule="auto"/>
              <w:jc w:val="center"/>
              <w:rPr>
                <w:rFonts w:ascii="宋体" w:hAnsi="宋体" w:cs="宋体"/>
                <w:b/>
                <w:bCs/>
                <w:kern w:val="0"/>
                <w:sz w:val="21"/>
                <w:szCs w:val="21"/>
              </w:rPr>
            </w:pPr>
            <w:r>
              <w:rPr>
                <w:rFonts w:hint="eastAsia" w:ascii="宋体" w:hAnsi="宋体" w:cs="宋体"/>
                <w:b/>
                <w:bCs/>
                <w:kern w:val="0"/>
                <w:sz w:val="21"/>
                <w:szCs w:val="21"/>
              </w:rPr>
              <w:t>主要设计范围及要求</w:t>
            </w:r>
          </w:p>
        </w:tc>
      </w:tr>
      <w:tr w14:paraId="60C7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96" w:type="dxa"/>
            <w:vMerge w:val="restart"/>
            <w:shd w:val="clear" w:color="auto" w:fill="auto"/>
            <w:vAlign w:val="center"/>
          </w:tcPr>
          <w:p w14:paraId="14FB2BB4">
            <w:pPr>
              <w:widowControl/>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1282" w:type="dxa"/>
            <w:vMerge w:val="restart"/>
            <w:shd w:val="clear" w:color="auto" w:fill="auto"/>
            <w:vAlign w:val="center"/>
          </w:tcPr>
          <w:p w14:paraId="10A4E78A">
            <w:pPr>
              <w:widowControl/>
              <w:spacing w:line="240" w:lineRule="auto"/>
              <w:jc w:val="left"/>
              <w:rPr>
                <w:rFonts w:ascii="宋体" w:hAnsi="宋体" w:cs="宋体"/>
                <w:kern w:val="0"/>
                <w:sz w:val="21"/>
                <w:szCs w:val="21"/>
              </w:rPr>
            </w:pPr>
            <w:r>
              <w:rPr>
                <w:rFonts w:hint="eastAsia" w:ascii="宋体" w:hAnsi="宋体" w:cs="宋体"/>
                <w:kern w:val="0"/>
                <w:sz w:val="21"/>
                <w:szCs w:val="21"/>
              </w:rPr>
              <w:t>110kV主变增容置换改造</w:t>
            </w:r>
          </w:p>
        </w:tc>
        <w:tc>
          <w:tcPr>
            <w:tcW w:w="2263" w:type="dxa"/>
            <w:gridSpan w:val="2"/>
            <w:shd w:val="clear" w:color="auto" w:fill="auto"/>
            <w:vAlign w:val="center"/>
          </w:tcPr>
          <w:p w14:paraId="703C0A8E">
            <w:pPr>
              <w:widowControl/>
              <w:spacing w:line="240" w:lineRule="auto"/>
              <w:jc w:val="center"/>
              <w:rPr>
                <w:rFonts w:ascii="宋体" w:hAnsi="宋体" w:cs="宋体"/>
                <w:kern w:val="0"/>
                <w:sz w:val="21"/>
                <w:szCs w:val="21"/>
              </w:rPr>
            </w:pPr>
            <w:r>
              <w:rPr>
                <w:rFonts w:hint="eastAsia" w:ascii="宋体" w:hAnsi="宋体" w:cs="宋体"/>
                <w:kern w:val="0"/>
                <w:sz w:val="21"/>
                <w:szCs w:val="21"/>
              </w:rPr>
              <w:t>1#主变31.5MVA</w:t>
            </w:r>
          </w:p>
        </w:tc>
        <w:tc>
          <w:tcPr>
            <w:tcW w:w="3107" w:type="dxa"/>
            <w:shd w:val="clear" w:color="auto" w:fill="auto"/>
            <w:vAlign w:val="center"/>
          </w:tcPr>
          <w:p w14:paraId="1AB37AC3">
            <w:pPr>
              <w:widowControl/>
              <w:spacing w:line="240" w:lineRule="auto"/>
              <w:jc w:val="left"/>
              <w:rPr>
                <w:rFonts w:ascii="宋体" w:hAnsi="宋体" w:cs="宋体"/>
                <w:kern w:val="0"/>
                <w:sz w:val="21"/>
                <w:szCs w:val="21"/>
              </w:rPr>
            </w:pPr>
            <w:r>
              <w:rPr>
                <w:rFonts w:hint="eastAsia" w:ascii="宋体" w:hAnsi="宋体" w:cs="宋体"/>
                <w:kern w:val="0"/>
                <w:sz w:val="21"/>
                <w:szCs w:val="21"/>
              </w:rPr>
              <w:t>1#主变40MVA（增容改造，更换原主变）</w:t>
            </w:r>
          </w:p>
        </w:tc>
        <w:tc>
          <w:tcPr>
            <w:tcW w:w="2657" w:type="dxa"/>
            <w:vMerge w:val="restart"/>
            <w:shd w:val="clear" w:color="auto" w:fill="auto"/>
            <w:vAlign w:val="center"/>
          </w:tcPr>
          <w:p w14:paraId="6788E9ED">
            <w:pPr>
              <w:widowControl/>
              <w:spacing w:line="240" w:lineRule="auto"/>
              <w:jc w:val="left"/>
              <w:rPr>
                <w:rFonts w:cs="宋体" w:asciiTheme="minorEastAsia" w:hAnsiTheme="minorEastAsia" w:eastAsiaTheme="minorEastAsia"/>
                <w:kern w:val="0"/>
                <w:sz w:val="21"/>
                <w:szCs w:val="21"/>
              </w:rPr>
            </w:pPr>
            <w:r>
              <w:rPr>
                <w:rFonts w:hint="eastAsia" w:ascii="宋体" w:hAnsi="宋体" w:cs="宋体"/>
                <w:kern w:val="0"/>
                <w:sz w:val="21"/>
                <w:szCs w:val="21"/>
              </w:rPr>
              <w:t>更换两台电压等级为110/10kV的有载调压主变（二级能效），根据标准规范和需求，完善主变及相关附属设备增容置换、土建改造等设计。</w:t>
            </w:r>
          </w:p>
        </w:tc>
      </w:tr>
      <w:tr w14:paraId="174C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 w:type="dxa"/>
            <w:vMerge w:val="continue"/>
            <w:vAlign w:val="center"/>
          </w:tcPr>
          <w:p w14:paraId="5BDC928D">
            <w:pPr>
              <w:widowControl/>
              <w:spacing w:line="240" w:lineRule="auto"/>
              <w:jc w:val="left"/>
              <w:rPr>
                <w:rFonts w:ascii="宋体" w:hAnsi="宋体" w:cs="宋体"/>
                <w:kern w:val="0"/>
                <w:sz w:val="21"/>
                <w:szCs w:val="21"/>
              </w:rPr>
            </w:pPr>
          </w:p>
        </w:tc>
        <w:tc>
          <w:tcPr>
            <w:tcW w:w="1282" w:type="dxa"/>
            <w:vMerge w:val="continue"/>
            <w:vAlign w:val="center"/>
          </w:tcPr>
          <w:p w14:paraId="37EDB324">
            <w:pPr>
              <w:widowControl/>
              <w:spacing w:line="240" w:lineRule="auto"/>
              <w:jc w:val="left"/>
              <w:rPr>
                <w:rFonts w:ascii="宋体" w:hAnsi="宋体" w:cs="宋体"/>
                <w:kern w:val="0"/>
                <w:sz w:val="21"/>
                <w:szCs w:val="21"/>
              </w:rPr>
            </w:pPr>
          </w:p>
        </w:tc>
        <w:tc>
          <w:tcPr>
            <w:tcW w:w="2263" w:type="dxa"/>
            <w:gridSpan w:val="2"/>
            <w:shd w:val="clear" w:color="auto" w:fill="auto"/>
            <w:vAlign w:val="center"/>
          </w:tcPr>
          <w:p w14:paraId="6DA76B12">
            <w:pPr>
              <w:widowControl/>
              <w:spacing w:line="240" w:lineRule="auto"/>
              <w:jc w:val="center"/>
              <w:rPr>
                <w:rFonts w:ascii="宋体" w:hAnsi="宋体" w:cs="宋体"/>
                <w:kern w:val="0"/>
                <w:sz w:val="21"/>
                <w:szCs w:val="21"/>
              </w:rPr>
            </w:pPr>
            <w:r>
              <w:rPr>
                <w:rFonts w:hint="eastAsia" w:ascii="宋体" w:hAnsi="宋体" w:cs="宋体"/>
                <w:kern w:val="0"/>
                <w:sz w:val="21"/>
                <w:szCs w:val="21"/>
              </w:rPr>
              <w:t>2#主变31.5MVA</w:t>
            </w:r>
          </w:p>
        </w:tc>
        <w:tc>
          <w:tcPr>
            <w:tcW w:w="3107" w:type="dxa"/>
            <w:shd w:val="clear" w:color="auto" w:fill="auto"/>
            <w:vAlign w:val="center"/>
          </w:tcPr>
          <w:p w14:paraId="32045560">
            <w:pPr>
              <w:widowControl/>
              <w:spacing w:line="240" w:lineRule="auto"/>
              <w:jc w:val="left"/>
              <w:rPr>
                <w:rFonts w:ascii="宋体" w:hAnsi="宋体" w:cs="宋体"/>
                <w:kern w:val="0"/>
                <w:sz w:val="21"/>
                <w:szCs w:val="21"/>
              </w:rPr>
            </w:pPr>
            <w:r>
              <w:rPr>
                <w:rFonts w:hint="eastAsia" w:ascii="宋体" w:hAnsi="宋体" w:cs="宋体"/>
                <w:kern w:val="0"/>
                <w:sz w:val="21"/>
                <w:szCs w:val="21"/>
              </w:rPr>
              <w:t>2#主变50MVA（增容改造，更换原主变）</w:t>
            </w:r>
          </w:p>
        </w:tc>
        <w:tc>
          <w:tcPr>
            <w:tcW w:w="2657" w:type="dxa"/>
            <w:vMerge w:val="continue"/>
            <w:vAlign w:val="center"/>
          </w:tcPr>
          <w:p w14:paraId="2300259A">
            <w:pPr>
              <w:widowControl/>
              <w:spacing w:line="240" w:lineRule="auto"/>
              <w:jc w:val="left"/>
              <w:rPr>
                <w:rFonts w:ascii="宋体" w:hAnsi="宋体" w:cs="宋体"/>
                <w:kern w:val="0"/>
                <w:sz w:val="21"/>
                <w:szCs w:val="21"/>
              </w:rPr>
            </w:pPr>
          </w:p>
        </w:tc>
      </w:tr>
      <w:tr w14:paraId="5E54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96" w:type="dxa"/>
            <w:vMerge w:val="continue"/>
            <w:vAlign w:val="center"/>
          </w:tcPr>
          <w:p w14:paraId="7EFC8560">
            <w:pPr>
              <w:widowControl/>
              <w:spacing w:line="240" w:lineRule="auto"/>
              <w:jc w:val="left"/>
              <w:rPr>
                <w:rFonts w:ascii="宋体" w:hAnsi="宋体" w:cs="宋体"/>
                <w:kern w:val="0"/>
                <w:sz w:val="21"/>
                <w:szCs w:val="21"/>
              </w:rPr>
            </w:pPr>
          </w:p>
        </w:tc>
        <w:tc>
          <w:tcPr>
            <w:tcW w:w="1282" w:type="dxa"/>
            <w:vMerge w:val="continue"/>
            <w:vAlign w:val="center"/>
          </w:tcPr>
          <w:p w14:paraId="06A6443E">
            <w:pPr>
              <w:widowControl/>
              <w:spacing w:line="240" w:lineRule="auto"/>
              <w:jc w:val="left"/>
              <w:rPr>
                <w:rFonts w:ascii="宋体" w:hAnsi="宋体" w:cs="宋体"/>
                <w:kern w:val="0"/>
                <w:sz w:val="21"/>
                <w:szCs w:val="21"/>
              </w:rPr>
            </w:pPr>
          </w:p>
        </w:tc>
        <w:tc>
          <w:tcPr>
            <w:tcW w:w="2263" w:type="dxa"/>
            <w:gridSpan w:val="2"/>
            <w:shd w:val="clear" w:color="auto" w:fill="auto"/>
            <w:vAlign w:val="center"/>
          </w:tcPr>
          <w:p w14:paraId="40A2F988">
            <w:pPr>
              <w:widowControl/>
              <w:spacing w:line="240" w:lineRule="auto"/>
              <w:jc w:val="center"/>
              <w:rPr>
                <w:rFonts w:ascii="宋体" w:hAnsi="宋体" w:cs="宋体"/>
                <w:kern w:val="0"/>
                <w:sz w:val="21"/>
                <w:szCs w:val="21"/>
              </w:rPr>
            </w:pPr>
            <w:r>
              <w:rPr>
                <w:rFonts w:hint="eastAsia" w:ascii="宋体" w:hAnsi="宋体" w:cs="宋体"/>
                <w:kern w:val="0"/>
                <w:sz w:val="21"/>
                <w:szCs w:val="21"/>
              </w:rPr>
              <w:t>3#主变40MVA</w:t>
            </w:r>
          </w:p>
        </w:tc>
        <w:tc>
          <w:tcPr>
            <w:tcW w:w="3107" w:type="dxa"/>
            <w:shd w:val="clear" w:color="auto" w:fill="auto"/>
            <w:vAlign w:val="center"/>
          </w:tcPr>
          <w:p w14:paraId="0A6E69A1">
            <w:pPr>
              <w:widowControl/>
              <w:spacing w:line="240" w:lineRule="auto"/>
              <w:jc w:val="left"/>
              <w:rPr>
                <w:rFonts w:ascii="宋体" w:hAnsi="宋体" w:cs="宋体"/>
                <w:kern w:val="0"/>
                <w:sz w:val="21"/>
                <w:szCs w:val="21"/>
              </w:rPr>
            </w:pPr>
            <w:r>
              <w:rPr>
                <w:rFonts w:hint="eastAsia" w:ascii="宋体" w:hAnsi="宋体" w:cs="宋体"/>
                <w:kern w:val="0"/>
                <w:sz w:val="21"/>
                <w:szCs w:val="21"/>
              </w:rPr>
              <w:t xml:space="preserve">3#主变40MVA（利旧，不在本次改造范围）    </w:t>
            </w:r>
          </w:p>
        </w:tc>
        <w:tc>
          <w:tcPr>
            <w:tcW w:w="2657" w:type="dxa"/>
            <w:vMerge w:val="continue"/>
            <w:vAlign w:val="center"/>
          </w:tcPr>
          <w:p w14:paraId="774CDE4B">
            <w:pPr>
              <w:widowControl/>
              <w:spacing w:line="240" w:lineRule="auto"/>
              <w:jc w:val="left"/>
              <w:rPr>
                <w:rFonts w:ascii="宋体" w:hAnsi="宋体" w:cs="宋体"/>
                <w:kern w:val="0"/>
                <w:sz w:val="21"/>
                <w:szCs w:val="21"/>
              </w:rPr>
            </w:pPr>
          </w:p>
        </w:tc>
      </w:tr>
      <w:tr w14:paraId="42DF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96" w:type="dxa"/>
            <w:shd w:val="clear" w:color="auto" w:fill="auto"/>
            <w:vAlign w:val="center"/>
          </w:tcPr>
          <w:p w14:paraId="57E42407">
            <w:pPr>
              <w:widowControl/>
              <w:spacing w:line="240" w:lineRule="auto"/>
              <w:jc w:val="center"/>
              <w:rPr>
                <w:rFonts w:ascii="宋体" w:hAnsi="宋体" w:cs="宋体"/>
                <w:kern w:val="0"/>
                <w:sz w:val="21"/>
                <w:szCs w:val="21"/>
              </w:rPr>
            </w:pPr>
            <w:r>
              <w:rPr>
                <w:rFonts w:hint="eastAsia" w:ascii="宋体" w:hAnsi="宋体" w:cs="宋体"/>
                <w:kern w:val="0"/>
                <w:sz w:val="21"/>
                <w:szCs w:val="21"/>
              </w:rPr>
              <w:t>2</w:t>
            </w:r>
          </w:p>
        </w:tc>
        <w:tc>
          <w:tcPr>
            <w:tcW w:w="1282" w:type="dxa"/>
            <w:shd w:val="clear" w:color="auto" w:fill="auto"/>
            <w:vAlign w:val="center"/>
          </w:tcPr>
          <w:p w14:paraId="7329E0E3">
            <w:pPr>
              <w:widowControl/>
              <w:spacing w:line="240" w:lineRule="auto"/>
              <w:jc w:val="left"/>
              <w:rPr>
                <w:rFonts w:ascii="宋体" w:hAnsi="宋体" w:cs="宋体"/>
                <w:kern w:val="0"/>
                <w:sz w:val="21"/>
                <w:szCs w:val="21"/>
              </w:rPr>
            </w:pPr>
            <w:r>
              <w:rPr>
                <w:rFonts w:hint="eastAsia" w:ascii="宋体" w:hAnsi="宋体" w:cs="宋体"/>
                <w:kern w:val="0"/>
                <w:sz w:val="21"/>
                <w:szCs w:val="21"/>
              </w:rPr>
              <w:t>110kV户外断路器</w:t>
            </w:r>
          </w:p>
        </w:tc>
        <w:tc>
          <w:tcPr>
            <w:tcW w:w="2263" w:type="dxa"/>
            <w:gridSpan w:val="2"/>
            <w:shd w:val="clear" w:color="auto" w:fill="auto"/>
            <w:vAlign w:val="center"/>
          </w:tcPr>
          <w:p w14:paraId="1059883E">
            <w:pPr>
              <w:widowControl/>
              <w:spacing w:line="240" w:lineRule="auto"/>
              <w:jc w:val="center"/>
              <w:rPr>
                <w:rFonts w:ascii="宋体" w:hAnsi="宋体" w:cs="宋体"/>
                <w:kern w:val="0"/>
                <w:sz w:val="21"/>
                <w:szCs w:val="21"/>
              </w:rPr>
            </w:pPr>
            <w:r>
              <w:rPr>
                <w:rFonts w:hint="eastAsia" w:ascii="宋体" w:hAnsi="宋体" w:cs="宋体"/>
                <w:kern w:val="0"/>
                <w:sz w:val="21"/>
                <w:szCs w:val="21"/>
              </w:rPr>
              <w:t>6台110kV-SF6断路器</w:t>
            </w:r>
          </w:p>
        </w:tc>
        <w:tc>
          <w:tcPr>
            <w:tcW w:w="3107" w:type="dxa"/>
            <w:shd w:val="clear" w:color="auto" w:fill="auto"/>
            <w:vAlign w:val="center"/>
          </w:tcPr>
          <w:p w14:paraId="16CCC771">
            <w:pPr>
              <w:widowControl/>
              <w:spacing w:line="240" w:lineRule="auto"/>
              <w:jc w:val="left"/>
              <w:rPr>
                <w:rFonts w:ascii="宋体" w:hAnsi="宋体" w:cs="宋体"/>
                <w:kern w:val="0"/>
                <w:sz w:val="21"/>
                <w:szCs w:val="21"/>
              </w:rPr>
            </w:pPr>
            <w:r>
              <w:rPr>
                <w:rFonts w:hint="eastAsia" w:ascii="宋体" w:hAnsi="宋体" w:cs="宋体"/>
                <w:kern w:val="0"/>
                <w:sz w:val="21"/>
                <w:szCs w:val="21"/>
              </w:rPr>
              <w:t>2台整组更换，4台大修</w:t>
            </w:r>
          </w:p>
        </w:tc>
        <w:tc>
          <w:tcPr>
            <w:tcW w:w="2657" w:type="dxa"/>
            <w:shd w:val="clear" w:color="auto" w:fill="auto"/>
            <w:vAlign w:val="center"/>
          </w:tcPr>
          <w:p w14:paraId="51AD6C37">
            <w:pPr>
              <w:widowControl/>
              <w:spacing w:line="240" w:lineRule="auto"/>
              <w:jc w:val="left"/>
              <w:rPr>
                <w:rFonts w:ascii="宋体" w:hAnsi="宋体" w:cs="宋体"/>
                <w:kern w:val="0"/>
                <w:sz w:val="21"/>
                <w:szCs w:val="21"/>
              </w:rPr>
            </w:pPr>
            <w:r>
              <w:rPr>
                <w:rFonts w:hint="eastAsia" w:ascii="宋体" w:hAnsi="宋体" w:cs="宋体"/>
                <w:kern w:val="0"/>
                <w:sz w:val="21"/>
                <w:szCs w:val="21"/>
              </w:rPr>
              <w:t>完善更新、利旧设备一次、二次系统及土建改造等设计。</w:t>
            </w:r>
          </w:p>
        </w:tc>
      </w:tr>
      <w:tr w14:paraId="1CC1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96" w:type="dxa"/>
            <w:shd w:val="clear" w:color="auto" w:fill="auto"/>
            <w:vAlign w:val="center"/>
          </w:tcPr>
          <w:p w14:paraId="1698CFD7">
            <w:pPr>
              <w:widowControl/>
              <w:spacing w:line="240" w:lineRule="auto"/>
              <w:jc w:val="center"/>
              <w:rPr>
                <w:rFonts w:ascii="宋体" w:hAnsi="宋体" w:cs="宋体"/>
                <w:kern w:val="0"/>
                <w:sz w:val="21"/>
                <w:szCs w:val="21"/>
              </w:rPr>
            </w:pPr>
            <w:r>
              <w:rPr>
                <w:rFonts w:hint="eastAsia" w:ascii="宋体" w:hAnsi="宋体" w:cs="宋体"/>
                <w:kern w:val="0"/>
                <w:sz w:val="21"/>
                <w:szCs w:val="21"/>
              </w:rPr>
              <w:t>3</w:t>
            </w:r>
          </w:p>
        </w:tc>
        <w:tc>
          <w:tcPr>
            <w:tcW w:w="1282" w:type="dxa"/>
            <w:shd w:val="clear" w:color="auto" w:fill="auto"/>
            <w:vAlign w:val="center"/>
          </w:tcPr>
          <w:p w14:paraId="5C7FD339">
            <w:pPr>
              <w:widowControl/>
              <w:spacing w:line="240" w:lineRule="auto"/>
              <w:jc w:val="left"/>
              <w:rPr>
                <w:rFonts w:ascii="宋体" w:hAnsi="宋体" w:cs="宋体"/>
                <w:kern w:val="0"/>
                <w:sz w:val="21"/>
                <w:szCs w:val="21"/>
              </w:rPr>
            </w:pPr>
            <w:r>
              <w:rPr>
                <w:rFonts w:hint="eastAsia" w:ascii="宋体" w:hAnsi="宋体" w:cs="宋体"/>
                <w:kern w:val="0"/>
                <w:sz w:val="21"/>
                <w:szCs w:val="21"/>
              </w:rPr>
              <w:t>10kV开关柜置换及出口扩容</w:t>
            </w:r>
          </w:p>
        </w:tc>
        <w:tc>
          <w:tcPr>
            <w:tcW w:w="2263" w:type="dxa"/>
            <w:gridSpan w:val="2"/>
            <w:shd w:val="clear" w:color="auto" w:fill="auto"/>
            <w:vAlign w:val="center"/>
          </w:tcPr>
          <w:p w14:paraId="35EECB4E">
            <w:pPr>
              <w:widowControl/>
              <w:spacing w:line="240" w:lineRule="auto"/>
              <w:jc w:val="left"/>
              <w:rPr>
                <w:rFonts w:ascii="宋体" w:hAnsi="宋体" w:cs="宋体"/>
                <w:kern w:val="0"/>
                <w:sz w:val="21"/>
                <w:szCs w:val="21"/>
              </w:rPr>
            </w:pPr>
            <w:r>
              <w:rPr>
                <w:rFonts w:hint="eastAsia" w:ascii="宋体" w:hAnsi="宋体" w:cs="宋体"/>
                <w:kern w:val="0"/>
                <w:sz w:val="21"/>
                <w:szCs w:val="21"/>
              </w:rPr>
              <w:t>10kV系统1-3段母线（含总路\PT\电容\母联）等共计42面KYN28柜。</w:t>
            </w:r>
          </w:p>
        </w:tc>
        <w:tc>
          <w:tcPr>
            <w:tcW w:w="3107" w:type="dxa"/>
            <w:shd w:val="clear" w:color="auto" w:fill="auto"/>
            <w:vAlign w:val="center"/>
          </w:tcPr>
          <w:p w14:paraId="21911610">
            <w:pPr>
              <w:widowControl/>
              <w:spacing w:line="240" w:lineRule="auto"/>
              <w:jc w:val="left"/>
              <w:rPr>
                <w:rFonts w:ascii="宋体" w:hAnsi="宋体" w:cs="宋体"/>
                <w:kern w:val="0"/>
                <w:sz w:val="21"/>
                <w:szCs w:val="21"/>
              </w:rPr>
            </w:pPr>
            <w:r>
              <w:rPr>
                <w:rFonts w:hint="eastAsia" w:ascii="宋体" w:hAnsi="宋体" w:cs="宋体"/>
                <w:kern w:val="0"/>
                <w:sz w:val="21"/>
                <w:szCs w:val="21"/>
              </w:rPr>
              <w:t>整体拆除置换更新，同时新增扩容6-10回馈线出口（综保等部分设备利旧）。</w:t>
            </w:r>
          </w:p>
        </w:tc>
        <w:tc>
          <w:tcPr>
            <w:tcW w:w="2657" w:type="dxa"/>
            <w:shd w:val="clear" w:color="auto" w:fill="auto"/>
            <w:vAlign w:val="center"/>
          </w:tcPr>
          <w:p w14:paraId="04FE5851">
            <w:pPr>
              <w:widowControl/>
              <w:spacing w:line="240" w:lineRule="auto"/>
              <w:jc w:val="left"/>
              <w:rPr>
                <w:rFonts w:ascii="宋体" w:hAnsi="宋体" w:cs="宋体"/>
                <w:kern w:val="0"/>
                <w:sz w:val="21"/>
                <w:szCs w:val="21"/>
              </w:rPr>
            </w:pPr>
            <w:r>
              <w:rPr>
                <w:rFonts w:hint="eastAsia" w:ascii="宋体" w:hAnsi="宋体" w:cs="宋体"/>
                <w:kern w:val="0"/>
                <w:sz w:val="21"/>
                <w:szCs w:val="21"/>
              </w:rPr>
              <w:t>根据需求和现场条件布局，配套完善10kV1-3段母线新增、改造、利旧设备一次、二次系统设计。</w:t>
            </w:r>
          </w:p>
        </w:tc>
      </w:tr>
      <w:tr w14:paraId="7EC8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96" w:type="dxa"/>
            <w:shd w:val="clear" w:color="auto" w:fill="auto"/>
            <w:vAlign w:val="center"/>
          </w:tcPr>
          <w:p w14:paraId="018613DD">
            <w:pPr>
              <w:widowControl/>
              <w:spacing w:line="240" w:lineRule="auto"/>
              <w:jc w:val="center"/>
              <w:rPr>
                <w:rFonts w:ascii="宋体" w:hAnsi="宋体" w:cs="宋体"/>
                <w:kern w:val="0"/>
                <w:sz w:val="21"/>
                <w:szCs w:val="21"/>
              </w:rPr>
            </w:pPr>
            <w:r>
              <w:rPr>
                <w:rFonts w:hint="eastAsia" w:ascii="宋体" w:hAnsi="宋体" w:cs="宋体"/>
                <w:kern w:val="0"/>
                <w:sz w:val="21"/>
                <w:szCs w:val="21"/>
              </w:rPr>
              <w:t>4</w:t>
            </w:r>
          </w:p>
        </w:tc>
        <w:tc>
          <w:tcPr>
            <w:tcW w:w="1282" w:type="dxa"/>
            <w:shd w:val="clear" w:color="auto" w:fill="auto"/>
            <w:vAlign w:val="center"/>
          </w:tcPr>
          <w:p w14:paraId="4C886154">
            <w:pPr>
              <w:widowControl/>
              <w:spacing w:line="240" w:lineRule="auto"/>
              <w:jc w:val="left"/>
              <w:rPr>
                <w:rFonts w:ascii="宋体" w:hAnsi="宋体" w:cs="宋体"/>
                <w:kern w:val="0"/>
                <w:sz w:val="21"/>
                <w:szCs w:val="21"/>
              </w:rPr>
            </w:pPr>
            <w:r>
              <w:rPr>
                <w:rFonts w:hint="eastAsia" w:ascii="宋体" w:hAnsi="宋体" w:cs="宋体"/>
                <w:kern w:val="0"/>
                <w:sz w:val="21"/>
                <w:szCs w:val="21"/>
              </w:rPr>
              <w:t>10kV无功补偿系统置换改造</w:t>
            </w:r>
          </w:p>
        </w:tc>
        <w:tc>
          <w:tcPr>
            <w:tcW w:w="2263" w:type="dxa"/>
            <w:gridSpan w:val="2"/>
            <w:shd w:val="clear" w:color="auto" w:fill="auto"/>
            <w:vAlign w:val="center"/>
          </w:tcPr>
          <w:p w14:paraId="17D9C3BD">
            <w:pPr>
              <w:widowControl/>
              <w:spacing w:line="240" w:lineRule="auto"/>
              <w:jc w:val="left"/>
              <w:rPr>
                <w:rFonts w:ascii="宋体" w:hAnsi="宋体" w:cs="宋体"/>
                <w:kern w:val="0"/>
                <w:sz w:val="21"/>
                <w:szCs w:val="21"/>
              </w:rPr>
            </w:pPr>
            <w:r>
              <w:rPr>
                <w:rFonts w:hint="eastAsia" w:ascii="宋体" w:hAnsi="宋体" w:cs="宋体"/>
                <w:kern w:val="0"/>
                <w:sz w:val="21"/>
                <w:szCs w:val="21"/>
              </w:rPr>
              <w:t>3000kVar静态电容补偿装置3组（总容量9000kVar）</w:t>
            </w:r>
          </w:p>
        </w:tc>
        <w:tc>
          <w:tcPr>
            <w:tcW w:w="3107" w:type="dxa"/>
            <w:shd w:val="clear" w:color="auto" w:fill="auto"/>
            <w:vAlign w:val="center"/>
          </w:tcPr>
          <w:p w14:paraId="726FB673">
            <w:pPr>
              <w:widowControl/>
              <w:spacing w:line="240" w:lineRule="auto"/>
              <w:jc w:val="left"/>
              <w:rPr>
                <w:rFonts w:ascii="宋体" w:hAnsi="宋体" w:cs="宋体"/>
                <w:kern w:val="0"/>
                <w:sz w:val="21"/>
                <w:szCs w:val="21"/>
              </w:rPr>
            </w:pPr>
            <w:r>
              <w:rPr>
                <w:rFonts w:hint="eastAsia" w:ascii="宋体" w:hAnsi="宋体" w:cs="宋体"/>
                <w:kern w:val="0"/>
                <w:sz w:val="21"/>
                <w:szCs w:val="21"/>
              </w:rPr>
              <w:t>整体拆除置换更新，总容量提升至15000—18000kVar，采用SVG动态无功补偿装置。</w:t>
            </w:r>
          </w:p>
        </w:tc>
        <w:tc>
          <w:tcPr>
            <w:tcW w:w="2657" w:type="dxa"/>
            <w:shd w:val="clear" w:color="auto" w:fill="auto"/>
            <w:vAlign w:val="center"/>
          </w:tcPr>
          <w:p w14:paraId="6A9EB3AF">
            <w:pPr>
              <w:widowControl/>
              <w:spacing w:line="240" w:lineRule="auto"/>
              <w:jc w:val="left"/>
              <w:rPr>
                <w:rFonts w:ascii="宋体" w:hAnsi="宋体" w:cs="宋体"/>
                <w:kern w:val="0"/>
                <w:sz w:val="21"/>
                <w:szCs w:val="21"/>
              </w:rPr>
            </w:pPr>
            <w:r>
              <w:rPr>
                <w:rFonts w:hint="eastAsia" w:ascii="宋体" w:hAnsi="宋体" w:cs="宋体"/>
                <w:kern w:val="0"/>
                <w:sz w:val="21"/>
                <w:szCs w:val="21"/>
              </w:rPr>
              <w:t>根据标准规范和需求，完善相关设计。</w:t>
            </w:r>
          </w:p>
        </w:tc>
      </w:tr>
      <w:tr w14:paraId="1A6E2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96" w:type="dxa"/>
            <w:shd w:val="clear" w:color="auto" w:fill="auto"/>
            <w:vAlign w:val="center"/>
          </w:tcPr>
          <w:p w14:paraId="0E440EC3">
            <w:pPr>
              <w:widowControl/>
              <w:spacing w:line="240" w:lineRule="auto"/>
              <w:jc w:val="center"/>
              <w:rPr>
                <w:rFonts w:ascii="宋体" w:hAnsi="宋体" w:cs="宋体"/>
                <w:kern w:val="0"/>
                <w:sz w:val="21"/>
                <w:szCs w:val="21"/>
              </w:rPr>
            </w:pPr>
            <w:r>
              <w:rPr>
                <w:rFonts w:hint="eastAsia" w:ascii="宋体" w:hAnsi="宋体" w:cs="宋体"/>
                <w:kern w:val="0"/>
                <w:sz w:val="21"/>
                <w:szCs w:val="21"/>
              </w:rPr>
              <w:t>5</w:t>
            </w:r>
          </w:p>
        </w:tc>
        <w:tc>
          <w:tcPr>
            <w:tcW w:w="1282" w:type="dxa"/>
            <w:shd w:val="clear" w:color="auto" w:fill="auto"/>
            <w:vAlign w:val="center"/>
          </w:tcPr>
          <w:p w14:paraId="11CE8E24">
            <w:pPr>
              <w:widowControl/>
              <w:spacing w:line="240" w:lineRule="auto"/>
              <w:jc w:val="left"/>
              <w:rPr>
                <w:rFonts w:ascii="宋体" w:hAnsi="宋体" w:cs="宋体"/>
                <w:kern w:val="0"/>
                <w:sz w:val="21"/>
                <w:szCs w:val="21"/>
              </w:rPr>
            </w:pPr>
            <w:r>
              <w:rPr>
                <w:rFonts w:hint="eastAsia" w:ascii="宋体" w:hAnsi="宋体" w:cs="宋体"/>
                <w:kern w:val="0"/>
                <w:sz w:val="21"/>
                <w:szCs w:val="21"/>
              </w:rPr>
              <w:t>3#主变大修</w:t>
            </w:r>
          </w:p>
        </w:tc>
        <w:tc>
          <w:tcPr>
            <w:tcW w:w="2263" w:type="dxa"/>
            <w:gridSpan w:val="2"/>
            <w:shd w:val="clear" w:color="auto" w:fill="auto"/>
            <w:vAlign w:val="center"/>
          </w:tcPr>
          <w:p w14:paraId="42199209">
            <w:pPr>
              <w:widowControl/>
              <w:spacing w:line="240" w:lineRule="auto"/>
              <w:jc w:val="left"/>
              <w:rPr>
                <w:rFonts w:ascii="宋体" w:hAnsi="宋体" w:cs="宋体"/>
                <w:kern w:val="0"/>
                <w:sz w:val="21"/>
                <w:szCs w:val="21"/>
              </w:rPr>
            </w:pPr>
            <w:r>
              <w:rPr>
                <w:rFonts w:hint="eastAsia" w:ascii="宋体" w:hAnsi="宋体" w:cs="宋体"/>
                <w:kern w:val="0"/>
                <w:sz w:val="21"/>
                <w:szCs w:val="21"/>
              </w:rPr>
              <w:t>容量40MVA，110/10kV两卷有载调压</w:t>
            </w:r>
          </w:p>
        </w:tc>
        <w:tc>
          <w:tcPr>
            <w:tcW w:w="3107" w:type="dxa"/>
            <w:shd w:val="clear" w:color="auto" w:fill="auto"/>
            <w:vAlign w:val="center"/>
          </w:tcPr>
          <w:p w14:paraId="220E72B0">
            <w:pPr>
              <w:widowControl/>
              <w:spacing w:line="240" w:lineRule="auto"/>
              <w:jc w:val="left"/>
              <w:rPr>
                <w:rFonts w:ascii="宋体" w:hAnsi="宋体" w:cs="宋体"/>
                <w:kern w:val="0"/>
                <w:sz w:val="21"/>
                <w:szCs w:val="21"/>
              </w:rPr>
            </w:pPr>
            <w:r>
              <w:rPr>
                <w:rFonts w:hint="eastAsia" w:ascii="宋体" w:hAnsi="宋体" w:cs="宋体"/>
                <w:kern w:val="0"/>
                <w:sz w:val="21"/>
                <w:szCs w:val="21"/>
              </w:rPr>
              <w:t>主变及调压变吊芯大修，防腐，渗漏油处理及滤油补油，中性点执行机构刀闸、密封垫及易损件更换，附属特殊试验调试等。</w:t>
            </w:r>
          </w:p>
        </w:tc>
        <w:tc>
          <w:tcPr>
            <w:tcW w:w="2657" w:type="dxa"/>
            <w:shd w:val="clear" w:color="auto" w:fill="auto"/>
            <w:vAlign w:val="center"/>
          </w:tcPr>
          <w:p w14:paraId="6004FE4D">
            <w:pPr>
              <w:widowControl/>
              <w:spacing w:line="240" w:lineRule="auto"/>
              <w:jc w:val="left"/>
              <w:rPr>
                <w:rFonts w:ascii="宋体" w:hAnsi="宋体" w:cs="宋体"/>
                <w:kern w:val="0"/>
                <w:sz w:val="21"/>
                <w:szCs w:val="21"/>
              </w:rPr>
            </w:pPr>
            <w:r>
              <w:rPr>
                <w:rFonts w:hint="eastAsia" w:ascii="宋体" w:hAnsi="宋体" w:cs="宋体"/>
                <w:kern w:val="0"/>
                <w:sz w:val="21"/>
                <w:szCs w:val="21"/>
              </w:rPr>
              <w:t>现场踏勘统计缺陷，完善大修工程量清单及概算编制。</w:t>
            </w:r>
          </w:p>
        </w:tc>
      </w:tr>
      <w:tr w14:paraId="2BEE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96" w:type="dxa"/>
            <w:vMerge w:val="restart"/>
            <w:shd w:val="clear" w:color="auto" w:fill="auto"/>
            <w:vAlign w:val="center"/>
          </w:tcPr>
          <w:p w14:paraId="64214C0D">
            <w:pPr>
              <w:widowControl/>
              <w:spacing w:line="240" w:lineRule="auto"/>
              <w:jc w:val="center"/>
              <w:rPr>
                <w:rFonts w:ascii="宋体" w:hAnsi="宋体" w:cs="宋体"/>
                <w:kern w:val="0"/>
                <w:sz w:val="21"/>
                <w:szCs w:val="21"/>
              </w:rPr>
            </w:pPr>
            <w:r>
              <w:rPr>
                <w:rFonts w:hint="eastAsia" w:ascii="宋体" w:hAnsi="宋体" w:cs="宋体"/>
                <w:kern w:val="0"/>
                <w:sz w:val="21"/>
                <w:szCs w:val="21"/>
              </w:rPr>
              <w:t>6</w:t>
            </w:r>
          </w:p>
        </w:tc>
        <w:tc>
          <w:tcPr>
            <w:tcW w:w="1282" w:type="dxa"/>
            <w:vMerge w:val="restart"/>
            <w:shd w:val="clear" w:color="auto" w:fill="auto"/>
            <w:vAlign w:val="center"/>
          </w:tcPr>
          <w:p w14:paraId="4347AC33">
            <w:pPr>
              <w:widowControl/>
              <w:spacing w:line="240" w:lineRule="auto"/>
              <w:jc w:val="left"/>
              <w:rPr>
                <w:rFonts w:ascii="宋体" w:hAnsi="宋体" w:cs="宋体"/>
                <w:kern w:val="0"/>
                <w:sz w:val="21"/>
                <w:szCs w:val="21"/>
              </w:rPr>
            </w:pPr>
            <w:r>
              <w:rPr>
                <w:rFonts w:hint="eastAsia" w:ascii="宋体" w:hAnsi="宋体" w:cs="宋体"/>
                <w:kern w:val="0"/>
                <w:sz w:val="21"/>
                <w:szCs w:val="21"/>
              </w:rPr>
              <w:t>110kV开关场设备设施大修及增容工程配套、附属设备增容更新置换</w:t>
            </w:r>
          </w:p>
        </w:tc>
        <w:tc>
          <w:tcPr>
            <w:tcW w:w="456" w:type="dxa"/>
            <w:shd w:val="clear" w:color="auto" w:fill="auto"/>
            <w:vAlign w:val="center"/>
          </w:tcPr>
          <w:p w14:paraId="362E3910">
            <w:pPr>
              <w:widowControl/>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1807" w:type="dxa"/>
            <w:shd w:val="clear" w:color="auto" w:fill="auto"/>
            <w:vAlign w:val="center"/>
          </w:tcPr>
          <w:p w14:paraId="388CFAF8">
            <w:pPr>
              <w:widowControl/>
              <w:spacing w:line="240" w:lineRule="auto"/>
              <w:jc w:val="left"/>
              <w:rPr>
                <w:rFonts w:ascii="宋体" w:hAnsi="宋体" w:cs="宋体"/>
                <w:kern w:val="0"/>
                <w:sz w:val="21"/>
                <w:szCs w:val="21"/>
              </w:rPr>
            </w:pPr>
            <w:r>
              <w:rPr>
                <w:rFonts w:hint="eastAsia" w:ascii="宋体" w:hAnsi="宋体" w:cs="宋体"/>
                <w:kern w:val="0"/>
                <w:sz w:val="21"/>
                <w:szCs w:val="21"/>
              </w:rPr>
              <w:t>110kV母线9组</w:t>
            </w:r>
          </w:p>
        </w:tc>
        <w:tc>
          <w:tcPr>
            <w:tcW w:w="3107" w:type="dxa"/>
            <w:shd w:val="clear" w:color="auto" w:fill="auto"/>
            <w:vAlign w:val="center"/>
          </w:tcPr>
          <w:p w14:paraId="72879DE5">
            <w:pPr>
              <w:widowControl/>
              <w:spacing w:line="240" w:lineRule="auto"/>
              <w:jc w:val="left"/>
              <w:rPr>
                <w:rFonts w:ascii="宋体" w:hAnsi="宋体" w:cs="宋体"/>
                <w:kern w:val="0"/>
                <w:sz w:val="21"/>
                <w:szCs w:val="21"/>
              </w:rPr>
            </w:pPr>
            <w:r>
              <w:rPr>
                <w:rFonts w:hint="eastAsia" w:ascii="宋体" w:hAnsi="宋体" w:cs="宋体"/>
                <w:kern w:val="0"/>
                <w:sz w:val="21"/>
                <w:szCs w:val="21"/>
              </w:rPr>
              <w:t>母线检修，更换耐张线夹相关挂件</w:t>
            </w:r>
          </w:p>
        </w:tc>
        <w:tc>
          <w:tcPr>
            <w:tcW w:w="2657" w:type="dxa"/>
            <w:vMerge w:val="restart"/>
            <w:shd w:val="clear" w:color="auto" w:fill="auto"/>
            <w:vAlign w:val="center"/>
          </w:tcPr>
          <w:p w14:paraId="04D27805">
            <w:pPr>
              <w:widowControl/>
              <w:spacing w:line="240" w:lineRule="auto"/>
              <w:jc w:val="left"/>
              <w:rPr>
                <w:rFonts w:ascii="宋体" w:hAnsi="宋体" w:cs="宋体"/>
                <w:kern w:val="0"/>
                <w:sz w:val="21"/>
                <w:szCs w:val="21"/>
              </w:rPr>
            </w:pPr>
            <w:r>
              <w:rPr>
                <w:rFonts w:hint="eastAsia" w:ascii="宋体" w:hAnsi="宋体" w:cs="宋体"/>
                <w:kern w:val="0"/>
                <w:sz w:val="21"/>
                <w:szCs w:val="21"/>
              </w:rPr>
              <w:t>变电站室外母线、主变间隔、线路间隔绝缘悬瓷及金具、构架等检维修。其中涉及因增容后需配套拆除、新装（置换）的刀闸、CT、PT等设备选型设计，现场踏勘统计缺陷，完善大修工程量清单及概算编制。</w:t>
            </w:r>
          </w:p>
        </w:tc>
      </w:tr>
      <w:tr w14:paraId="24CF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396" w:type="dxa"/>
            <w:vMerge w:val="continue"/>
            <w:vAlign w:val="center"/>
          </w:tcPr>
          <w:p w14:paraId="2EF38F65">
            <w:pPr>
              <w:widowControl/>
              <w:spacing w:line="240" w:lineRule="auto"/>
              <w:jc w:val="left"/>
              <w:rPr>
                <w:rFonts w:ascii="宋体" w:hAnsi="宋体" w:cs="宋体"/>
                <w:kern w:val="0"/>
                <w:sz w:val="21"/>
                <w:szCs w:val="21"/>
              </w:rPr>
            </w:pPr>
          </w:p>
        </w:tc>
        <w:tc>
          <w:tcPr>
            <w:tcW w:w="1282" w:type="dxa"/>
            <w:vMerge w:val="continue"/>
            <w:vAlign w:val="center"/>
          </w:tcPr>
          <w:p w14:paraId="20BF8961">
            <w:pPr>
              <w:widowControl/>
              <w:spacing w:line="240" w:lineRule="auto"/>
              <w:jc w:val="left"/>
              <w:rPr>
                <w:rFonts w:ascii="宋体" w:hAnsi="宋体" w:cs="宋体"/>
                <w:kern w:val="0"/>
                <w:sz w:val="21"/>
                <w:szCs w:val="21"/>
              </w:rPr>
            </w:pPr>
          </w:p>
        </w:tc>
        <w:tc>
          <w:tcPr>
            <w:tcW w:w="456" w:type="dxa"/>
            <w:shd w:val="clear" w:color="auto" w:fill="auto"/>
            <w:vAlign w:val="center"/>
          </w:tcPr>
          <w:p w14:paraId="00976D8B">
            <w:pPr>
              <w:widowControl/>
              <w:spacing w:line="240" w:lineRule="auto"/>
              <w:jc w:val="center"/>
              <w:rPr>
                <w:rFonts w:ascii="宋体" w:hAnsi="宋体" w:cs="宋体"/>
                <w:kern w:val="0"/>
                <w:sz w:val="21"/>
                <w:szCs w:val="21"/>
              </w:rPr>
            </w:pPr>
            <w:r>
              <w:rPr>
                <w:rFonts w:hint="eastAsia" w:ascii="宋体" w:hAnsi="宋体" w:cs="宋体"/>
                <w:kern w:val="0"/>
                <w:sz w:val="21"/>
                <w:szCs w:val="21"/>
              </w:rPr>
              <w:t>2</w:t>
            </w:r>
          </w:p>
        </w:tc>
        <w:tc>
          <w:tcPr>
            <w:tcW w:w="1807" w:type="dxa"/>
            <w:shd w:val="clear" w:color="auto" w:fill="auto"/>
            <w:vAlign w:val="center"/>
          </w:tcPr>
          <w:p w14:paraId="4BB0623D">
            <w:pPr>
              <w:widowControl/>
              <w:spacing w:line="240" w:lineRule="auto"/>
              <w:jc w:val="left"/>
              <w:rPr>
                <w:rFonts w:ascii="宋体" w:hAnsi="宋体" w:cs="宋体"/>
                <w:kern w:val="0"/>
                <w:sz w:val="21"/>
                <w:szCs w:val="21"/>
              </w:rPr>
            </w:pPr>
            <w:r>
              <w:rPr>
                <w:rFonts w:hint="eastAsia" w:ascii="宋体" w:hAnsi="宋体" w:cs="宋体"/>
                <w:kern w:val="0"/>
                <w:sz w:val="21"/>
                <w:szCs w:val="21"/>
              </w:rPr>
              <w:t>10kV母线桥270米</w:t>
            </w:r>
          </w:p>
        </w:tc>
        <w:tc>
          <w:tcPr>
            <w:tcW w:w="3107" w:type="dxa"/>
            <w:shd w:val="clear" w:color="auto" w:fill="auto"/>
            <w:vAlign w:val="center"/>
          </w:tcPr>
          <w:p w14:paraId="1B19121F">
            <w:pPr>
              <w:widowControl/>
              <w:spacing w:line="240" w:lineRule="auto"/>
              <w:jc w:val="left"/>
              <w:rPr>
                <w:rFonts w:ascii="宋体" w:hAnsi="宋体" w:cs="宋体"/>
                <w:kern w:val="0"/>
                <w:sz w:val="21"/>
                <w:szCs w:val="21"/>
              </w:rPr>
            </w:pPr>
            <w:r>
              <w:rPr>
                <w:rFonts w:hint="eastAsia" w:ascii="宋体" w:hAnsi="宋体" w:cs="宋体"/>
                <w:kern w:val="0"/>
                <w:sz w:val="21"/>
                <w:szCs w:val="21"/>
              </w:rPr>
              <w:t>母线桥检修（单相双层母线）270米</w:t>
            </w:r>
          </w:p>
        </w:tc>
        <w:tc>
          <w:tcPr>
            <w:tcW w:w="2657" w:type="dxa"/>
            <w:vMerge w:val="continue"/>
            <w:vAlign w:val="center"/>
          </w:tcPr>
          <w:p w14:paraId="0ED3BD6F">
            <w:pPr>
              <w:widowControl/>
              <w:spacing w:line="240" w:lineRule="auto"/>
              <w:jc w:val="left"/>
              <w:rPr>
                <w:rFonts w:ascii="宋体" w:hAnsi="宋体" w:cs="宋体"/>
                <w:kern w:val="0"/>
                <w:sz w:val="21"/>
                <w:szCs w:val="21"/>
              </w:rPr>
            </w:pPr>
          </w:p>
        </w:tc>
      </w:tr>
      <w:tr w14:paraId="2979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96" w:type="dxa"/>
            <w:vMerge w:val="continue"/>
            <w:vAlign w:val="center"/>
          </w:tcPr>
          <w:p w14:paraId="04808FA4">
            <w:pPr>
              <w:widowControl/>
              <w:spacing w:line="240" w:lineRule="auto"/>
              <w:jc w:val="left"/>
              <w:rPr>
                <w:rFonts w:ascii="宋体" w:hAnsi="宋体" w:cs="宋体"/>
                <w:kern w:val="0"/>
                <w:sz w:val="21"/>
                <w:szCs w:val="21"/>
              </w:rPr>
            </w:pPr>
          </w:p>
        </w:tc>
        <w:tc>
          <w:tcPr>
            <w:tcW w:w="1282" w:type="dxa"/>
            <w:vMerge w:val="continue"/>
            <w:vAlign w:val="center"/>
          </w:tcPr>
          <w:p w14:paraId="67987A4A">
            <w:pPr>
              <w:widowControl/>
              <w:spacing w:line="240" w:lineRule="auto"/>
              <w:jc w:val="left"/>
              <w:rPr>
                <w:rFonts w:ascii="宋体" w:hAnsi="宋体" w:cs="宋体"/>
                <w:kern w:val="0"/>
                <w:sz w:val="21"/>
                <w:szCs w:val="21"/>
              </w:rPr>
            </w:pPr>
          </w:p>
        </w:tc>
        <w:tc>
          <w:tcPr>
            <w:tcW w:w="456" w:type="dxa"/>
            <w:shd w:val="clear" w:color="auto" w:fill="auto"/>
            <w:vAlign w:val="center"/>
          </w:tcPr>
          <w:p w14:paraId="59A28008">
            <w:pPr>
              <w:widowControl/>
              <w:spacing w:line="240" w:lineRule="auto"/>
              <w:jc w:val="center"/>
              <w:rPr>
                <w:rFonts w:ascii="宋体" w:hAnsi="宋体" w:cs="宋体"/>
                <w:kern w:val="0"/>
                <w:sz w:val="21"/>
                <w:szCs w:val="21"/>
              </w:rPr>
            </w:pPr>
            <w:r>
              <w:rPr>
                <w:rFonts w:hint="eastAsia" w:ascii="宋体" w:hAnsi="宋体" w:cs="宋体"/>
                <w:kern w:val="0"/>
                <w:sz w:val="21"/>
                <w:szCs w:val="21"/>
              </w:rPr>
              <w:t>3</w:t>
            </w:r>
          </w:p>
        </w:tc>
        <w:tc>
          <w:tcPr>
            <w:tcW w:w="1807" w:type="dxa"/>
            <w:shd w:val="clear" w:color="auto" w:fill="auto"/>
            <w:vAlign w:val="center"/>
          </w:tcPr>
          <w:p w14:paraId="16B63EE1">
            <w:pPr>
              <w:widowControl/>
              <w:spacing w:line="240" w:lineRule="auto"/>
              <w:jc w:val="left"/>
              <w:rPr>
                <w:rFonts w:ascii="宋体" w:hAnsi="宋体" w:cs="宋体"/>
                <w:kern w:val="0"/>
                <w:sz w:val="21"/>
                <w:szCs w:val="21"/>
              </w:rPr>
            </w:pPr>
            <w:r>
              <w:rPr>
                <w:rFonts w:hint="eastAsia" w:ascii="宋体" w:hAnsi="宋体" w:cs="宋体"/>
                <w:kern w:val="0"/>
                <w:sz w:val="21"/>
                <w:szCs w:val="21"/>
              </w:rPr>
              <w:t>10kV母线桥支柱绝缘子252个</w:t>
            </w:r>
          </w:p>
        </w:tc>
        <w:tc>
          <w:tcPr>
            <w:tcW w:w="3107" w:type="dxa"/>
            <w:shd w:val="clear" w:color="auto" w:fill="auto"/>
            <w:vAlign w:val="center"/>
          </w:tcPr>
          <w:p w14:paraId="1492ECDC">
            <w:pPr>
              <w:widowControl/>
              <w:spacing w:line="240" w:lineRule="auto"/>
              <w:jc w:val="left"/>
              <w:rPr>
                <w:rFonts w:ascii="宋体" w:hAnsi="宋体" w:cs="宋体"/>
                <w:kern w:val="0"/>
                <w:sz w:val="21"/>
                <w:szCs w:val="21"/>
              </w:rPr>
            </w:pPr>
            <w:r>
              <w:rPr>
                <w:rFonts w:hint="eastAsia" w:ascii="宋体" w:hAnsi="宋体" w:cs="宋体"/>
                <w:kern w:val="0"/>
                <w:sz w:val="21"/>
                <w:szCs w:val="21"/>
              </w:rPr>
              <w:t>母线桥支柱绝缘子检修（252个）,母线及间隔金具更换</w:t>
            </w:r>
          </w:p>
        </w:tc>
        <w:tc>
          <w:tcPr>
            <w:tcW w:w="2657" w:type="dxa"/>
            <w:vMerge w:val="continue"/>
            <w:vAlign w:val="center"/>
          </w:tcPr>
          <w:p w14:paraId="07369F6A">
            <w:pPr>
              <w:widowControl/>
              <w:spacing w:line="240" w:lineRule="auto"/>
              <w:jc w:val="left"/>
              <w:rPr>
                <w:rFonts w:ascii="宋体" w:hAnsi="宋体" w:cs="宋体"/>
                <w:kern w:val="0"/>
                <w:sz w:val="21"/>
                <w:szCs w:val="21"/>
              </w:rPr>
            </w:pPr>
          </w:p>
        </w:tc>
      </w:tr>
      <w:tr w14:paraId="6603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96" w:type="dxa"/>
            <w:vMerge w:val="continue"/>
            <w:vAlign w:val="center"/>
          </w:tcPr>
          <w:p w14:paraId="73A65E4D">
            <w:pPr>
              <w:widowControl/>
              <w:spacing w:line="240" w:lineRule="auto"/>
              <w:jc w:val="left"/>
              <w:rPr>
                <w:rFonts w:ascii="宋体" w:hAnsi="宋体" w:cs="宋体"/>
                <w:kern w:val="0"/>
                <w:sz w:val="21"/>
                <w:szCs w:val="21"/>
              </w:rPr>
            </w:pPr>
          </w:p>
        </w:tc>
        <w:tc>
          <w:tcPr>
            <w:tcW w:w="1282" w:type="dxa"/>
            <w:vMerge w:val="continue"/>
            <w:vAlign w:val="center"/>
          </w:tcPr>
          <w:p w14:paraId="3DB1DAA6">
            <w:pPr>
              <w:widowControl/>
              <w:spacing w:line="240" w:lineRule="auto"/>
              <w:jc w:val="left"/>
              <w:rPr>
                <w:rFonts w:ascii="宋体" w:hAnsi="宋体" w:cs="宋体"/>
                <w:kern w:val="0"/>
                <w:sz w:val="21"/>
                <w:szCs w:val="21"/>
              </w:rPr>
            </w:pPr>
          </w:p>
        </w:tc>
        <w:tc>
          <w:tcPr>
            <w:tcW w:w="456" w:type="dxa"/>
            <w:tcBorders>
              <w:bottom w:val="single" w:color="auto" w:sz="4" w:space="0"/>
            </w:tcBorders>
            <w:shd w:val="clear" w:color="auto" w:fill="auto"/>
            <w:vAlign w:val="center"/>
          </w:tcPr>
          <w:p w14:paraId="5DB9842F">
            <w:pPr>
              <w:widowControl/>
              <w:spacing w:line="240" w:lineRule="auto"/>
              <w:jc w:val="center"/>
              <w:rPr>
                <w:rFonts w:ascii="宋体" w:hAnsi="宋体" w:cs="宋体"/>
                <w:kern w:val="0"/>
                <w:sz w:val="21"/>
                <w:szCs w:val="21"/>
              </w:rPr>
            </w:pPr>
            <w:r>
              <w:rPr>
                <w:rFonts w:hint="eastAsia" w:ascii="宋体" w:hAnsi="宋体" w:cs="宋体"/>
                <w:kern w:val="0"/>
                <w:sz w:val="21"/>
                <w:szCs w:val="21"/>
              </w:rPr>
              <w:t>4</w:t>
            </w:r>
          </w:p>
        </w:tc>
        <w:tc>
          <w:tcPr>
            <w:tcW w:w="1807" w:type="dxa"/>
            <w:tcBorders>
              <w:bottom w:val="single" w:color="auto" w:sz="4" w:space="0"/>
            </w:tcBorders>
            <w:shd w:val="clear" w:color="auto" w:fill="auto"/>
            <w:vAlign w:val="center"/>
          </w:tcPr>
          <w:p w14:paraId="709B98F8">
            <w:pPr>
              <w:widowControl/>
              <w:spacing w:line="240" w:lineRule="auto"/>
              <w:jc w:val="left"/>
              <w:rPr>
                <w:rFonts w:ascii="宋体" w:hAnsi="宋体" w:cs="宋体"/>
                <w:kern w:val="0"/>
                <w:sz w:val="21"/>
                <w:szCs w:val="21"/>
              </w:rPr>
            </w:pPr>
            <w:r>
              <w:rPr>
                <w:rFonts w:hint="eastAsia" w:ascii="宋体" w:hAnsi="宋体" w:cs="宋体"/>
                <w:kern w:val="0"/>
                <w:sz w:val="21"/>
                <w:szCs w:val="21"/>
              </w:rPr>
              <w:t>10kV母线绝缘盒117个</w:t>
            </w:r>
          </w:p>
        </w:tc>
        <w:tc>
          <w:tcPr>
            <w:tcW w:w="3107" w:type="dxa"/>
            <w:tcBorders>
              <w:bottom w:val="single" w:color="auto" w:sz="4" w:space="0"/>
            </w:tcBorders>
            <w:shd w:val="clear" w:color="auto" w:fill="auto"/>
            <w:vAlign w:val="center"/>
          </w:tcPr>
          <w:p w14:paraId="502D0309">
            <w:pPr>
              <w:widowControl/>
              <w:spacing w:line="240" w:lineRule="auto"/>
              <w:jc w:val="left"/>
              <w:rPr>
                <w:rFonts w:ascii="宋体" w:hAnsi="宋体" w:cs="宋体"/>
                <w:kern w:val="0"/>
                <w:sz w:val="21"/>
                <w:szCs w:val="21"/>
              </w:rPr>
            </w:pPr>
            <w:r>
              <w:rPr>
                <w:rFonts w:hint="eastAsia" w:ascii="宋体" w:hAnsi="宋体" w:cs="宋体"/>
                <w:kern w:val="0"/>
                <w:sz w:val="21"/>
                <w:szCs w:val="21"/>
              </w:rPr>
              <w:t>母线绝缘盒更换117个</w:t>
            </w:r>
          </w:p>
        </w:tc>
        <w:tc>
          <w:tcPr>
            <w:tcW w:w="2657" w:type="dxa"/>
            <w:vMerge w:val="continue"/>
            <w:tcBorders>
              <w:bottom w:val="single" w:color="auto" w:sz="4" w:space="0"/>
            </w:tcBorders>
            <w:vAlign w:val="center"/>
          </w:tcPr>
          <w:p w14:paraId="157C80A7">
            <w:pPr>
              <w:widowControl/>
              <w:spacing w:line="240" w:lineRule="auto"/>
              <w:jc w:val="left"/>
              <w:rPr>
                <w:rFonts w:ascii="宋体" w:hAnsi="宋体" w:cs="宋体"/>
                <w:kern w:val="0"/>
                <w:sz w:val="21"/>
                <w:szCs w:val="21"/>
              </w:rPr>
            </w:pPr>
          </w:p>
        </w:tc>
      </w:tr>
      <w:tr w14:paraId="2B8F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96" w:type="dxa"/>
            <w:vMerge w:val="continue"/>
            <w:vAlign w:val="center"/>
          </w:tcPr>
          <w:p w14:paraId="7A8C940F">
            <w:pPr>
              <w:widowControl/>
              <w:spacing w:line="240" w:lineRule="auto"/>
              <w:jc w:val="left"/>
              <w:rPr>
                <w:rFonts w:ascii="宋体" w:hAnsi="宋体" w:cs="宋体"/>
                <w:kern w:val="0"/>
                <w:sz w:val="21"/>
                <w:szCs w:val="21"/>
              </w:rPr>
            </w:pPr>
          </w:p>
        </w:tc>
        <w:tc>
          <w:tcPr>
            <w:tcW w:w="1282" w:type="dxa"/>
            <w:vMerge w:val="continue"/>
            <w:vAlign w:val="center"/>
          </w:tcPr>
          <w:p w14:paraId="4D1A1DAC">
            <w:pPr>
              <w:widowControl/>
              <w:spacing w:line="240" w:lineRule="auto"/>
              <w:jc w:val="left"/>
              <w:rPr>
                <w:rFonts w:ascii="宋体" w:hAnsi="宋体" w:cs="宋体"/>
                <w:kern w:val="0"/>
                <w:sz w:val="21"/>
                <w:szCs w:val="21"/>
              </w:rPr>
            </w:pPr>
          </w:p>
        </w:tc>
        <w:tc>
          <w:tcPr>
            <w:tcW w:w="456" w:type="dxa"/>
            <w:shd w:val="clear" w:color="auto" w:fill="auto"/>
            <w:vAlign w:val="center"/>
          </w:tcPr>
          <w:p w14:paraId="12C24B5C">
            <w:pPr>
              <w:widowControl/>
              <w:spacing w:line="240" w:lineRule="auto"/>
              <w:jc w:val="center"/>
              <w:rPr>
                <w:rFonts w:ascii="宋体" w:hAnsi="宋体" w:cs="宋体"/>
                <w:kern w:val="0"/>
                <w:sz w:val="21"/>
                <w:szCs w:val="21"/>
              </w:rPr>
            </w:pPr>
            <w:r>
              <w:rPr>
                <w:rFonts w:hint="eastAsia" w:ascii="宋体" w:hAnsi="宋体" w:cs="宋体"/>
                <w:kern w:val="0"/>
                <w:sz w:val="21"/>
                <w:szCs w:val="21"/>
              </w:rPr>
              <w:t>5</w:t>
            </w:r>
          </w:p>
        </w:tc>
        <w:tc>
          <w:tcPr>
            <w:tcW w:w="1807" w:type="dxa"/>
            <w:shd w:val="clear" w:color="auto" w:fill="auto"/>
            <w:vAlign w:val="center"/>
          </w:tcPr>
          <w:p w14:paraId="515E7A1D">
            <w:pPr>
              <w:widowControl/>
              <w:spacing w:line="240" w:lineRule="auto"/>
              <w:jc w:val="left"/>
              <w:rPr>
                <w:rFonts w:ascii="宋体" w:hAnsi="宋体" w:cs="宋体"/>
                <w:kern w:val="0"/>
                <w:sz w:val="21"/>
                <w:szCs w:val="21"/>
              </w:rPr>
            </w:pPr>
            <w:r>
              <w:rPr>
                <w:rFonts w:hint="eastAsia" w:ascii="宋体" w:hAnsi="宋体" w:cs="宋体"/>
                <w:kern w:val="0"/>
                <w:sz w:val="21"/>
                <w:szCs w:val="21"/>
              </w:rPr>
              <w:t>110kV刀闸19组</w:t>
            </w:r>
          </w:p>
        </w:tc>
        <w:tc>
          <w:tcPr>
            <w:tcW w:w="3107" w:type="dxa"/>
            <w:shd w:val="clear" w:color="auto" w:fill="auto"/>
            <w:vAlign w:val="center"/>
          </w:tcPr>
          <w:p w14:paraId="5BFE0B74">
            <w:pPr>
              <w:widowControl/>
              <w:spacing w:line="240" w:lineRule="auto"/>
              <w:jc w:val="left"/>
              <w:rPr>
                <w:rFonts w:ascii="宋体" w:hAnsi="宋体" w:cs="宋体"/>
                <w:kern w:val="0"/>
                <w:sz w:val="21"/>
                <w:szCs w:val="21"/>
              </w:rPr>
            </w:pPr>
            <w:r>
              <w:rPr>
                <w:rFonts w:hint="eastAsia" w:ascii="宋体" w:hAnsi="宋体" w:cs="宋体"/>
                <w:kern w:val="0"/>
                <w:sz w:val="21"/>
                <w:szCs w:val="21"/>
              </w:rPr>
              <w:t>刀闸大修19组</w:t>
            </w:r>
            <w:r>
              <w:rPr>
                <w:rFonts w:ascii="宋体" w:hAnsi="宋体" w:cs="宋体"/>
                <w:kern w:val="0"/>
                <w:sz w:val="21"/>
                <w:szCs w:val="21"/>
              </w:rPr>
              <w:t xml:space="preserve"> </w:t>
            </w:r>
          </w:p>
        </w:tc>
        <w:tc>
          <w:tcPr>
            <w:tcW w:w="2657" w:type="dxa"/>
            <w:vMerge w:val="continue"/>
            <w:vAlign w:val="center"/>
          </w:tcPr>
          <w:p w14:paraId="283B845F">
            <w:pPr>
              <w:widowControl/>
              <w:spacing w:line="240" w:lineRule="auto"/>
              <w:jc w:val="left"/>
              <w:rPr>
                <w:rFonts w:ascii="宋体" w:hAnsi="宋体" w:cs="宋体"/>
                <w:kern w:val="0"/>
                <w:sz w:val="21"/>
                <w:szCs w:val="21"/>
              </w:rPr>
            </w:pPr>
          </w:p>
        </w:tc>
      </w:tr>
      <w:tr w14:paraId="45EE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6" w:type="dxa"/>
            <w:vMerge w:val="continue"/>
            <w:vAlign w:val="center"/>
          </w:tcPr>
          <w:p w14:paraId="0357F87B">
            <w:pPr>
              <w:widowControl/>
              <w:spacing w:line="240" w:lineRule="auto"/>
              <w:jc w:val="left"/>
              <w:rPr>
                <w:rFonts w:ascii="宋体" w:hAnsi="宋体" w:cs="宋体"/>
                <w:kern w:val="0"/>
                <w:sz w:val="21"/>
                <w:szCs w:val="21"/>
              </w:rPr>
            </w:pPr>
          </w:p>
        </w:tc>
        <w:tc>
          <w:tcPr>
            <w:tcW w:w="1282" w:type="dxa"/>
            <w:vMerge w:val="continue"/>
            <w:vAlign w:val="center"/>
          </w:tcPr>
          <w:p w14:paraId="5A813547">
            <w:pPr>
              <w:widowControl/>
              <w:spacing w:line="240" w:lineRule="auto"/>
              <w:jc w:val="left"/>
              <w:rPr>
                <w:rFonts w:ascii="宋体" w:hAnsi="宋体" w:cs="宋体"/>
                <w:kern w:val="0"/>
                <w:sz w:val="21"/>
                <w:szCs w:val="21"/>
              </w:rPr>
            </w:pPr>
          </w:p>
        </w:tc>
        <w:tc>
          <w:tcPr>
            <w:tcW w:w="456" w:type="dxa"/>
            <w:shd w:val="clear" w:color="auto" w:fill="auto"/>
            <w:vAlign w:val="center"/>
          </w:tcPr>
          <w:p w14:paraId="3F53EDCD">
            <w:pPr>
              <w:widowControl/>
              <w:spacing w:line="240" w:lineRule="auto"/>
              <w:jc w:val="center"/>
              <w:rPr>
                <w:rFonts w:ascii="宋体" w:hAnsi="宋体" w:cs="宋体"/>
                <w:kern w:val="0"/>
                <w:sz w:val="21"/>
                <w:szCs w:val="21"/>
              </w:rPr>
            </w:pPr>
            <w:r>
              <w:rPr>
                <w:rFonts w:hint="eastAsia" w:ascii="宋体" w:hAnsi="宋体" w:cs="宋体"/>
                <w:kern w:val="0"/>
                <w:sz w:val="21"/>
                <w:szCs w:val="21"/>
              </w:rPr>
              <w:t>6</w:t>
            </w:r>
          </w:p>
        </w:tc>
        <w:tc>
          <w:tcPr>
            <w:tcW w:w="1807" w:type="dxa"/>
            <w:shd w:val="clear" w:color="auto" w:fill="auto"/>
            <w:vAlign w:val="center"/>
          </w:tcPr>
          <w:p w14:paraId="0F53F03C">
            <w:pPr>
              <w:widowControl/>
              <w:spacing w:line="240" w:lineRule="auto"/>
              <w:jc w:val="left"/>
              <w:rPr>
                <w:rFonts w:ascii="宋体" w:hAnsi="宋体" w:cs="宋体"/>
                <w:kern w:val="0"/>
                <w:sz w:val="21"/>
                <w:szCs w:val="21"/>
              </w:rPr>
            </w:pPr>
            <w:r>
              <w:rPr>
                <w:rFonts w:hint="eastAsia" w:ascii="宋体" w:hAnsi="宋体" w:cs="宋体"/>
                <w:kern w:val="0"/>
                <w:sz w:val="21"/>
                <w:szCs w:val="21"/>
              </w:rPr>
              <w:t>110kV开关场电流互感器二次电缆波纹软管</w:t>
            </w:r>
          </w:p>
        </w:tc>
        <w:tc>
          <w:tcPr>
            <w:tcW w:w="3107" w:type="dxa"/>
            <w:shd w:val="clear" w:color="auto" w:fill="auto"/>
            <w:vAlign w:val="center"/>
          </w:tcPr>
          <w:p w14:paraId="30D756BE">
            <w:pPr>
              <w:widowControl/>
              <w:spacing w:line="240" w:lineRule="auto"/>
              <w:jc w:val="left"/>
              <w:rPr>
                <w:rFonts w:ascii="宋体" w:hAnsi="宋体" w:cs="宋体"/>
                <w:kern w:val="0"/>
                <w:sz w:val="21"/>
                <w:szCs w:val="21"/>
              </w:rPr>
            </w:pPr>
            <w:r>
              <w:rPr>
                <w:rFonts w:hint="eastAsia" w:ascii="宋体" w:hAnsi="宋体" w:cs="宋体"/>
                <w:kern w:val="0"/>
                <w:sz w:val="21"/>
                <w:szCs w:val="21"/>
              </w:rPr>
              <w:t>全部更换为不锈钢金属软管</w:t>
            </w:r>
          </w:p>
        </w:tc>
        <w:tc>
          <w:tcPr>
            <w:tcW w:w="2657" w:type="dxa"/>
            <w:vMerge w:val="continue"/>
            <w:vAlign w:val="center"/>
          </w:tcPr>
          <w:p w14:paraId="018BC6BE">
            <w:pPr>
              <w:widowControl/>
              <w:spacing w:line="240" w:lineRule="auto"/>
              <w:jc w:val="left"/>
              <w:rPr>
                <w:rFonts w:ascii="宋体" w:hAnsi="宋体" w:cs="宋体"/>
                <w:kern w:val="0"/>
                <w:sz w:val="21"/>
                <w:szCs w:val="21"/>
              </w:rPr>
            </w:pPr>
          </w:p>
        </w:tc>
      </w:tr>
      <w:tr w14:paraId="09FF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96" w:type="dxa"/>
            <w:vMerge w:val="continue"/>
            <w:vAlign w:val="center"/>
          </w:tcPr>
          <w:p w14:paraId="73FA2D6D">
            <w:pPr>
              <w:widowControl/>
              <w:spacing w:line="240" w:lineRule="auto"/>
              <w:jc w:val="left"/>
              <w:rPr>
                <w:rFonts w:ascii="宋体" w:hAnsi="宋体" w:cs="宋体"/>
                <w:kern w:val="0"/>
                <w:sz w:val="21"/>
                <w:szCs w:val="21"/>
              </w:rPr>
            </w:pPr>
          </w:p>
        </w:tc>
        <w:tc>
          <w:tcPr>
            <w:tcW w:w="1282" w:type="dxa"/>
            <w:vMerge w:val="continue"/>
            <w:vAlign w:val="center"/>
          </w:tcPr>
          <w:p w14:paraId="3E6CBFF1">
            <w:pPr>
              <w:widowControl/>
              <w:spacing w:line="240" w:lineRule="auto"/>
              <w:jc w:val="left"/>
              <w:rPr>
                <w:rFonts w:ascii="宋体" w:hAnsi="宋体" w:cs="宋体"/>
                <w:kern w:val="0"/>
                <w:sz w:val="21"/>
                <w:szCs w:val="21"/>
              </w:rPr>
            </w:pPr>
          </w:p>
        </w:tc>
        <w:tc>
          <w:tcPr>
            <w:tcW w:w="456" w:type="dxa"/>
            <w:shd w:val="clear" w:color="auto" w:fill="auto"/>
            <w:vAlign w:val="center"/>
          </w:tcPr>
          <w:p w14:paraId="447A23BC">
            <w:pPr>
              <w:widowControl/>
              <w:spacing w:line="240" w:lineRule="auto"/>
              <w:jc w:val="center"/>
              <w:rPr>
                <w:rFonts w:ascii="宋体" w:hAnsi="宋体" w:cs="宋体"/>
                <w:kern w:val="0"/>
                <w:sz w:val="21"/>
                <w:szCs w:val="21"/>
              </w:rPr>
            </w:pPr>
            <w:r>
              <w:rPr>
                <w:rFonts w:hint="eastAsia" w:ascii="宋体" w:hAnsi="宋体" w:cs="宋体"/>
                <w:kern w:val="0"/>
                <w:sz w:val="21"/>
                <w:szCs w:val="21"/>
              </w:rPr>
              <w:t>7</w:t>
            </w:r>
          </w:p>
        </w:tc>
        <w:tc>
          <w:tcPr>
            <w:tcW w:w="1807" w:type="dxa"/>
            <w:shd w:val="clear" w:color="auto" w:fill="auto"/>
            <w:vAlign w:val="center"/>
          </w:tcPr>
          <w:p w14:paraId="7BA107E8">
            <w:pPr>
              <w:widowControl/>
              <w:spacing w:line="240" w:lineRule="auto"/>
              <w:jc w:val="left"/>
              <w:rPr>
                <w:rFonts w:ascii="宋体" w:hAnsi="宋体" w:cs="宋体"/>
                <w:kern w:val="0"/>
                <w:sz w:val="21"/>
                <w:szCs w:val="21"/>
              </w:rPr>
            </w:pPr>
            <w:r>
              <w:rPr>
                <w:rFonts w:hint="eastAsia" w:ascii="宋体" w:hAnsi="宋体" w:cs="宋体"/>
                <w:kern w:val="0"/>
                <w:sz w:val="21"/>
                <w:szCs w:val="21"/>
              </w:rPr>
              <w:t>110kV电流、电压互感器8组</w:t>
            </w:r>
          </w:p>
        </w:tc>
        <w:tc>
          <w:tcPr>
            <w:tcW w:w="3107" w:type="dxa"/>
            <w:shd w:val="clear" w:color="auto" w:fill="auto"/>
            <w:vAlign w:val="center"/>
          </w:tcPr>
          <w:p w14:paraId="0AA19B80">
            <w:pPr>
              <w:widowControl/>
              <w:spacing w:line="240" w:lineRule="auto"/>
              <w:jc w:val="left"/>
              <w:rPr>
                <w:rFonts w:ascii="宋体" w:hAnsi="宋体" w:cs="宋体"/>
                <w:kern w:val="0"/>
                <w:sz w:val="21"/>
                <w:szCs w:val="21"/>
              </w:rPr>
            </w:pPr>
            <w:r>
              <w:rPr>
                <w:rFonts w:hint="eastAsia" w:ascii="宋体" w:hAnsi="宋体" w:cs="宋体"/>
                <w:kern w:val="0"/>
                <w:sz w:val="21"/>
                <w:szCs w:val="21"/>
              </w:rPr>
              <w:t>电流、电压互感器8组：二次检修及试验</w:t>
            </w:r>
          </w:p>
        </w:tc>
        <w:tc>
          <w:tcPr>
            <w:tcW w:w="2657" w:type="dxa"/>
            <w:vMerge w:val="continue"/>
            <w:vAlign w:val="center"/>
          </w:tcPr>
          <w:p w14:paraId="6EAC0910">
            <w:pPr>
              <w:widowControl/>
              <w:spacing w:line="240" w:lineRule="auto"/>
              <w:jc w:val="left"/>
              <w:rPr>
                <w:rFonts w:ascii="宋体" w:hAnsi="宋体" w:cs="宋体"/>
                <w:kern w:val="0"/>
                <w:sz w:val="21"/>
                <w:szCs w:val="21"/>
              </w:rPr>
            </w:pPr>
          </w:p>
        </w:tc>
      </w:tr>
      <w:tr w14:paraId="4D5A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6" w:type="dxa"/>
            <w:vMerge w:val="continue"/>
            <w:vAlign w:val="center"/>
          </w:tcPr>
          <w:p w14:paraId="00F9051D">
            <w:pPr>
              <w:widowControl/>
              <w:spacing w:line="240" w:lineRule="auto"/>
              <w:jc w:val="left"/>
              <w:rPr>
                <w:rFonts w:ascii="宋体" w:hAnsi="宋体" w:cs="宋体"/>
                <w:kern w:val="0"/>
                <w:sz w:val="21"/>
                <w:szCs w:val="21"/>
              </w:rPr>
            </w:pPr>
          </w:p>
        </w:tc>
        <w:tc>
          <w:tcPr>
            <w:tcW w:w="1282" w:type="dxa"/>
            <w:vMerge w:val="continue"/>
            <w:vAlign w:val="center"/>
          </w:tcPr>
          <w:p w14:paraId="4499331D">
            <w:pPr>
              <w:widowControl/>
              <w:spacing w:line="240" w:lineRule="auto"/>
              <w:jc w:val="left"/>
              <w:rPr>
                <w:rFonts w:ascii="宋体" w:hAnsi="宋体" w:cs="宋体"/>
                <w:kern w:val="0"/>
                <w:sz w:val="21"/>
                <w:szCs w:val="21"/>
              </w:rPr>
            </w:pPr>
          </w:p>
        </w:tc>
        <w:tc>
          <w:tcPr>
            <w:tcW w:w="456" w:type="dxa"/>
            <w:shd w:val="clear" w:color="auto" w:fill="auto"/>
            <w:vAlign w:val="center"/>
          </w:tcPr>
          <w:p w14:paraId="1860CC8D">
            <w:pPr>
              <w:widowControl/>
              <w:spacing w:line="240" w:lineRule="auto"/>
              <w:jc w:val="center"/>
              <w:rPr>
                <w:rFonts w:ascii="宋体" w:hAnsi="宋体" w:cs="宋体"/>
                <w:kern w:val="0"/>
                <w:sz w:val="21"/>
                <w:szCs w:val="21"/>
              </w:rPr>
            </w:pPr>
            <w:r>
              <w:rPr>
                <w:rFonts w:hint="eastAsia" w:ascii="宋体" w:hAnsi="宋体" w:cs="宋体"/>
                <w:kern w:val="0"/>
                <w:sz w:val="21"/>
                <w:szCs w:val="21"/>
              </w:rPr>
              <w:t>8</w:t>
            </w:r>
          </w:p>
        </w:tc>
        <w:tc>
          <w:tcPr>
            <w:tcW w:w="1807" w:type="dxa"/>
            <w:shd w:val="clear" w:color="auto" w:fill="auto"/>
            <w:vAlign w:val="center"/>
          </w:tcPr>
          <w:p w14:paraId="6EE553F8">
            <w:pPr>
              <w:widowControl/>
              <w:spacing w:line="240" w:lineRule="auto"/>
              <w:jc w:val="left"/>
              <w:rPr>
                <w:rFonts w:ascii="宋体" w:hAnsi="宋体" w:cs="宋体"/>
                <w:kern w:val="0"/>
                <w:sz w:val="21"/>
                <w:szCs w:val="21"/>
              </w:rPr>
            </w:pPr>
            <w:r>
              <w:rPr>
                <w:rFonts w:hint="eastAsia" w:ascii="宋体" w:hAnsi="宋体" w:cs="宋体"/>
                <w:kern w:val="0"/>
                <w:sz w:val="21"/>
                <w:szCs w:val="21"/>
              </w:rPr>
              <w:t>110kV开关场母线PT间隔设备瓷瓶6组</w:t>
            </w:r>
          </w:p>
        </w:tc>
        <w:tc>
          <w:tcPr>
            <w:tcW w:w="3107" w:type="dxa"/>
            <w:shd w:val="clear" w:color="auto" w:fill="auto"/>
            <w:vAlign w:val="center"/>
          </w:tcPr>
          <w:p w14:paraId="4E5B8E11">
            <w:pPr>
              <w:widowControl/>
              <w:spacing w:line="240" w:lineRule="auto"/>
              <w:jc w:val="left"/>
              <w:rPr>
                <w:rFonts w:ascii="宋体" w:hAnsi="宋体" w:cs="宋体"/>
                <w:kern w:val="0"/>
                <w:sz w:val="21"/>
                <w:szCs w:val="21"/>
              </w:rPr>
            </w:pPr>
            <w:r>
              <w:rPr>
                <w:rFonts w:hint="eastAsia" w:ascii="宋体" w:hAnsi="宋体" w:cs="宋体"/>
                <w:kern w:val="0"/>
                <w:sz w:val="21"/>
                <w:szCs w:val="21"/>
              </w:rPr>
              <w:t>110kV开关场母线PT间隔设备瓷瓶RTV防污闪喷涂防腐及检修</w:t>
            </w:r>
          </w:p>
        </w:tc>
        <w:tc>
          <w:tcPr>
            <w:tcW w:w="2657" w:type="dxa"/>
            <w:vMerge w:val="continue"/>
            <w:vAlign w:val="center"/>
          </w:tcPr>
          <w:p w14:paraId="385EAC97">
            <w:pPr>
              <w:widowControl/>
              <w:spacing w:line="240" w:lineRule="auto"/>
              <w:jc w:val="left"/>
              <w:rPr>
                <w:rFonts w:ascii="宋体" w:hAnsi="宋体" w:cs="宋体"/>
                <w:kern w:val="0"/>
                <w:sz w:val="21"/>
                <w:szCs w:val="21"/>
              </w:rPr>
            </w:pPr>
          </w:p>
        </w:tc>
      </w:tr>
      <w:tr w14:paraId="3850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6" w:type="dxa"/>
            <w:vMerge w:val="continue"/>
            <w:vAlign w:val="center"/>
          </w:tcPr>
          <w:p w14:paraId="730AF296">
            <w:pPr>
              <w:widowControl/>
              <w:spacing w:line="240" w:lineRule="auto"/>
              <w:jc w:val="left"/>
              <w:rPr>
                <w:rFonts w:ascii="宋体" w:hAnsi="宋体" w:cs="宋体"/>
                <w:kern w:val="0"/>
                <w:sz w:val="21"/>
                <w:szCs w:val="21"/>
              </w:rPr>
            </w:pPr>
          </w:p>
        </w:tc>
        <w:tc>
          <w:tcPr>
            <w:tcW w:w="1282" w:type="dxa"/>
            <w:vMerge w:val="continue"/>
            <w:vAlign w:val="center"/>
          </w:tcPr>
          <w:p w14:paraId="081CE6F6">
            <w:pPr>
              <w:widowControl/>
              <w:spacing w:line="240" w:lineRule="auto"/>
              <w:jc w:val="left"/>
              <w:rPr>
                <w:rFonts w:ascii="宋体" w:hAnsi="宋体" w:cs="宋体"/>
                <w:kern w:val="0"/>
                <w:sz w:val="21"/>
                <w:szCs w:val="21"/>
              </w:rPr>
            </w:pPr>
          </w:p>
        </w:tc>
        <w:tc>
          <w:tcPr>
            <w:tcW w:w="456" w:type="dxa"/>
            <w:shd w:val="clear" w:color="auto" w:fill="auto"/>
            <w:vAlign w:val="center"/>
          </w:tcPr>
          <w:p w14:paraId="5952A3EB">
            <w:pPr>
              <w:widowControl/>
              <w:spacing w:line="240" w:lineRule="auto"/>
              <w:jc w:val="center"/>
              <w:rPr>
                <w:rFonts w:ascii="宋体" w:hAnsi="宋体" w:cs="宋体"/>
                <w:kern w:val="0"/>
                <w:sz w:val="21"/>
                <w:szCs w:val="21"/>
              </w:rPr>
            </w:pPr>
            <w:r>
              <w:rPr>
                <w:rFonts w:hint="eastAsia" w:ascii="宋体" w:hAnsi="宋体" w:cs="宋体"/>
                <w:kern w:val="0"/>
                <w:sz w:val="21"/>
                <w:szCs w:val="21"/>
              </w:rPr>
              <w:t>9</w:t>
            </w:r>
          </w:p>
        </w:tc>
        <w:tc>
          <w:tcPr>
            <w:tcW w:w="1807" w:type="dxa"/>
            <w:shd w:val="clear" w:color="auto" w:fill="auto"/>
            <w:vAlign w:val="center"/>
          </w:tcPr>
          <w:p w14:paraId="39002192">
            <w:pPr>
              <w:widowControl/>
              <w:spacing w:line="240" w:lineRule="auto"/>
              <w:jc w:val="left"/>
              <w:rPr>
                <w:rFonts w:ascii="宋体" w:hAnsi="宋体" w:cs="宋体"/>
                <w:kern w:val="0"/>
                <w:sz w:val="21"/>
                <w:szCs w:val="21"/>
              </w:rPr>
            </w:pPr>
            <w:r>
              <w:rPr>
                <w:rFonts w:hint="eastAsia" w:ascii="宋体" w:hAnsi="宋体" w:cs="宋体"/>
                <w:kern w:val="0"/>
                <w:sz w:val="21"/>
                <w:szCs w:val="21"/>
              </w:rPr>
              <w:t>110kV开关场母联间隔设备瓷瓶4组</w:t>
            </w:r>
          </w:p>
        </w:tc>
        <w:tc>
          <w:tcPr>
            <w:tcW w:w="3107" w:type="dxa"/>
            <w:shd w:val="clear" w:color="auto" w:fill="auto"/>
            <w:vAlign w:val="center"/>
          </w:tcPr>
          <w:p w14:paraId="403D4B75">
            <w:pPr>
              <w:widowControl/>
              <w:spacing w:line="240" w:lineRule="auto"/>
              <w:jc w:val="left"/>
              <w:rPr>
                <w:rFonts w:ascii="宋体" w:hAnsi="宋体" w:cs="宋体"/>
                <w:kern w:val="0"/>
                <w:sz w:val="21"/>
                <w:szCs w:val="21"/>
              </w:rPr>
            </w:pPr>
            <w:r>
              <w:rPr>
                <w:rFonts w:hint="eastAsia" w:ascii="宋体" w:hAnsi="宋体" w:cs="宋体"/>
                <w:kern w:val="0"/>
                <w:sz w:val="21"/>
                <w:szCs w:val="21"/>
              </w:rPr>
              <w:t>母联间隔设备瓷瓶RTV防污闪喷涂防腐及检修4组</w:t>
            </w:r>
          </w:p>
        </w:tc>
        <w:tc>
          <w:tcPr>
            <w:tcW w:w="2657" w:type="dxa"/>
            <w:vMerge w:val="continue"/>
            <w:vAlign w:val="center"/>
          </w:tcPr>
          <w:p w14:paraId="0B7B655E">
            <w:pPr>
              <w:widowControl/>
              <w:spacing w:line="240" w:lineRule="auto"/>
              <w:jc w:val="left"/>
              <w:rPr>
                <w:rFonts w:ascii="宋体" w:hAnsi="宋体" w:cs="宋体"/>
                <w:kern w:val="0"/>
                <w:sz w:val="21"/>
                <w:szCs w:val="21"/>
              </w:rPr>
            </w:pPr>
          </w:p>
        </w:tc>
      </w:tr>
      <w:tr w14:paraId="7DF7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6" w:type="dxa"/>
            <w:vMerge w:val="continue"/>
            <w:vAlign w:val="center"/>
          </w:tcPr>
          <w:p w14:paraId="1FFF1D1E">
            <w:pPr>
              <w:widowControl/>
              <w:spacing w:line="240" w:lineRule="auto"/>
              <w:jc w:val="left"/>
              <w:rPr>
                <w:rFonts w:ascii="宋体" w:hAnsi="宋体" w:cs="宋体"/>
                <w:kern w:val="0"/>
                <w:sz w:val="21"/>
                <w:szCs w:val="21"/>
              </w:rPr>
            </w:pPr>
          </w:p>
        </w:tc>
        <w:tc>
          <w:tcPr>
            <w:tcW w:w="1282" w:type="dxa"/>
            <w:vMerge w:val="continue"/>
            <w:vAlign w:val="center"/>
          </w:tcPr>
          <w:p w14:paraId="05F09D36">
            <w:pPr>
              <w:widowControl/>
              <w:spacing w:line="240" w:lineRule="auto"/>
              <w:jc w:val="left"/>
              <w:rPr>
                <w:rFonts w:ascii="宋体" w:hAnsi="宋体" w:cs="宋体"/>
                <w:kern w:val="0"/>
                <w:sz w:val="21"/>
                <w:szCs w:val="21"/>
              </w:rPr>
            </w:pPr>
          </w:p>
        </w:tc>
        <w:tc>
          <w:tcPr>
            <w:tcW w:w="456" w:type="dxa"/>
            <w:shd w:val="clear" w:color="auto" w:fill="auto"/>
            <w:vAlign w:val="center"/>
          </w:tcPr>
          <w:p w14:paraId="723C7F5F">
            <w:pPr>
              <w:widowControl/>
              <w:spacing w:line="240" w:lineRule="auto"/>
              <w:jc w:val="center"/>
              <w:rPr>
                <w:rFonts w:ascii="宋体" w:hAnsi="宋体" w:cs="宋体"/>
                <w:kern w:val="0"/>
                <w:sz w:val="21"/>
                <w:szCs w:val="21"/>
              </w:rPr>
            </w:pPr>
            <w:r>
              <w:rPr>
                <w:rFonts w:hint="eastAsia" w:ascii="宋体" w:hAnsi="宋体" w:cs="宋体"/>
                <w:kern w:val="0"/>
                <w:sz w:val="21"/>
                <w:szCs w:val="21"/>
              </w:rPr>
              <w:t>10</w:t>
            </w:r>
          </w:p>
        </w:tc>
        <w:tc>
          <w:tcPr>
            <w:tcW w:w="1807" w:type="dxa"/>
            <w:shd w:val="clear" w:color="auto" w:fill="auto"/>
            <w:vAlign w:val="center"/>
          </w:tcPr>
          <w:p w14:paraId="66E4C917">
            <w:pPr>
              <w:widowControl/>
              <w:spacing w:line="240" w:lineRule="auto"/>
              <w:jc w:val="left"/>
              <w:rPr>
                <w:rFonts w:ascii="宋体" w:hAnsi="宋体" w:cs="宋体"/>
                <w:kern w:val="0"/>
                <w:sz w:val="21"/>
                <w:szCs w:val="21"/>
              </w:rPr>
            </w:pPr>
            <w:r>
              <w:rPr>
                <w:rFonts w:hint="eastAsia" w:ascii="宋体" w:hAnsi="宋体" w:cs="宋体"/>
                <w:kern w:val="0"/>
                <w:sz w:val="21"/>
                <w:szCs w:val="21"/>
              </w:rPr>
              <w:t>110kV开关场线路间隔设备瓷瓶14组</w:t>
            </w:r>
          </w:p>
        </w:tc>
        <w:tc>
          <w:tcPr>
            <w:tcW w:w="3107" w:type="dxa"/>
            <w:shd w:val="clear" w:color="auto" w:fill="auto"/>
            <w:vAlign w:val="center"/>
          </w:tcPr>
          <w:p w14:paraId="0D536163">
            <w:pPr>
              <w:widowControl/>
              <w:spacing w:line="240" w:lineRule="auto"/>
              <w:jc w:val="left"/>
              <w:rPr>
                <w:rFonts w:ascii="宋体" w:hAnsi="宋体" w:cs="宋体"/>
                <w:kern w:val="0"/>
                <w:sz w:val="21"/>
                <w:szCs w:val="21"/>
              </w:rPr>
            </w:pPr>
            <w:r>
              <w:rPr>
                <w:rFonts w:hint="eastAsia" w:ascii="宋体" w:hAnsi="宋体" w:cs="宋体"/>
                <w:kern w:val="0"/>
                <w:sz w:val="21"/>
                <w:szCs w:val="21"/>
              </w:rPr>
              <w:t>线路间隔设备瓷瓶RTV防污闪喷涂防腐及检修14组</w:t>
            </w:r>
          </w:p>
        </w:tc>
        <w:tc>
          <w:tcPr>
            <w:tcW w:w="2657" w:type="dxa"/>
            <w:vMerge w:val="continue"/>
            <w:vAlign w:val="center"/>
          </w:tcPr>
          <w:p w14:paraId="2377C5E3">
            <w:pPr>
              <w:widowControl/>
              <w:spacing w:line="240" w:lineRule="auto"/>
              <w:jc w:val="left"/>
              <w:rPr>
                <w:rFonts w:ascii="宋体" w:hAnsi="宋体" w:cs="宋体"/>
                <w:kern w:val="0"/>
                <w:sz w:val="21"/>
                <w:szCs w:val="21"/>
              </w:rPr>
            </w:pPr>
          </w:p>
        </w:tc>
      </w:tr>
      <w:tr w14:paraId="2FF4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96" w:type="dxa"/>
            <w:vMerge w:val="continue"/>
            <w:vAlign w:val="center"/>
          </w:tcPr>
          <w:p w14:paraId="50E4B167">
            <w:pPr>
              <w:widowControl/>
              <w:spacing w:line="240" w:lineRule="auto"/>
              <w:jc w:val="left"/>
              <w:rPr>
                <w:rFonts w:ascii="宋体" w:hAnsi="宋体" w:cs="宋体"/>
                <w:kern w:val="0"/>
                <w:sz w:val="21"/>
                <w:szCs w:val="21"/>
              </w:rPr>
            </w:pPr>
          </w:p>
        </w:tc>
        <w:tc>
          <w:tcPr>
            <w:tcW w:w="1282" w:type="dxa"/>
            <w:vMerge w:val="continue"/>
            <w:vAlign w:val="center"/>
          </w:tcPr>
          <w:p w14:paraId="64C51EA6">
            <w:pPr>
              <w:widowControl/>
              <w:spacing w:line="240" w:lineRule="auto"/>
              <w:jc w:val="left"/>
              <w:rPr>
                <w:rFonts w:ascii="宋体" w:hAnsi="宋体" w:cs="宋体"/>
                <w:kern w:val="0"/>
                <w:sz w:val="21"/>
                <w:szCs w:val="21"/>
              </w:rPr>
            </w:pPr>
          </w:p>
        </w:tc>
        <w:tc>
          <w:tcPr>
            <w:tcW w:w="456" w:type="dxa"/>
            <w:shd w:val="clear" w:color="auto" w:fill="auto"/>
            <w:vAlign w:val="center"/>
          </w:tcPr>
          <w:p w14:paraId="6E2C7504">
            <w:pPr>
              <w:widowControl/>
              <w:spacing w:line="240" w:lineRule="auto"/>
              <w:jc w:val="center"/>
              <w:rPr>
                <w:rFonts w:ascii="宋体" w:hAnsi="宋体" w:cs="宋体"/>
                <w:kern w:val="0"/>
                <w:sz w:val="21"/>
                <w:szCs w:val="21"/>
              </w:rPr>
            </w:pPr>
            <w:r>
              <w:rPr>
                <w:rFonts w:hint="eastAsia" w:ascii="宋体" w:hAnsi="宋体" w:cs="宋体"/>
                <w:kern w:val="0"/>
                <w:sz w:val="21"/>
                <w:szCs w:val="21"/>
              </w:rPr>
              <w:t>11</w:t>
            </w:r>
          </w:p>
        </w:tc>
        <w:tc>
          <w:tcPr>
            <w:tcW w:w="1807" w:type="dxa"/>
            <w:shd w:val="clear" w:color="auto" w:fill="auto"/>
            <w:vAlign w:val="center"/>
          </w:tcPr>
          <w:p w14:paraId="3E4D1281">
            <w:pPr>
              <w:widowControl/>
              <w:spacing w:line="240" w:lineRule="auto"/>
              <w:jc w:val="left"/>
              <w:rPr>
                <w:rFonts w:ascii="宋体" w:hAnsi="宋体" w:cs="宋体"/>
                <w:kern w:val="0"/>
                <w:sz w:val="21"/>
                <w:szCs w:val="21"/>
              </w:rPr>
            </w:pPr>
            <w:r>
              <w:rPr>
                <w:rFonts w:hint="eastAsia" w:ascii="宋体" w:hAnsi="宋体" w:cs="宋体"/>
                <w:kern w:val="0"/>
                <w:sz w:val="21"/>
                <w:szCs w:val="21"/>
              </w:rPr>
              <w:t>110kV开关场主变间隔设备瓷瓶24组</w:t>
            </w:r>
          </w:p>
        </w:tc>
        <w:tc>
          <w:tcPr>
            <w:tcW w:w="3107" w:type="dxa"/>
            <w:shd w:val="clear" w:color="auto" w:fill="auto"/>
            <w:vAlign w:val="center"/>
          </w:tcPr>
          <w:p w14:paraId="60613C2D">
            <w:pPr>
              <w:widowControl/>
              <w:spacing w:line="240" w:lineRule="auto"/>
              <w:jc w:val="left"/>
              <w:rPr>
                <w:rFonts w:ascii="宋体" w:hAnsi="宋体" w:cs="宋体"/>
                <w:kern w:val="0"/>
                <w:sz w:val="21"/>
                <w:szCs w:val="21"/>
              </w:rPr>
            </w:pPr>
            <w:r>
              <w:rPr>
                <w:rFonts w:hint="eastAsia" w:ascii="宋体" w:hAnsi="宋体" w:cs="宋体"/>
                <w:kern w:val="0"/>
                <w:sz w:val="21"/>
                <w:szCs w:val="21"/>
              </w:rPr>
              <w:t>主变间隔设备瓷瓶RTV防污闪喷涂防腐及检修24组</w:t>
            </w:r>
          </w:p>
        </w:tc>
        <w:tc>
          <w:tcPr>
            <w:tcW w:w="2657" w:type="dxa"/>
            <w:vMerge w:val="continue"/>
            <w:vAlign w:val="center"/>
          </w:tcPr>
          <w:p w14:paraId="01A40003">
            <w:pPr>
              <w:widowControl/>
              <w:spacing w:line="240" w:lineRule="auto"/>
              <w:jc w:val="left"/>
              <w:rPr>
                <w:rFonts w:ascii="宋体" w:hAnsi="宋体" w:cs="宋体"/>
                <w:kern w:val="0"/>
                <w:sz w:val="21"/>
                <w:szCs w:val="21"/>
              </w:rPr>
            </w:pPr>
          </w:p>
        </w:tc>
      </w:tr>
      <w:tr w14:paraId="1290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96" w:type="dxa"/>
            <w:vMerge w:val="continue"/>
            <w:vAlign w:val="center"/>
          </w:tcPr>
          <w:p w14:paraId="628EA574">
            <w:pPr>
              <w:widowControl/>
              <w:spacing w:line="240" w:lineRule="auto"/>
              <w:jc w:val="left"/>
              <w:rPr>
                <w:rFonts w:ascii="宋体" w:hAnsi="宋体" w:cs="宋体"/>
                <w:kern w:val="0"/>
                <w:sz w:val="21"/>
                <w:szCs w:val="21"/>
              </w:rPr>
            </w:pPr>
          </w:p>
        </w:tc>
        <w:tc>
          <w:tcPr>
            <w:tcW w:w="1282" w:type="dxa"/>
            <w:vMerge w:val="continue"/>
            <w:vAlign w:val="center"/>
          </w:tcPr>
          <w:p w14:paraId="1AE352AA">
            <w:pPr>
              <w:widowControl/>
              <w:spacing w:line="240" w:lineRule="auto"/>
              <w:jc w:val="left"/>
              <w:rPr>
                <w:rFonts w:ascii="宋体" w:hAnsi="宋体" w:cs="宋体"/>
                <w:kern w:val="0"/>
                <w:sz w:val="21"/>
                <w:szCs w:val="21"/>
              </w:rPr>
            </w:pPr>
          </w:p>
        </w:tc>
        <w:tc>
          <w:tcPr>
            <w:tcW w:w="456" w:type="dxa"/>
            <w:shd w:val="clear" w:color="auto" w:fill="auto"/>
            <w:vAlign w:val="center"/>
          </w:tcPr>
          <w:p w14:paraId="714EB029">
            <w:pPr>
              <w:widowControl/>
              <w:spacing w:line="240" w:lineRule="auto"/>
              <w:jc w:val="center"/>
              <w:rPr>
                <w:rFonts w:ascii="宋体" w:hAnsi="宋体" w:cs="宋体"/>
                <w:kern w:val="0"/>
                <w:sz w:val="21"/>
                <w:szCs w:val="21"/>
              </w:rPr>
            </w:pPr>
            <w:r>
              <w:rPr>
                <w:rFonts w:hint="eastAsia" w:ascii="宋体" w:hAnsi="宋体" w:cs="宋体"/>
                <w:kern w:val="0"/>
                <w:sz w:val="21"/>
                <w:szCs w:val="21"/>
              </w:rPr>
              <w:t>12</w:t>
            </w:r>
          </w:p>
        </w:tc>
        <w:tc>
          <w:tcPr>
            <w:tcW w:w="1807" w:type="dxa"/>
            <w:shd w:val="clear" w:color="auto" w:fill="auto"/>
            <w:vAlign w:val="center"/>
          </w:tcPr>
          <w:p w14:paraId="0DE0ED9F">
            <w:pPr>
              <w:widowControl/>
              <w:spacing w:line="240" w:lineRule="auto"/>
              <w:jc w:val="left"/>
              <w:rPr>
                <w:rFonts w:ascii="宋体" w:hAnsi="宋体" w:cs="宋体"/>
                <w:kern w:val="0"/>
                <w:sz w:val="21"/>
                <w:szCs w:val="21"/>
              </w:rPr>
            </w:pPr>
            <w:r>
              <w:rPr>
                <w:rFonts w:hint="eastAsia" w:ascii="宋体" w:hAnsi="宋体" w:cs="宋体"/>
                <w:kern w:val="0"/>
                <w:sz w:val="21"/>
                <w:szCs w:val="21"/>
              </w:rPr>
              <w:t>全站开关场金属构架</w:t>
            </w:r>
          </w:p>
        </w:tc>
        <w:tc>
          <w:tcPr>
            <w:tcW w:w="3107" w:type="dxa"/>
            <w:shd w:val="clear" w:color="auto" w:fill="auto"/>
            <w:vAlign w:val="center"/>
          </w:tcPr>
          <w:p w14:paraId="361B1363">
            <w:pPr>
              <w:widowControl/>
              <w:spacing w:line="240" w:lineRule="auto"/>
              <w:jc w:val="left"/>
              <w:rPr>
                <w:rFonts w:ascii="宋体" w:hAnsi="宋体" w:cs="宋体"/>
                <w:kern w:val="0"/>
                <w:sz w:val="21"/>
                <w:szCs w:val="21"/>
              </w:rPr>
            </w:pPr>
            <w:r>
              <w:rPr>
                <w:rFonts w:hint="eastAsia" w:ascii="宋体" w:hAnsi="宋体" w:cs="宋体"/>
                <w:kern w:val="0"/>
                <w:sz w:val="21"/>
                <w:szCs w:val="21"/>
              </w:rPr>
              <w:t>全站开关场金属构架、一次设备外壳RTV防污闪喷涂防腐及检修</w:t>
            </w:r>
          </w:p>
        </w:tc>
        <w:tc>
          <w:tcPr>
            <w:tcW w:w="2657" w:type="dxa"/>
            <w:vMerge w:val="continue"/>
            <w:vAlign w:val="center"/>
          </w:tcPr>
          <w:p w14:paraId="639D04EA">
            <w:pPr>
              <w:widowControl/>
              <w:spacing w:line="240" w:lineRule="auto"/>
              <w:jc w:val="left"/>
              <w:rPr>
                <w:rFonts w:ascii="宋体" w:hAnsi="宋体" w:cs="宋体"/>
                <w:kern w:val="0"/>
                <w:sz w:val="21"/>
                <w:szCs w:val="21"/>
              </w:rPr>
            </w:pPr>
          </w:p>
        </w:tc>
      </w:tr>
      <w:tr w14:paraId="0B27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396" w:type="dxa"/>
            <w:shd w:val="clear" w:color="auto" w:fill="auto"/>
            <w:vAlign w:val="center"/>
          </w:tcPr>
          <w:p w14:paraId="201718C4">
            <w:pPr>
              <w:widowControl/>
              <w:spacing w:line="240" w:lineRule="auto"/>
              <w:jc w:val="center"/>
              <w:rPr>
                <w:rFonts w:ascii="宋体" w:hAnsi="宋体" w:cs="宋体"/>
                <w:kern w:val="0"/>
                <w:sz w:val="21"/>
                <w:szCs w:val="21"/>
              </w:rPr>
            </w:pPr>
            <w:r>
              <w:rPr>
                <w:rFonts w:hint="eastAsia" w:ascii="宋体" w:hAnsi="宋体" w:cs="宋体"/>
                <w:kern w:val="0"/>
                <w:sz w:val="21"/>
                <w:szCs w:val="21"/>
              </w:rPr>
              <w:t>7</w:t>
            </w:r>
          </w:p>
        </w:tc>
        <w:tc>
          <w:tcPr>
            <w:tcW w:w="1282" w:type="dxa"/>
            <w:shd w:val="clear" w:color="auto" w:fill="auto"/>
            <w:vAlign w:val="center"/>
          </w:tcPr>
          <w:p w14:paraId="7B9149FE">
            <w:pPr>
              <w:widowControl/>
              <w:spacing w:line="240" w:lineRule="auto"/>
              <w:jc w:val="left"/>
              <w:rPr>
                <w:rFonts w:ascii="宋体" w:hAnsi="宋体" w:cs="宋体"/>
                <w:kern w:val="0"/>
                <w:sz w:val="21"/>
                <w:szCs w:val="21"/>
              </w:rPr>
            </w:pPr>
            <w:r>
              <w:rPr>
                <w:rFonts w:hint="eastAsia" w:ascii="宋体" w:hAnsi="宋体" w:cs="宋体"/>
                <w:kern w:val="0"/>
                <w:sz w:val="21"/>
                <w:szCs w:val="21"/>
              </w:rPr>
              <w:t>110KV架空线路大修</w:t>
            </w:r>
          </w:p>
        </w:tc>
        <w:tc>
          <w:tcPr>
            <w:tcW w:w="456" w:type="dxa"/>
            <w:shd w:val="clear" w:color="auto" w:fill="auto"/>
            <w:vAlign w:val="center"/>
          </w:tcPr>
          <w:p w14:paraId="13C24143">
            <w:pPr>
              <w:widowControl/>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1807" w:type="dxa"/>
            <w:shd w:val="clear" w:color="auto" w:fill="auto"/>
            <w:vAlign w:val="center"/>
          </w:tcPr>
          <w:p w14:paraId="0C16EEF7">
            <w:pPr>
              <w:widowControl/>
              <w:spacing w:line="240" w:lineRule="auto"/>
              <w:jc w:val="left"/>
              <w:rPr>
                <w:rFonts w:ascii="宋体" w:hAnsi="宋体" w:cs="宋体"/>
                <w:kern w:val="0"/>
                <w:sz w:val="21"/>
                <w:szCs w:val="21"/>
              </w:rPr>
            </w:pPr>
            <w:r>
              <w:rPr>
                <w:rFonts w:hint="eastAsia" w:ascii="宋体" w:hAnsi="宋体" w:cs="宋体"/>
                <w:kern w:val="0"/>
                <w:sz w:val="21"/>
                <w:szCs w:val="21"/>
              </w:rPr>
              <w:t>1、110kV花国东线，线路全长9.2km（电缆线路0.27KM、架空线路8.93KM）。2、110kV花国西线，线路全长9.1km（电缆线路0.27KM、架空线路8.83KM）。</w:t>
            </w:r>
          </w:p>
        </w:tc>
        <w:tc>
          <w:tcPr>
            <w:tcW w:w="3107" w:type="dxa"/>
            <w:shd w:val="clear" w:color="auto" w:fill="auto"/>
            <w:vAlign w:val="center"/>
          </w:tcPr>
          <w:p w14:paraId="1E55FE60">
            <w:pPr>
              <w:widowControl/>
              <w:spacing w:line="240" w:lineRule="auto"/>
              <w:jc w:val="left"/>
              <w:rPr>
                <w:rFonts w:ascii="宋体" w:hAnsi="宋体" w:cs="宋体"/>
                <w:kern w:val="0"/>
                <w:sz w:val="21"/>
                <w:szCs w:val="21"/>
              </w:rPr>
            </w:pPr>
            <w:r>
              <w:rPr>
                <w:rFonts w:hint="eastAsia" w:ascii="宋体" w:hAnsi="宋体" w:cs="宋体"/>
                <w:kern w:val="0"/>
                <w:sz w:val="21"/>
                <w:szCs w:val="21"/>
              </w:rPr>
              <w:t>110kV花国东、西两回线路（单塔单回）全线大修：根据实际情况更换金具、构架、开口销、补齐花材、调整弧垂，更换终端塔避雷器及金属支架，对部分护坡和铁塔基础进行修复、加固等。</w:t>
            </w:r>
          </w:p>
        </w:tc>
        <w:tc>
          <w:tcPr>
            <w:tcW w:w="2657" w:type="dxa"/>
            <w:shd w:val="clear" w:color="auto" w:fill="auto"/>
            <w:vAlign w:val="center"/>
          </w:tcPr>
          <w:p w14:paraId="3BE06D44">
            <w:pPr>
              <w:widowControl/>
              <w:spacing w:line="240" w:lineRule="auto"/>
              <w:jc w:val="left"/>
              <w:rPr>
                <w:rFonts w:ascii="宋体" w:hAnsi="宋体" w:cs="宋体"/>
                <w:kern w:val="0"/>
                <w:sz w:val="21"/>
                <w:szCs w:val="21"/>
              </w:rPr>
            </w:pPr>
            <w:r>
              <w:rPr>
                <w:rFonts w:hint="eastAsia" w:ascii="宋体" w:hAnsi="宋体" w:cs="宋体"/>
                <w:kern w:val="0"/>
                <w:sz w:val="21"/>
                <w:szCs w:val="21"/>
              </w:rPr>
              <w:t>110KV外线轮停大修，现场踏勘统计缺陷，其中涉及拆除、新装置换设备选型设计，同时完善大修工程量清单及概算编制。</w:t>
            </w:r>
          </w:p>
        </w:tc>
      </w:tr>
      <w:tr w14:paraId="6925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705" w:type="dxa"/>
            <w:gridSpan w:val="6"/>
            <w:shd w:val="clear" w:color="auto" w:fill="auto"/>
            <w:vAlign w:val="center"/>
          </w:tcPr>
          <w:p w14:paraId="353408E5">
            <w:pPr>
              <w:widowControl/>
              <w:spacing w:line="240" w:lineRule="auto"/>
              <w:jc w:val="left"/>
              <w:rPr>
                <w:rFonts w:ascii="宋体" w:hAnsi="宋体" w:cs="宋体"/>
                <w:kern w:val="0"/>
                <w:sz w:val="21"/>
                <w:szCs w:val="21"/>
              </w:rPr>
            </w:pPr>
            <w:r>
              <w:rPr>
                <w:rFonts w:hint="eastAsia" w:ascii="宋体" w:hAnsi="宋体" w:cs="宋体"/>
                <w:kern w:val="0"/>
                <w:sz w:val="21"/>
                <w:szCs w:val="21"/>
              </w:rPr>
              <w:t>备注：</w:t>
            </w:r>
            <w:r>
              <w:rPr>
                <w:rFonts w:hint="eastAsia" w:ascii="宋体" w:hAnsi="宋体" w:cs="宋体"/>
                <w:kern w:val="0"/>
                <w:sz w:val="21"/>
                <w:szCs w:val="21"/>
              </w:rPr>
              <w:br w:type="textWrapping"/>
            </w:r>
            <w:r>
              <w:rPr>
                <w:rFonts w:hint="eastAsia" w:ascii="宋体" w:hAnsi="宋体" w:cs="宋体"/>
                <w:kern w:val="0"/>
                <w:sz w:val="21"/>
                <w:szCs w:val="21"/>
              </w:rPr>
              <w:t>1、以上改造内容含改造工程所涉及的相应设备基础改造、接地系统、电容器室改扩建等土建工程。</w:t>
            </w:r>
            <w:r>
              <w:rPr>
                <w:rFonts w:hint="eastAsia" w:ascii="宋体" w:hAnsi="宋体" w:cs="宋体"/>
                <w:kern w:val="0"/>
                <w:sz w:val="21"/>
                <w:szCs w:val="21"/>
              </w:rPr>
              <w:br w:type="textWrapping"/>
            </w:r>
            <w:r>
              <w:rPr>
                <w:rFonts w:hint="eastAsia" w:ascii="宋体" w:hAnsi="宋体" w:cs="宋体"/>
                <w:kern w:val="0"/>
                <w:sz w:val="21"/>
                <w:szCs w:val="21"/>
              </w:rPr>
              <w:t>2、全站二次系统及一体化电源系统已进行全面升级改造，本工程二次系统及一体化电源系统利旧，不在改造实施范围。</w:t>
            </w:r>
          </w:p>
        </w:tc>
      </w:tr>
    </w:tbl>
    <w:p w14:paraId="28B91E68">
      <w:pPr>
        <w:spacing w:line="360" w:lineRule="auto"/>
        <w:rPr>
          <w:rFonts w:ascii="宋体" w:hAnsi="宋体"/>
          <w:sz w:val="24"/>
          <w:szCs w:val="24"/>
        </w:rPr>
      </w:pPr>
      <w:r>
        <w:rPr>
          <w:rFonts w:hint="eastAsia" w:ascii="宋体" w:hAnsi="宋体"/>
          <w:sz w:val="24"/>
          <w:szCs w:val="24"/>
        </w:rPr>
        <w:t>2.3 设计周期：</w:t>
      </w:r>
      <w:r>
        <w:rPr>
          <w:rFonts w:hint="eastAsia" w:ascii="宋体" w:hAnsi="宋体"/>
          <w:sz w:val="24"/>
          <w:szCs w:val="24"/>
          <w:u w:val="single"/>
        </w:rPr>
        <w:t>合同签订后</w:t>
      </w:r>
      <w:r>
        <w:rPr>
          <w:rFonts w:ascii="宋体" w:hAnsi="宋体"/>
          <w:sz w:val="24"/>
          <w:szCs w:val="24"/>
          <w:u w:val="single"/>
        </w:rPr>
        <w:t>30</w:t>
      </w:r>
      <w:r>
        <w:rPr>
          <w:rFonts w:hint="eastAsia" w:ascii="宋体" w:hAnsi="宋体"/>
          <w:sz w:val="24"/>
          <w:szCs w:val="24"/>
          <w:u w:val="single"/>
        </w:rPr>
        <w:t>天内提交初步设计图，共计6</w:t>
      </w:r>
      <w:r>
        <w:rPr>
          <w:rFonts w:ascii="宋体" w:hAnsi="宋体"/>
          <w:sz w:val="24"/>
          <w:szCs w:val="24"/>
          <w:u w:val="single"/>
        </w:rPr>
        <w:t>0天内完成审查合格</w:t>
      </w:r>
      <w:r>
        <w:rPr>
          <w:rFonts w:hint="eastAsia" w:ascii="宋体" w:hAnsi="宋体"/>
          <w:sz w:val="24"/>
          <w:szCs w:val="24"/>
          <w:u w:val="single"/>
        </w:rPr>
        <w:t>正式施工图及设计概算。</w:t>
      </w:r>
    </w:p>
    <w:p w14:paraId="2AB2DE0B">
      <w:pPr>
        <w:spacing w:line="360" w:lineRule="auto"/>
        <w:rPr>
          <w:rFonts w:ascii="宋体" w:hAnsi="宋体"/>
          <w:sz w:val="24"/>
          <w:szCs w:val="24"/>
        </w:rPr>
      </w:pPr>
      <w:r>
        <w:rPr>
          <w:rFonts w:hint="eastAsia" w:ascii="宋体" w:hAnsi="宋体"/>
          <w:sz w:val="24"/>
          <w:szCs w:val="24"/>
        </w:rPr>
        <w:t>2.4 项目地点：</w:t>
      </w:r>
      <w:r>
        <w:rPr>
          <w:rFonts w:hint="eastAsia" w:ascii="宋体" w:hAnsi="宋体"/>
          <w:sz w:val="24"/>
          <w:szCs w:val="24"/>
          <w:u w:val="single"/>
        </w:rPr>
        <w:t>重庆国际复合材料股份有限公司长寿生产基地。</w:t>
      </w:r>
    </w:p>
    <w:p w14:paraId="0BA948C7">
      <w:pPr>
        <w:spacing w:line="360" w:lineRule="auto"/>
        <w:rPr>
          <w:rFonts w:ascii="宋体" w:hAnsi="宋体"/>
          <w:b/>
          <w:snapToGrid w:val="0"/>
          <w:sz w:val="24"/>
          <w:szCs w:val="24"/>
        </w:rPr>
      </w:pPr>
      <w:bookmarkStart w:id="31" w:name="_Toc21527"/>
      <w:bookmarkStart w:id="32" w:name="_Toc14373"/>
      <w:bookmarkStart w:id="33" w:name="_Toc18439"/>
      <w:bookmarkStart w:id="34" w:name="_Toc29166"/>
      <w:bookmarkStart w:id="35" w:name="_Toc22086"/>
      <w:bookmarkStart w:id="36" w:name="_Toc20349"/>
      <w:bookmarkStart w:id="37" w:name="_Toc25935"/>
      <w:bookmarkStart w:id="38" w:name="_Toc8793"/>
      <w:bookmarkStart w:id="39" w:name="_Toc9431"/>
      <w:bookmarkStart w:id="40" w:name="_Toc25025"/>
      <w:r>
        <w:rPr>
          <w:rFonts w:hint="eastAsia" w:ascii="宋体" w:hAnsi="宋体"/>
          <w:b/>
          <w:snapToGrid w:val="0"/>
          <w:sz w:val="24"/>
          <w:szCs w:val="24"/>
        </w:rPr>
        <w:t>三、供应商资格要求</w:t>
      </w:r>
    </w:p>
    <w:p w14:paraId="055AB854">
      <w:pPr>
        <w:spacing w:line="360" w:lineRule="auto"/>
        <w:rPr>
          <w:rFonts w:ascii="宋体" w:hAnsi="宋体"/>
          <w:sz w:val="24"/>
          <w:szCs w:val="24"/>
        </w:rPr>
      </w:pPr>
      <w:r>
        <w:rPr>
          <w:rFonts w:hint="eastAsia" w:ascii="宋体" w:hAnsi="宋体"/>
          <w:sz w:val="24"/>
          <w:szCs w:val="24"/>
        </w:rPr>
        <w:t>3.1本次询比价实行资格后审，供应商应满足下列资质条件：</w:t>
      </w:r>
    </w:p>
    <w:p w14:paraId="314BB2ED">
      <w:pPr>
        <w:spacing w:line="360" w:lineRule="auto"/>
        <w:ind w:firstLine="480" w:firstLineChars="200"/>
        <w:rPr>
          <w:rFonts w:ascii="宋体" w:hAnsi="宋体"/>
          <w:sz w:val="24"/>
          <w:szCs w:val="24"/>
        </w:rPr>
      </w:pPr>
      <w:r>
        <w:rPr>
          <w:rFonts w:hint="eastAsia" w:ascii="宋体" w:hAnsi="宋体"/>
          <w:sz w:val="24"/>
          <w:szCs w:val="24"/>
        </w:rPr>
        <w:t>（1）具有独立法人资格，需提供企业营业执照或事业单位法人证书。</w:t>
      </w:r>
    </w:p>
    <w:p w14:paraId="2A0DEBAD">
      <w:pPr>
        <w:spacing w:line="360" w:lineRule="auto"/>
        <w:ind w:firstLine="480" w:firstLineChars="200"/>
        <w:rPr>
          <w:rFonts w:ascii="宋体" w:hAnsi="宋体"/>
          <w:sz w:val="24"/>
          <w:szCs w:val="24"/>
        </w:rPr>
      </w:pPr>
      <w:r>
        <w:rPr>
          <w:rFonts w:hint="eastAsia" w:ascii="宋体" w:hAnsi="宋体"/>
          <w:sz w:val="24"/>
          <w:szCs w:val="24"/>
        </w:rPr>
        <w:t>（2）须具备</w:t>
      </w:r>
      <w:r>
        <w:rPr>
          <w:rFonts w:hint="eastAsia" w:ascii="宋体" w:hAnsi="宋体"/>
          <w:sz w:val="24"/>
          <w:szCs w:val="24"/>
          <w:lang w:val="zh-TW" w:eastAsia="zh-TW"/>
        </w:rPr>
        <w:t>建设行政主管部门颁发的工程设计电力行业（变电工程、送电工程）乙级及以上资质或工程设计综合甲级资质</w:t>
      </w:r>
      <w:r>
        <w:rPr>
          <w:rFonts w:hint="eastAsia" w:ascii="宋体" w:hAnsi="宋体"/>
          <w:sz w:val="24"/>
          <w:szCs w:val="24"/>
        </w:rPr>
        <w:t>。</w:t>
      </w:r>
    </w:p>
    <w:p w14:paraId="235C8322">
      <w:pPr>
        <w:spacing w:line="360" w:lineRule="auto"/>
        <w:rPr>
          <w:rFonts w:ascii="宋体" w:hAnsi="宋体"/>
          <w:sz w:val="24"/>
          <w:szCs w:val="24"/>
        </w:rPr>
      </w:pPr>
      <w:r>
        <w:rPr>
          <w:rFonts w:hint="eastAsia" w:ascii="宋体" w:hAnsi="宋体"/>
          <w:sz w:val="24"/>
          <w:szCs w:val="24"/>
        </w:rPr>
        <w:t>3.2 供应商人员、设备、资金等方面具有相应的能力：</w:t>
      </w:r>
    </w:p>
    <w:p w14:paraId="6EC4D14E">
      <w:pPr>
        <w:spacing w:line="360" w:lineRule="auto"/>
        <w:ind w:firstLine="480" w:firstLineChars="200"/>
        <w:rPr>
          <w:rFonts w:ascii="宋体" w:hAnsi="宋体"/>
          <w:sz w:val="24"/>
          <w:szCs w:val="24"/>
        </w:rPr>
      </w:pPr>
      <w:r>
        <w:rPr>
          <w:rFonts w:hint="eastAsia" w:ascii="宋体" w:hAnsi="宋体"/>
          <w:sz w:val="24"/>
          <w:szCs w:val="24"/>
        </w:rPr>
        <w:t>（1）项目负责人：项目负责人为本单位人员，具有注册电气工程师（发输变电）资格（必须已在申请人单位注册），提供项目负责人执业资格证及缴纳的最近3个月社保证明复印件并加盖申请人单位公章。</w:t>
      </w:r>
    </w:p>
    <w:p w14:paraId="5831C9B2">
      <w:pPr>
        <w:spacing w:line="360" w:lineRule="auto"/>
        <w:ind w:firstLine="480" w:firstLineChars="200"/>
        <w:rPr>
          <w:rFonts w:ascii="宋体" w:hAnsi="宋体"/>
          <w:sz w:val="24"/>
          <w:szCs w:val="24"/>
        </w:rPr>
      </w:pPr>
      <w:r>
        <w:rPr>
          <w:rFonts w:hint="eastAsia" w:ascii="宋体" w:hAnsi="宋体"/>
          <w:sz w:val="24"/>
          <w:szCs w:val="24"/>
        </w:rPr>
        <w:t>（2）技术负责人：技术负责人为本单位人员，具有电力或电气类相应专业高级及以上技术职称，提供技术负责人执职称证件及缴纳的最近3个月社保证明复印件并加盖申请人单位公章。</w:t>
      </w:r>
    </w:p>
    <w:p w14:paraId="6D8B11A9">
      <w:pPr>
        <w:spacing w:line="360" w:lineRule="auto"/>
        <w:rPr>
          <w:rFonts w:ascii="宋体" w:hAnsi="宋体"/>
          <w:sz w:val="24"/>
          <w:szCs w:val="24"/>
        </w:rPr>
      </w:pPr>
      <w:r>
        <w:rPr>
          <w:rFonts w:hint="eastAsia" w:ascii="宋体" w:hAnsi="宋体"/>
          <w:sz w:val="24"/>
          <w:szCs w:val="24"/>
        </w:rPr>
        <w:t>3.3信誉要求</w:t>
      </w:r>
    </w:p>
    <w:p w14:paraId="18C383F9">
      <w:pPr>
        <w:spacing w:line="360" w:lineRule="auto"/>
        <w:ind w:firstLine="480" w:firstLineChars="200"/>
        <w:rPr>
          <w:rFonts w:ascii="宋体" w:hAnsi="宋体"/>
          <w:sz w:val="24"/>
          <w:szCs w:val="24"/>
        </w:rPr>
      </w:pPr>
      <w:r>
        <w:rPr>
          <w:rFonts w:hint="eastAsia" w:ascii="宋体" w:hAnsi="宋体"/>
          <w:sz w:val="24"/>
          <w:szCs w:val="24"/>
        </w:rPr>
        <w:t>未被有关行政部门暂停投标资格，或被有关行政部门暂停投标资格期限未满，不得在近两年内申请人或其法定代表人有行贿犯罪行为和不得在国家企业信用信息公示系统“http://www.gsxt.gov.cn/index.html”列入严重违法企业失信名单，需提供网上截图、并承诺无以上情形之一。</w:t>
      </w:r>
    </w:p>
    <w:bookmarkEnd w:id="31"/>
    <w:bookmarkEnd w:id="32"/>
    <w:bookmarkEnd w:id="33"/>
    <w:bookmarkEnd w:id="34"/>
    <w:bookmarkEnd w:id="35"/>
    <w:bookmarkEnd w:id="36"/>
    <w:bookmarkEnd w:id="37"/>
    <w:p w14:paraId="092FA3F6">
      <w:pPr>
        <w:spacing w:line="360" w:lineRule="auto"/>
        <w:rPr>
          <w:rFonts w:ascii="宋体" w:hAnsi="宋体"/>
          <w:b/>
          <w:snapToGrid w:val="0"/>
          <w:sz w:val="24"/>
          <w:szCs w:val="24"/>
        </w:rPr>
      </w:pPr>
      <w:r>
        <w:rPr>
          <w:rFonts w:hint="eastAsia" w:ascii="宋体" w:hAnsi="宋体"/>
          <w:b/>
          <w:snapToGrid w:val="0"/>
          <w:sz w:val="24"/>
          <w:szCs w:val="24"/>
        </w:rPr>
        <w:t>四、</w:t>
      </w:r>
      <w:bookmarkEnd w:id="38"/>
      <w:bookmarkEnd w:id="39"/>
      <w:bookmarkEnd w:id="40"/>
      <w:r>
        <w:rPr>
          <w:rFonts w:hint="eastAsia" w:ascii="宋体" w:hAnsi="宋体"/>
          <w:b/>
          <w:snapToGrid w:val="0"/>
          <w:sz w:val="24"/>
          <w:szCs w:val="24"/>
        </w:rPr>
        <w:t>询比价报价要求</w:t>
      </w:r>
    </w:p>
    <w:p w14:paraId="2FF4536A">
      <w:pPr>
        <w:spacing w:line="360" w:lineRule="auto"/>
        <w:rPr>
          <w:rFonts w:ascii="宋体" w:hAnsi="宋体"/>
          <w:sz w:val="24"/>
          <w:szCs w:val="24"/>
        </w:rPr>
      </w:pPr>
      <w:r>
        <w:rPr>
          <w:rFonts w:hint="eastAsia" w:ascii="宋体" w:hAnsi="宋体"/>
          <w:sz w:val="24"/>
          <w:szCs w:val="24"/>
        </w:rPr>
        <w:t>4.1报价文件要求密封，并加盖供应商单位公章；封皮注明询比价项目、报价单位及报价日期并加盖公章。除法定代表人和委托代理人签字外，其余手填无效。</w:t>
      </w:r>
    </w:p>
    <w:p w14:paraId="5292A92B">
      <w:pPr>
        <w:spacing w:line="360" w:lineRule="auto"/>
        <w:rPr>
          <w:rFonts w:ascii="宋体" w:hAnsi="宋体"/>
          <w:sz w:val="24"/>
          <w:szCs w:val="24"/>
        </w:rPr>
      </w:pPr>
      <w:r>
        <w:rPr>
          <w:rFonts w:hint="eastAsia" w:ascii="宋体" w:hAnsi="宋体"/>
          <w:sz w:val="24"/>
          <w:szCs w:val="24"/>
        </w:rPr>
        <w:t>4.2报价单位应根据自身实力和对询比价文件技术参数的理解，结合市场行情自主报价。</w:t>
      </w:r>
    </w:p>
    <w:p w14:paraId="520974FA">
      <w:pPr>
        <w:spacing w:line="360" w:lineRule="auto"/>
        <w:rPr>
          <w:rFonts w:ascii="宋体" w:hAnsi="宋体"/>
          <w:sz w:val="24"/>
          <w:szCs w:val="24"/>
        </w:rPr>
      </w:pPr>
      <w:r>
        <w:rPr>
          <w:rFonts w:hint="eastAsia" w:ascii="宋体" w:hAnsi="宋体"/>
          <w:sz w:val="24"/>
          <w:szCs w:val="24"/>
        </w:rPr>
        <w:t>4.3本询比价不设置最高限价，本项目报价以人民币报价，一次性报价且为最终报价，所有报价均含6%增值税。</w:t>
      </w:r>
      <w:r>
        <w:rPr>
          <w:rStyle w:val="16"/>
          <w:rFonts w:hint="eastAsia" w:ascii="宋体" w:hAnsi="宋体" w:cs="宋体"/>
          <w:color w:val="auto"/>
          <w:kern w:val="0"/>
          <w:sz w:val="24"/>
          <w:szCs w:val="24"/>
          <w:u w:val="none"/>
        </w:rPr>
        <w:t>费用的范围包括完成合同全部义务应承担的一切成本</w:t>
      </w:r>
      <w:r>
        <w:rPr>
          <w:rFonts w:hint="eastAsia" w:ascii="宋体" w:hAnsi="宋体"/>
          <w:sz w:val="24"/>
          <w:szCs w:val="24"/>
        </w:rPr>
        <w:t>，包括但不限于资料收集、配合用电方案申请与批复、方案设计、初步设计、施工图设计、施工图审图、</w:t>
      </w:r>
      <w:r>
        <w:rPr>
          <w:rStyle w:val="16"/>
          <w:rFonts w:hint="eastAsia" w:ascii="宋体" w:hAnsi="宋体" w:cs="宋体"/>
          <w:color w:val="auto"/>
          <w:kern w:val="0"/>
          <w:sz w:val="24"/>
          <w:szCs w:val="24"/>
          <w:u w:val="none"/>
        </w:rPr>
        <w:t>施工图概算编制、</w:t>
      </w:r>
      <w:r>
        <w:rPr>
          <w:rFonts w:hint="eastAsia" w:ascii="宋体" w:hAnsi="宋体"/>
          <w:sz w:val="24"/>
          <w:szCs w:val="24"/>
        </w:rPr>
        <w:t>施工现场服务、施工过程中二次深化设计及变更等设计各阶段的人员工资、差旅费、保险费、伙食补助、资料费、出图费用、</w:t>
      </w:r>
      <w:r>
        <w:rPr>
          <w:rStyle w:val="16"/>
          <w:rFonts w:hint="eastAsia" w:ascii="宋体" w:hAnsi="宋体" w:cs="宋体"/>
          <w:color w:val="auto"/>
          <w:kern w:val="0"/>
          <w:sz w:val="24"/>
          <w:szCs w:val="24"/>
          <w:u w:val="none"/>
        </w:rPr>
        <w:t>税金、利润</w:t>
      </w:r>
      <w:r>
        <w:rPr>
          <w:rFonts w:hint="eastAsia" w:ascii="宋体" w:hAnsi="宋体"/>
          <w:sz w:val="24"/>
          <w:szCs w:val="24"/>
        </w:rPr>
        <w:t>等一切与设计有关的费用。</w:t>
      </w:r>
    </w:p>
    <w:p w14:paraId="20E82B85">
      <w:pPr>
        <w:spacing w:line="360" w:lineRule="auto"/>
        <w:rPr>
          <w:rFonts w:ascii="宋体" w:hAnsi="宋体"/>
          <w:sz w:val="24"/>
          <w:szCs w:val="24"/>
        </w:rPr>
      </w:pPr>
      <w:r>
        <w:rPr>
          <w:rFonts w:hint="eastAsia" w:ascii="宋体" w:hAnsi="宋体"/>
          <w:sz w:val="24"/>
          <w:szCs w:val="24"/>
        </w:rPr>
        <w:t>4</w:t>
      </w:r>
      <w:r>
        <w:rPr>
          <w:rFonts w:ascii="宋体" w:hAnsi="宋体"/>
          <w:sz w:val="24"/>
          <w:szCs w:val="24"/>
        </w:rPr>
        <w:t>.5</w:t>
      </w:r>
      <w:r>
        <w:rPr>
          <w:rFonts w:hint="eastAsia" w:ascii="宋体" w:hAnsi="宋体"/>
          <w:sz w:val="24"/>
          <w:szCs w:val="24"/>
        </w:rPr>
        <w:t>报价文件附件</w:t>
      </w:r>
      <w:r>
        <w:rPr>
          <w:rFonts w:ascii="宋体" w:hAnsi="宋体"/>
          <w:sz w:val="24"/>
          <w:szCs w:val="24"/>
        </w:rPr>
        <w:t>电子表格顺序和项目</w:t>
      </w:r>
      <w:r>
        <w:rPr>
          <w:rFonts w:hint="eastAsia" w:ascii="宋体" w:hAnsi="宋体"/>
          <w:sz w:val="24"/>
          <w:szCs w:val="24"/>
        </w:rPr>
        <w:t>不能</w:t>
      </w:r>
      <w:r>
        <w:rPr>
          <w:rFonts w:ascii="宋体" w:hAnsi="宋体"/>
          <w:sz w:val="24"/>
          <w:szCs w:val="24"/>
        </w:rPr>
        <w:t>颠倒顺序及删减，不按照要求报价</w:t>
      </w:r>
      <w:r>
        <w:rPr>
          <w:rFonts w:hint="eastAsia" w:ascii="宋体" w:hAnsi="宋体"/>
          <w:sz w:val="24"/>
          <w:szCs w:val="24"/>
        </w:rPr>
        <w:t>采购</w:t>
      </w:r>
      <w:r>
        <w:rPr>
          <w:rFonts w:ascii="宋体" w:hAnsi="宋体"/>
          <w:sz w:val="24"/>
          <w:szCs w:val="24"/>
        </w:rPr>
        <w:t>方可以做否决处理</w:t>
      </w:r>
      <w:r>
        <w:rPr>
          <w:rFonts w:hint="eastAsia" w:ascii="宋体" w:hAnsi="宋体"/>
          <w:sz w:val="24"/>
          <w:szCs w:val="24"/>
        </w:rPr>
        <w:t>。</w:t>
      </w:r>
      <w:bookmarkStart w:id="41" w:name="_Toc7273"/>
      <w:bookmarkStart w:id="42" w:name="_Toc19404"/>
      <w:bookmarkStart w:id="43" w:name="_Toc23380"/>
      <w:bookmarkStart w:id="44" w:name="_Toc1277"/>
      <w:bookmarkStart w:id="45" w:name="_Toc19904"/>
      <w:bookmarkStart w:id="46" w:name="_Toc5540"/>
      <w:bookmarkStart w:id="47" w:name="_Toc27438"/>
      <w:bookmarkStart w:id="48" w:name="_Toc22256"/>
      <w:bookmarkStart w:id="49" w:name="_Toc11777"/>
      <w:bookmarkStart w:id="50" w:name="_Toc14186"/>
    </w:p>
    <w:p w14:paraId="7C8789B4">
      <w:pPr>
        <w:spacing w:line="360" w:lineRule="auto"/>
        <w:rPr>
          <w:rFonts w:ascii="宋体" w:hAnsi="宋体"/>
          <w:b/>
          <w:sz w:val="24"/>
          <w:szCs w:val="24"/>
        </w:rPr>
      </w:pPr>
      <w:r>
        <w:rPr>
          <w:rFonts w:hint="eastAsia" w:ascii="宋体" w:hAnsi="宋体"/>
          <w:b/>
          <w:sz w:val="24"/>
          <w:szCs w:val="24"/>
        </w:rPr>
        <w:t>五、付款方式：</w:t>
      </w:r>
    </w:p>
    <w:p w14:paraId="71B4080A">
      <w:pPr>
        <w:spacing w:line="360" w:lineRule="auto"/>
        <w:rPr>
          <w:rFonts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银行承兑汇票或现金电汇。</w:t>
      </w:r>
    </w:p>
    <w:p w14:paraId="285270EA">
      <w:pPr>
        <w:spacing w:line="360" w:lineRule="auto"/>
        <w:rPr>
          <w:rFonts w:ascii="宋体" w:hAnsi="宋体"/>
          <w:sz w:val="24"/>
          <w:szCs w:val="24"/>
        </w:rPr>
      </w:pPr>
      <w:r>
        <w:rPr>
          <w:rFonts w:hint="eastAsia" w:ascii="宋体" w:hAnsi="宋体"/>
          <w:sz w:val="24"/>
          <w:szCs w:val="24"/>
        </w:rPr>
        <w:t>5</w:t>
      </w:r>
      <w:r>
        <w:rPr>
          <w:rFonts w:ascii="宋体" w:hAnsi="宋体"/>
          <w:sz w:val="24"/>
          <w:szCs w:val="24"/>
        </w:rPr>
        <w:t>.2</w:t>
      </w:r>
      <w:r>
        <w:rPr>
          <w:rFonts w:hint="eastAsia" w:ascii="宋体" w:hAnsi="宋体"/>
          <w:sz w:val="24"/>
          <w:szCs w:val="24"/>
        </w:rPr>
        <w:t>完成施工图设计并提供经审查合格的全套文件资料交于采购人，采购人在</w:t>
      </w:r>
      <w:r>
        <w:rPr>
          <w:rFonts w:ascii="宋体" w:hAnsi="宋体"/>
          <w:sz w:val="24"/>
          <w:szCs w:val="24"/>
        </w:rPr>
        <w:t>30</w:t>
      </w:r>
      <w:r>
        <w:rPr>
          <w:rFonts w:hint="eastAsia" w:ascii="宋体" w:hAnsi="宋体"/>
          <w:sz w:val="24"/>
          <w:szCs w:val="24"/>
        </w:rPr>
        <w:t>日内支付合同金额的70%。</w:t>
      </w:r>
    </w:p>
    <w:p w14:paraId="2BE91C0C">
      <w:pPr>
        <w:spacing w:line="360" w:lineRule="auto"/>
        <w:rPr>
          <w:rFonts w:ascii="宋体" w:hAnsi="宋体"/>
          <w:sz w:val="24"/>
          <w:szCs w:val="24"/>
        </w:rPr>
      </w:pPr>
      <w:r>
        <w:rPr>
          <w:rFonts w:hint="eastAsia" w:ascii="宋体" w:hAnsi="宋体"/>
          <w:sz w:val="24"/>
          <w:szCs w:val="24"/>
        </w:rPr>
        <w:t>5</w:t>
      </w:r>
      <w:r>
        <w:rPr>
          <w:rFonts w:ascii="宋体" w:hAnsi="宋体"/>
          <w:sz w:val="24"/>
          <w:szCs w:val="24"/>
        </w:rPr>
        <w:t>.3</w:t>
      </w:r>
      <w:r>
        <w:rPr>
          <w:rFonts w:hint="eastAsia" w:ascii="宋体" w:hAnsi="宋体"/>
          <w:sz w:val="24"/>
          <w:szCs w:val="24"/>
        </w:rPr>
        <w:t>工程竣工验收后，</w:t>
      </w:r>
      <w:r>
        <w:rPr>
          <w:rFonts w:ascii="宋体" w:hAnsi="宋体"/>
          <w:sz w:val="24"/>
          <w:szCs w:val="24"/>
        </w:rPr>
        <w:t>30日</w:t>
      </w:r>
      <w:r>
        <w:rPr>
          <w:rFonts w:hint="eastAsia" w:ascii="宋体" w:hAnsi="宋体"/>
          <w:sz w:val="24"/>
          <w:szCs w:val="24"/>
        </w:rPr>
        <w:t>内支付合同金额的30% 。</w:t>
      </w:r>
    </w:p>
    <w:p w14:paraId="56647353">
      <w:pPr>
        <w:spacing w:line="360" w:lineRule="auto"/>
        <w:rPr>
          <w:rFonts w:ascii="宋体" w:hAnsi="宋体"/>
          <w:sz w:val="24"/>
          <w:szCs w:val="24"/>
        </w:rPr>
      </w:pPr>
      <w:r>
        <w:rPr>
          <w:rFonts w:hint="eastAsia" w:ascii="宋体" w:hAnsi="宋体"/>
          <w:sz w:val="24"/>
          <w:szCs w:val="24"/>
        </w:rPr>
        <w:t>5</w:t>
      </w:r>
      <w:r>
        <w:rPr>
          <w:rFonts w:ascii="宋体" w:hAnsi="宋体"/>
          <w:sz w:val="24"/>
          <w:szCs w:val="24"/>
        </w:rPr>
        <w:t>.4</w:t>
      </w:r>
      <w:r>
        <w:rPr>
          <w:rFonts w:hint="eastAsia" w:ascii="宋体" w:hAnsi="宋体"/>
          <w:sz w:val="24"/>
          <w:szCs w:val="24"/>
        </w:rPr>
        <w:t>采购人在支付服务费前，需收到服务商开具税率为6%的全额增值税专用发票，否则不予支付。</w:t>
      </w:r>
    </w:p>
    <w:p w14:paraId="11014FA6">
      <w:pPr>
        <w:spacing w:line="360" w:lineRule="auto"/>
        <w:rPr>
          <w:rFonts w:ascii="宋体" w:hAnsi="宋体"/>
          <w:b/>
          <w:sz w:val="24"/>
          <w:szCs w:val="24"/>
        </w:rPr>
      </w:pPr>
      <w:r>
        <w:rPr>
          <w:rFonts w:hint="eastAsia" w:ascii="宋体" w:hAnsi="宋体"/>
          <w:b/>
          <w:sz w:val="24"/>
          <w:szCs w:val="24"/>
        </w:rPr>
        <w:t>六、询比价时间</w:t>
      </w:r>
    </w:p>
    <w:p w14:paraId="12A3B5D7">
      <w:pPr>
        <w:spacing w:line="360" w:lineRule="auto"/>
        <w:rPr>
          <w:rFonts w:ascii="宋体" w:hAnsi="宋体" w:cs="宋体"/>
          <w:sz w:val="24"/>
          <w:szCs w:val="24"/>
        </w:rPr>
      </w:pPr>
      <w:r>
        <w:rPr>
          <w:rFonts w:hint="eastAsia" w:ascii="宋体" w:hAnsi="宋体"/>
          <w:sz w:val="24"/>
          <w:szCs w:val="24"/>
        </w:rPr>
        <w:t>6</w:t>
      </w:r>
      <w:r>
        <w:rPr>
          <w:rFonts w:ascii="宋体" w:hAnsi="宋体"/>
          <w:sz w:val="24"/>
          <w:szCs w:val="24"/>
        </w:rPr>
        <w:t>.1</w:t>
      </w:r>
      <w:r>
        <w:rPr>
          <w:rFonts w:hint="eastAsia" w:ascii="宋体" w:hAnsi="宋体"/>
          <w:sz w:val="24"/>
          <w:szCs w:val="24"/>
        </w:rPr>
        <w:t>本次询比价开始时间</w:t>
      </w:r>
      <w:r>
        <w:rPr>
          <w:rFonts w:hint="eastAsia" w:ascii="宋体" w:hAnsi="宋体"/>
          <w:sz w:val="24"/>
          <w:szCs w:val="24"/>
          <w:u w:val="single"/>
        </w:rPr>
        <w:t xml:space="preserve"> 2025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3</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7</w:t>
      </w:r>
      <w:r>
        <w:rPr>
          <w:rFonts w:hint="eastAsia" w:ascii="宋体" w:hAnsi="宋体"/>
          <w:sz w:val="24"/>
          <w:szCs w:val="24"/>
          <w:u w:val="single"/>
        </w:rPr>
        <w:t xml:space="preserve"> </w:t>
      </w:r>
      <w:r>
        <w:rPr>
          <w:rFonts w:hint="eastAsia" w:ascii="宋体" w:hAnsi="宋体"/>
          <w:sz w:val="24"/>
          <w:szCs w:val="24"/>
        </w:rPr>
        <w:t>日，结束时间</w:t>
      </w:r>
      <w:r>
        <w:rPr>
          <w:rFonts w:hint="eastAsia" w:ascii="宋体" w:hAnsi="宋体"/>
          <w:sz w:val="24"/>
          <w:szCs w:val="24"/>
          <w:u w:val="single"/>
        </w:rPr>
        <w:t xml:space="preserve"> 2025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3</w:t>
      </w:r>
      <w:r>
        <w:rPr>
          <w:rFonts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1</w:t>
      </w:r>
      <w:r>
        <w:rPr>
          <w:rFonts w:hint="eastAsia" w:ascii="宋体" w:hAnsi="宋体"/>
          <w:sz w:val="24"/>
          <w:szCs w:val="24"/>
          <w:u w:val="single"/>
          <w:lang w:val="en-US" w:eastAsia="zh-CN"/>
        </w:rPr>
        <w:t>0</w:t>
      </w:r>
      <w:r>
        <w:rPr>
          <w:rFonts w:hint="eastAsia" w:ascii="宋体" w:hAnsi="宋体"/>
          <w:sz w:val="24"/>
          <w:szCs w:val="24"/>
          <w:u w:val="single"/>
        </w:rPr>
        <w:t xml:space="preserve"> </w:t>
      </w:r>
      <w:r>
        <w:rPr>
          <w:rFonts w:hint="eastAsia" w:ascii="宋体" w:hAnsi="宋体"/>
          <w:sz w:val="24"/>
          <w:szCs w:val="24"/>
        </w:rPr>
        <w:t>日。</w:t>
      </w:r>
    </w:p>
    <w:p w14:paraId="2CA44548">
      <w:pPr>
        <w:spacing w:line="360" w:lineRule="auto"/>
        <w:rPr>
          <w:rFonts w:ascii="宋体" w:hAnsi="宋体"/>
          <w:sz w:val="24"/>
          <w:szCs w:val="24"/>
        </w:rPr>
      </w:pPr>
      <w:r>
        <w:rPr>
          <w:rFonts w:hint="eastAsia" w:ascii="宋体" w:hAnsi="宋体"/>
          <w:sz w:val="24"/>
          <w:szCs w:val="24"/>
        </w:rPr>
        <w:t>6</w:t>
      </w:r>
      <w:r>
        <w:rPr>
          <w:rFonts w:ascii="宋体" w:hAnsi="宋体"/>
          <w:sz w:val="24"/>
          <w:szCs w:val="24"/>
        </w:rPr>
        <w:t>.2</w:t>
      </w:r>
      <w:r>
        <w:rPr>
          <w:rFonts w:hint="eastAsia" w:ascii="宋体" w:hAnsi="宋体"/>
          <w:sz w:val="24"/>
          <w:szCs w:val="24"/>
        </w:rPr>
        <w:t xml:space="preserve">取得询比价文件的联系方式： </w:t>
      </w:r>
    </w:p>
    <w:p w14:paraId="34CEDDDC">
      <w:pPr>
        <w:spacing w:line="360" w:lineRule="auto"/>
        <w:ind w:firstLine="480" w:firstLineChars="200"/>
        <w:rPr>
          <w:rFonts w:ascii="宋体" w:hAnsi="宋体"/>
          <w:sz w:val="24"/>
          <w:szCs w:val="24"/>
        </w:rPr>
      </w:pPr>
      <w:r>
        <w:rPr>
          <w:rFonts w:hint="eastAsia" w:ascii="宋体" w:hAnsi="宋体"/>
          <w:sz w:val="24"/>
          <w:szCs w:val="24"/>
        </w:rPr>
        <w:t>采   购   人：重庆</w:t>
      </w:r>
      <w:r>
        <w:rPr>
          <w:rFonts w:hint="eastAsia" w:ascii="宋体" w:hAnsi="宋体"/>
          <w:sz w:val="24"/>
          <w:szCs w:val="24"/>
          <w:lang w:val="en-US" w:eastAsia="zh-CN"/>
        </w:rPr>
        <w:t>天泽新</w:t>
      </w:r>
      <w:r>
        <w:rPr>
          <w:rFonts w:hint="eastAsia" w:ascii="宋体" w:hAnsi="宋体"/>
          <w:sz w:val="24"/>
          <w:szCs w:val="24"/>
        </w:rPr>
        <w:t xml:space="preserve">材料有限公司 </w:t>
      </w:r>
    </w:p>
    <w:p w14:paraId="0A892FBD">
      <w:pPr>
        <w:spacing w:line="360" w:lineRule="auto"/>
        <w:ind w:firstLine="480" w:firstLineChars="200"/>
        <w:rPr>
          <w:rFonts w:ascii="宋体" w:hAnsi="宋体"/>
          <w:sz w:val="24"/>
          <w:szCs w:val="24"/>
        </w:rPr>
      </w:pPr>
      <w:r>
        <w:rPr>
          <w:rFonts w:hint="eastAsia" w:ascii="宋体" w:hAnsi="宋体"/>
          <w:sz w:val="24"/>
          <w:szCs w:val="24"/>
        </w:rPr>
        <w:t>地        址：重庆市大渡口区建桥工业园</w:t>
      </w:r>
      <w:r>
        <w:rPr>
          <w:rFonts w:ascii="宋体" w:hAnsi="宋体"/>
          <w:sz w:val="24"/>
          <w:szCs w:val="24"/>
        </w:rPr>
        <w:t>B</w:t>
      </w:r>
      <w:r>
        <w:rPr>
          <w:rFonts w:hint="eastAsia" w:ascii="宋体" w:hAnsi="宋体"/>
          <w:sz w:val="24"/>
          <w:szCs w:val="24"/>
        </w:rPr>
        <w:t>区</w:t>
      </w:r>
    </w:p>
    <w:p w14:paraId="77B38520">
      <w:pPr>
        <w:spacing w:line="360" w:lineRule="auto"/>
        <w:ind w:firstLine="480" w:firstLineChars="200"/>
        <w:rPr>
          <w:rFonts w:ascii="宋体" w:hAnsi="宋体"/>
          <w:sz w:val="24"/>
          <w:szCs w:val="24"/>
          <w:u w:val="single"/>
        </w:rPr>
      </w:pPr>
      <w:r>
        <w:rPr>
          <w:rFonts w:hint="eastAsia" w:ascii="宋体" w:hAnsi="宋体"/>
          <w:sz w:val="24"/>
          <w:szCs w:val="24"/>
        </w:rPr>
        <w:t>联   系   人：</w:t>
      </w:r>
      <w:r>
        <w:rPr>
          <w:rFonts w:hint="eastAsia" w:ascii="宋体" w:hAnsi="宋体"/>
          <w:sz w:val="24"/>
          <w:szCs w:val="24"/>
          <w:u w:val="single"/>
        </w:rPr>
        <w:t xml:space="preserve">    杨老师     </w:t>
      </w:r>
      <w:r>
        <w:rPr>
          <w:rFonts w:hint="eastAsia" w:ascii="宋体" w:hAnsi="宋体"/>
          <w:sz w:val="24"/>
          <w:szCs w:val="24"/>
        </w:rPr>
        <w:t xml:space="preserve"> 联系电话：</w:t>
      </w:r>
      <w:r>
        <w:rPr>
          <w:rFonts w:hint="eastAsia" w:ascii="宋体" w:hAnsi="宋体"/>
          <w:sz w:val="24"/>
          <w:szCs w:val="24"/>
          <w:u w:val="single"/>
        </w:rPr>
        <w:t xml:space="preserve"> </w:t>
      </w:r>
      <w:r>
        <w:rPr>
          <w:rFonts w:ascii="宋体" w:hAnsi="宋体"/>
          <w:sz w:val="24"/>
          <w:szCs w:val="24"/>
          <w:u w:val="single"/>
        </w:rPr>
        <w:t>18983993055</w:t>
      </w:r>
    </w:p>
    <w:p w14:paraId="5321F4C6">
      <w:pPr>
        <w:spacing w:line="360" w:lineRule="auto"/>
        <w:ind w:firstLine="480" w:firstLineChars="200"/>
        <w:rPr>
          <w:rFonts w:hint="default" w:eastAsia="宋体"/>
          <w:lang w:val="en-US" w:eastAsia="zh-CN"/>
        </w:rPr>
      </w:pPr>
      <w:r>
        <w:rPr>
          <w:rFonts w:hint="eastAsia" w:ascii="宋体" w:hAnsi="宋体"/>
          <w:sz w:val="24"/>
          <w:szCs w:val="24"/>
          <w:u w:val="none"/>
          <w:lang w:val="en-US" w:eastAsia="zh-CN"/>
        </w:rPr>
        <w:t xml:space="preserve">技 术 联系人： </w:t>
      </w:r>
      <w:r>
        <w:rPr>
          <w:rFonts w:hint="eastAsia" w:ascii="宋体" w:hAnsi="宋体"/>
          <w:sz w:val="24"/>
          <w:szCs w:val="24"/>
          <w:u w:val="single"/>
          <w:lang w:val="en-US" w:eastAsia="zh-CN"/>
        </w:rPr>
        <w:t xml:space="preserve">申继环  </w:t>
      </w:r>
      <w:r>
        <w:rPr>
          <w:rFonts w:hint="eastAsia" w:ascii="宋体" w:hAnsi="宋体"/>
          <w:sz w:val="24"/>
          <w:szCs w:val="24"/>
          <w:u w:val="none"/>
          <w:lang w:val="en-US" w:eastAsia="zh-CN"/>
        </w:rPr>
        <w:t xml:space="preserve">  联系电话：</w:t>
      </w:r>
      <w:r>
        <w:rPr>
          <w:rFonts w:hint="eastAsia" w:ascii="宋体" w:hAnsi="宋体"/>
          <w:sz w:val="24"/>
          <w:szCs w:val="24"/>
          <w:u w:val="single"/>
          <w:lang w:val="en-US" w:eastAsia="zh-CN"/>
        </w:rPr>
        <w:t xml:space="preserve"> 18166446675</w:t>
      </w:r>
    </w:p>
    <w:p w14:paraId="2B0FA5B2">
      <w:pPr>
        <w:spacing w:line="360" w:lineRule="auto"/>
        <w:rPr>
          <w:rFonts w:ascii="宋体" w:hAnsi="宋体"/>
          <w:b/>
          <w:sz w:val="24"/>
          <w:szCs w:val="24"/>
        </w:rPr>
      </w:pPr>
      <w:r>
        <w:rPr>
          <w:rFonts w:hint="eastAsia" w:ascii="宋体" w:hAnsi="宋体"/>
          <w:b/>
          <w:sz w:val="24"/>
          <w:szCs w:val="24"/>
        </w:rPr>
        <w:t>七、</w:t>
      </w:r>
      <w:r>
        <w:rPr>
          <w:rFonts w:ascii="宋体" w:hAnsi="宋体"/>
          <w:b/>
          <w:sz w:val="24"/>
          <w:szCs w:val="24"/>
        </w:rPr>
        <w:t>监督</w:t>
      </w:r>
      <w:r>
        <w:rPr>
          <w:rFonts w:hint="eastAsia" w:ascii="宋体" w:hAnsi="宋体"/>
          <w:b/>
          <w:sz w:val="24"/>
          <w:szCs w:val="24"/>
        </w:rPr>
        <w:t>联系方式</w:t>
      </w:r>
      <w:bookmarkStart w:id="62" w:name="_GoBack"/>
      <w:bookmarkEnd w:id="62"/>
    </w:p>
    <w:p w14:paraId="5A27D38A">
      <w:pPr>
        <w:spacing w:line="360" w:lineRule="auto"/>
        <w:rPr>
          <w:rFonts w:ascii="宋体" w:hAnsi="宋体"/>
          <w:sz w:val="24"/>
          <w:szCs w:val="24"/>
        </w:rPr>
      </w:pPr>
      <w:r>
        <w:rPr>
          <w:rFonts w:hint="eastAsia" w:ascii="宋体" w:hAnsi="宋体"/>
          <w:sz w:val="24"/>
          <w:szCs w:val="24"/>
        </w:rPr>
        <w:t>　　监督人：重庆国际复合材料股份有限公司风险管理部</w:t>
      </w:r>
    </w:p>
    <w:p w14:paraId="1C02F61A">
      <w:pPr>
        <w:spacing w:line="360" w:lineRule="auto"/>
        <w:rPr>
          <w:rFonts w:ascii="宋体" w:hAnsi="宋体"/>
          <w:sz w:val="24"/>
          <w:szCs w:val="24"/>
        </w:rPr>
      </w:pPr>
      <w:r>
        <w:rPr>
          <w:rFonts w:ascii="宋体" w:hAnsi="宋体"/>
          <w:sz w:val="24"/>
          <w:szCs w:val="24"/>
        </w:rPr>
        <w:t>  </w:t>
      </w:r>
      <w:r>
        <w:rPr>
          <w:rFonts w:hint="eastAsia" w:ascii="宋体" w:hAnsi="宋体"/>
          <w:sz w:val="24"/>
          <w:szCs w:val="24"/>
        </w:rPr>
        <w:t>地址：重庆市大渡口区建桥工业园</w:t>
      </w:r>
      <w:r>
        <w:rPr>
          <w:rFonts w:ascii="宋体" w:hAnsi="宋体"/>
          <w:sz w:val="24"/>
          <w:szCs w:val="24"/>
        </w:rPr>
        <w:t>B</w:t>
      </w:r>
      <w:r>
        <w:rPr>
          <w:rFonts w:hint="eastAsia" w:ascii="宋体" w:hAnsi="宋体"/>
          <w:sz w:val="24"/>
          <w:szCs w:val="24"/>
        </w:rPr>
        <w:t>区</w:t>
      </w:r>
      <w:r>
        <w:rPr>
          <w:rFonts w:ascii="宋体" w:hAnsi="宋体"/>
          <w:sz w:val="24"/>
          <w:szCs w:val="24"/>
        </w:rPr>
        <w:t xml:space="preserve"> </w:t>
      </w:r>
    </w:p>
    <w:p w14:paraId="3D754F2E">
      <w:pPr>
        <w:spacing w:line="360" w:lineRule="auto"/>
        <w:ind w:firstLine="480" w:firstLineChars="200"/>
        <w:rPr>
          <w:rFonts w:ascii="宋体" w:hAnsi="宋体"/>
          <w:sz w:val="24"/>
          <w:szCs w:val="24"/>
        </w:rPr>
      </w:pPr>
      <w:r>
        <w:rPr>
          <w:rFonts w:hint="eastAsia" w:ascii="宋体" w:hAnsi="宋体"/>
          <w:sz w:val="24"/>
          <w:szCs w:val="24"/>
        </w:rPr>
        <w:t xml:space="preserve">联系人：付老师 </w:t>
      </w:r>
    </w:p>
    <w:p w14:paraId="196D055C">
      <w:pPr>
        <w:spacing w:line="360" w:lineRule="auto"/>
        <w:ind w:firstLine="480" w:firstLineChars="200"/>
        <w:rPr>
          <w:rFonts w:ascii="宋体" w:hAnsi="宋体"/>
          <w:sz w:val="24"/>
          <w:szCs w:val="24"/>
        </w:rPr>
      </w:pPr>
      <w:r>
        <w:rPr>
          <w:rFonts w:hint="eastAsia" w:ascii="宋体" w:hAnsi="宋体"/>
          <w:sz w:val="24"/>
          <w:szCs w:val="24"/>
        </w:rPr>
        <w:t>联系电话：68548669</w:t>
      </w:r>
    </w:p>
    <w:p w14:paraId="10938725">
      <w:pPr>
        <w:spacing w:line="360" w:lineRule="auto"/>
        <w:rPr>
          <w:rFonts w:ascii="宋体" w:hAnsi="宋体"/>
          <w:b/>
          <w:sz w:val="24"/>
          <w:szCs w:val="24"/>
        </w:rPr>
      </w:pPr>
      <w:r>
        <w:rPr>
          <w:rFonts w:hint="eastAsia" w:ascii="宋体" w:hAnsi="宋体"/>
          <w:b/>
          <w:sz w:val="24"/>
          <w:szCs w:val="24"/>
        </w:rPr>
        <w:t>八、文件递交</w:t>
      </w:r>
    </w:p>
    <w:p w14:paraId="0C6AA18C">
      <w:pPr>
        <w:numPr>
          <w:ilvl w:val="0"/>
          <w:numId w:val="3"/>
        </w:numPr>
        <w:tabs>
          <w:tab w:val="left" w:pos="1425"/>
        </w:tabs>
        <w:spacing w:line="360" w:lineRule="auto"/>
        <w:rPr>
          <w:rFonts w:ascii="宋体" w:hAnsi="宋体" w:cs="宋体"/>
          <w:sz w:val="24"/>
          <w:szCs w:val="24"/>
        </w:rPr>
      </w:pPr>
      <w:r>
        <w:rPr>
          <w:rFonts w:hint="eastAsia" w:ascii="宋体" w:hAnsi="宋体" w:cs="宋体"/>
          <w:sz w:val="24"/>
          <w:szCs w:val="24"/>
        </w:rPr>
        <w:t>报价文件递交截止时间：</w:t>
      </w:r>
      <w:r>
        <w:rPr>
          <w:rFonts w:hint="eastAsia" w:ascii="宋体" w:hAnsi="宋体" w:cs="宋体"/>
          <w:sz w:val="24"/>
          <w:szCs w:val="24"/>
          <w:u w:val="single"/>
        </w:rPr>
        <w:t xml:space="preserve"> 2025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3</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ascii="宋体" w:hAnsi="宋体" w:cs="宋体"/>
          <w:sz w:val="24"/>
          <w:szCs w:val="24"/>
          <w:u w:val="single"/>
        </w:rPr>
        <w:t xml:space="preserve"> 1</w:t>
      </w:r>
      <w:r>
        <w:rPr>
          <w:rFonts w:hint="eastAsia" w:ascii="宋体" w:hAnsi="宋体" w:cs="宋体"/>
          <w:sz w:val="24"/>
          <w:szCs w:val="24"/>
          <w:u w:val="single"/>
          <w:lang w:val="en-US" w:eastAsia="zh-CN"/>
        </w:rPr>
        <w:t>0</w:t>
      </w:r>
      <w:r>
        <w:rPr>
          <w:rFonts w:hint="eastAsia" w:ascii="宋体" w:hAnsi="宋体" w:cs="宋体"/>
          <w:sz w:val="24"/>
          <w:szCs w:val="24"/>
          <w:u w:val="single"/>
        </w:rPr>
        <w:t xml:space="preserve"> </w:t>
      </w:r>
      <w:r>
        <w:rPr>
          <w:rFonts w:hint="eastAsia" w:ascii="宋体" w:hAnsi="宋体" w:cs="宋体"/>
          <w:sz w:val="24"/>
          <w:szCs w:val="24"/>
        </w:rPr>
        <w:t>日上午</w:t>
      </w:r>
      <w:r>
        <w:rPr>
          <w:rFonts w:ascii="宋体" w:hAnsi="宋体" w:cs="宋体"/>
          <w:sz w:val="24"/>
          <w:szCs w:val="24"/>
          <w:u w:val="single"/>
        </w:rPr>
        <w:t xml:space="preserve"> </w:t>
      </w:r>
      <w:r>
        <w:rPr>
          <w:rFonts w:hint="eastAsia" w:ascii="宋体" w:hAnsi="宋体" w:cs="宋体"/>
          <w:sz w:val="24"/>
          <w:szCs w:val="24"/>
          <w:u w:val="single"/>
        </w:rPr>
        <w:t xml:space="preserve">10 </w:t>
      </w:r>
      <w:r>
        <w:rPr>
          <w:rFonts w:ascii="宋体" w:hAnsi="宋体" w:cs="宋体"/>
          <w:sz w:val="24"/>
          <w:szCs w:val="24"/>
        </w:rPr>
        <w:t>时</w:t>
      </w:r>
      <w:r>
        <w:rPr>
          <w:rFonts w:hint="eastAsia" w:ascii="宋体" w:hAnsi="宋体" w:cs="宋体"/>
          <w:sz w:val="24"/>
          <w:szCs w:val="24"/>
          <w:u w:val="single"/>
        </w:rPr>
        <w:t xml:space="preserve"> 00</w:t>
      </w:r>
      <w:r>
        <w:rPr>
          <w:rFonts w:ascii="宋体" w:hAnsi="宋体" w:cs="宋体"/>
          <w:sz w:val="24"/>
          <w:szCs w:val="24"/>
          <w:u w:val="single"/>
        </w:rPr>
        <w:t xml:space="preserve"> </w:t>
      </w:r>
      <w:r>
        <w:rPr>
          <w:rFonts w:hint="eastAsia" w:ascii="宋体" w:hAnsi="宋体" w:cs="宋体"/>
          <w:sz w:val="24"/>
          <w:szCs w:val="24"/>
        </w:rPr>
        <w:t>分；递交地点为：重庆市大渡口区重庆国际复合材料股份有限公司（可邮寄）。</w:t>
      </w:r>
    </w:p>
    <w:p w14:paraId="6379C058">
      <w:pPr>
        <w:numPr>
          <w:ilvl w:val="0"/>
          <w:numId w:val="3"/>
        </w:numPr>
        <w:tabs>
          <w:tab w:val="left" w:pos="1425"/>
        </w:tabs>
        <w:spacing w:line="360" w:lineRule="auto"/>
        <w:rPr>
          <w:rFonts w:ascii="宋体" w:hAnsi="宋体" w:cs="宋体"/>
          <w:sz w:val="24"/>
          <w:szCs w:val="24"/>
        </w:rPr>
      </w:pPr>
      <w:r>
        <w:rPr>
          <w:rFonts w:hint="eastAsia" w:ascii="宋体" w:hAnsi="宋体" w:cs="宋体"/>
          <w:sz w:val="24"/>
          <w:szCs w:val="24"/>
        </w:rPr>
        <w:t>比价时间：报价文件递交截止之日起3个工作日内。</w:t>
      </w:r>
    </w:p>
    <w:p w14:paraId="57AB0B3A">
      <w:pPr>
        <w:numPr>
          <w:ilvl w:val="0"/>
          <w:numId w:val="3"/>
        </w:numPr>
        <w:tabs>
          <w:tab w:val="left" w:pos="1425"/>
        </w:tabs>
        <w:spacing w:line="360" w:lineRule="auto"/>
        <w:rPr>
          <w:rFonts w:ascii="宋体" w:hAnsi="宋体" w:cs="宋体"/>
          <w:sz w:val="24"/>
          <w:szCs w:val="24"/>
        </w:rPr>
      </w:pPr>
      <w:r>
        <w:rPr>
          <w:rFonts w:hint="eastAsia" w:ascii="宋体" w:hAnsi="宋体" w:cs="宋体"/>
          <w:sz w:val="24"/>
          <w:szCs w:val="24"/>
        </w:rPr>
        <w:t>比价地点：重庆市大渡口区重庆国际复合材料股份有限公司大渡口本部。</w:t>
      </w:r>
    </w:p>
    <w:p w14:paraId="47014116">
      <w:pPr>
        <w:numPr>
          <w:ilvl w:val="0"/>
          <w:numId w:val="3"/>
        </w:numPr>
        <w:tabs>
          <w:tab w:val="left" w:pos="1425"/>
        </w:tabs>
        <w:spacing w:line="360" w:lineRule="auto"/>
        <w:rPr>
          <w:rFonts w:ascii="宋体" w:hAnsi="宋体" w:cs="宋体"/>
          <w:sz w:val="24"/>
          <w:szCs w:val="24"/>
        </w:rPr>
      </w:pPr>
      <w:r>
        <w:rPr>
          <w:rFonts w:hint="eastAsia" w:ascii="宋体" w:hAnsi="宋体" w:cs="宋体"/>
          <w:sz w:val="24"/>
          <w:szCs w:val="24"/>
        </w:rPr>
        <w:t>逾期送达的、未送达指定地点或不按照要求密封的报价文件，采购人不予受理。</w:t>
      </w:r>
    </w:p>
    <w:p w14:paraId="70F3FB97">
      <w:pPr>
        <w:spacing w:line="360" w:lineRule="auto"/>
        <w:jc w:val="left"/>
        <w:rPr>
          <w:rFonts w:ascii="宋体" w:hAnsi="宋体"/>
          <w:b/>
          <w:snapToGrid w:val="0"/>
          <w:kern w:val="0"/>
          <w:sz w:val="24"/>
          <w:szCs w:val="24"/>
        </w:rPr>
      </w:pPr>
      <w:r>
        <w:rPr>
          <w:rFonts w:hint="eastAsia" w:ascii="宋体" w:hAnsi="宋体"/>
          <w:b/>
          <w:snapToGrid w:val="0"/>
          <w:kern w:val="0"/>
          <w:sz w:val="24"/>
          <w:szCs w:val="24"/>
        </w:rPr>
        <w:t>九、比价方式：</w:t>
      </w:r>
    </w:p>
    <w:p w14:paraId="3FF98FAD">
      <w:pPr>
        <w:spacing w:line="360" w:lineRule="auto"/>
        <w:jc w:val="left"/>
        <w:rPr>
          <w:rFonts w:ascii="宋体" w:hAnsi="宋体"/>
          <w:snapToGrid w:val="0"/>
          <w:kern w:val="0"/>
          <w:sz w:val="24"/>
          <w:szCs w:val="24"/>
        </w:rPr>
      </w:pPr>
      <w:r>
        <w:rPr>
          <w:rFonts w:hint="eastAsia" w:ascii="宋体" w:hAnsi="宋体"/>
          <w:snapToGrid w:val="0"/>
          <w:kern w:val="0"/>
          <w:sz w:val="24"/>
          <w:szCs w:val="24"/>
        </w:rPr>
        <w:t>9</w:t>
      </w:r>
      <w:r>
        <w:rPr>
          <w:rFonts w:ascii="宋体" w:hAnsi="宋体"/>
          <w:snapToGrid w:val="0"/>
          <w:kern w:val="0"/>
          <w:sz w:val="24"/>
          <w:szCs w:val="24"/>
        </w:rPr>
        <w:t>.1</w:t>
      </w:r>
      <w:r>
        <w:rPr>
          <w:rFonts w:hint="eastAsia" w:ascii="宋体" w:hAnsi="宋体"/>
          <w:snapToGrid w:val="0"/>
          <w:kern w:val="0"/>
          <w:sz w:val="24"/>
          <w:szCs w:val="24"/>
        </w:rPr>
        <w:t>本次比价采取经评审的最低价法，对所有报价人的报价文件按照报价由低到高的顺序排序。</w:t>
      </w:r>
    </w:p>
    <w:p w14:paraId="7DAA1D06">
      <w:pPr>
        <w:spacing w:line="360" w:lineRule="auto"/>
        <w:jc w:val="left"/>
        <w:rPr>
          <w:rFonts w:ascii="宋体" w:hAnsi="宋体"/>
          <w:snapToGrid w:val="0"/>
          <w:kern w:val="0"/>
          <w:sz w:val="24"/>
          <w:szCs w:val="24"/>
        </w:rPr>
      </w:pPr>
      <w:r>
        <w:rPr>
          <w:rFonts w:hint="eastAsia" w:ascii="宋体" w:hAnsi="宋体"/>
          <w:snapToGrid w:val="0"/>
          <w:kern w:val="0"/>
          <w:sz w:val="24"/>
          <w:szCs w:val="24"/>
        </w:rPr>
        <w:t>9</w:t>
      </w:r>
      <w:r>
        <w:rPr>
          <w:rFonts w:ascii="宋体" w:hAnsi="宋体"/>
          <w:snapToGrid w:val="0"/>
          <w:kern w:val="0"/>
          <w:sz w:val="24"/>
          <w:szCs w:val="24"/>
        </w:rPr>
        <w:t>.2</w:t>
      </w:r>
      <w:r>
        <w:rPr>
          <w:rFonts w:hint="eastAsia" w:ascii="宋体" w:hAnsi="宋体"/>
          <w:snapToGrid w:val="0"/>
          <w:kern w:val="0"/>
          <w:sz w:val="24"/>
          <w:szCs w:val="24"/>
        </w:rPr>
        <w:t>符合性审查合格的报价人中，报价最低的成为第一成交候选人，报价次低的成为第二成交候选人，依次类推。</w:t>
      </w:r>
    </w:p>
    <w:p w14:paraId="2681189C">
      <w:pPr>
        <w:spacing w:line="360" w:lineRule="auto"/>
        <w:jc w:val="left"/>
        <w:rPr>
          <w:rFonts w:ascii="宋体" w:hAnsi="宋体"/>
          <w:snapToGrid w:val="0"/>
          <w:kern w:val="0"/>
          <w:sz w:val="24"/>
          <w:szCs w:val="24"/>
        </w:rPr>
      </w:pPr>
      <w:r>
        <w:rPr>
          <w:rFonts w:hint="eastAsia" w:ascii="宋体" w:hAnsi="宋体"/>
          <w:snapToGrid w:val="0"/>
          <w:kern w:val="0"/>
          <w:sz w:val="24"/>
          <w:szCs w:val="24"/>
        </w:rPr>
        <w:t>9</w:t>
      </w:r>
      <w:r>
        <w:rPr>
          <w:rFonts w:ascii="宋体" w:hAnsi="宋体"/>
          <w:snapToGrid w:val="0"/>
          <w:kern w:val="0"/>
          <w:sz w:val="24"/>
          <w:szCs w:val="24"/>
        </w:rPr>
        <w:t>.3</w:t>
      </w:r>
      <w:r>
        <w:rPr>
          <w:rFonts w:hint="eastAsia" w:ascii="宋体" w:hAnsi="宋体"/>
          <w:snapToGrid w:val="0"/>
          <w:kern w:val="0"/>
          <w:sz w:val="24"/>
          <w:szCs w:val="24"/>
        </w:rPr>
        <w:t>因谈判小组作否决处理，导致有效供应商不足三个的，谈判小组应当否决所有谈判文件。</w:t>
      </w:r>
    </w:p>
    <w:p w14:paraId="69264BE8">
      <w:pPr>
        <w:rPr>
          <w:rFonts w:ascii="宋体" w:hAnsi="宋体"/>
          <w:snapToGrid w:val="0"/>
          <w:kern w:val="0"/>
          <w:sz w:val="24"/>
          <w:szCs w:val="24"/>
        </w:rPr>
      </w:pPr>
      <w:bookmarkStart w:id="51" w:name="_Toc27658"/>
      <w:bookmarkStart w:id="52" w:name="_Toc5392"/>
      <w:bookmarkStart w:id="53" w:name="_Toc9249"/>
      <w:bookmarkStart w:id="54" w:name="_Toc4764"/>
      <w:r>
        <w:rPr>
          <w:rFonts w:hint="eastAsia" w:ascii="宋体" w:hAnsi="宋体"/>
          <w:b/>
          <w:snapToGrid w:val="0"/>
          <w:sz w:val="24"/>
          <w:szCs w:val="24"/>
        </w:rPr>
        <w:t xml:space="preserve">十、 </w:t>
      </w:r>
      <w:bookmarkEnd w:id="51"/>
      <w:bookmarkEnd w:id="52"/>
      <w:bookmarkEnd w:id="53"/>
      <w:bookmarkEnd w:id="54"/>
      <w:bookmarkStart w:id="55" w:name="_Toc17881"/>
      <w:bookmarkStart w:id="56" w:name="_Toc19026"/>
      <w:bookmarkStart w:id="57" w:name="_Toc10099"/>
      <w:bookmarkStart w:id="58" w:name="_Toc29368"/>
      <w:bookmarkStart w:id="59" w:name="_Toc15696"/>
      <w:bookmarkStart w:id="60" w:name="_Toc15091"/>
      <w:r>
        <w:rPr>
          <w:rFonts w:hint="eastAsia" w:ascii="宋体" w:hAnsi="宋体"/>
          <w:b/>
          <w:snapToGrid w:val="0"/>
          <w:sz w:val="24"/>
          <w:szCs w:val="24"/>
        </w:rPr>
        <w:t>特别注意</w:t>
      </w:r>
    </w:p>
    <w:p w14:paraId="77857CDD">
      <w:pPr>
        <w:rPr>
          <w:rFonts w:ascii="宋体" w:hAnsi="宋体"/>
          <w:snapToGrid w:val="0"/>
          <w:sz w:val="24"/>
          <w:szCs w:val="24"/>
        </w:rPr>
      </w:pPr>
      <w:r>
        <w:rPr>
          <w:rFonts w:hint="eastAsia" w:ascii="宋体" w:hAnsi="宋体"/>
          <w:snapToGrid w:val="0"/>
          <w:sz w:val="24"/>
          <w:szCs w:val="24"/>
        </w:rPr>
        <w:t xml:space="preserve">　 单位负责人为同一人或者存在控股、管理关系的不同单位，不得同时参加本次询比价。  </w:t>
      </w:r>
      <w:bookmarkEnd w:id="55"/>
      <w:bookmarkEnd w:id="56"/>
      <w:bookmarkEnd w:id="57"/>
      <w:bookmarkEnd w:id="58"/>
      <w:bookmarkEnd w:id="59"/>
      <w:bookmarkEnd w:id="60"/>
    </w:p>
    <w:bookmarkEnd w:id="15"/>
    <w:bookmarkEnd w:id="16"/>
    <w:bookmarkEnd w:id="17"/>
    <w:bookmarkEnd w:id="18"/>
    <w:bookmarkEnd w:id="19"/>
    <w:bookmarkEnd w:id="20"/>
    <w:bookmarkEnd w:id="41"/>
    <w:bookmarkEnd w:id="42"/>
    <w:bookmarkEnd w:id="43"/>
    <w:bookmarkEnd w:id="44"/>
    <w:bookmarkEnd w:id="45"/>
    <w:bookmarkEnd w:id="46"/>
    <w:bookmarkEnd w:id="47"/>
    <w:bookmarkEnd w:id="48"/>
    <w:bookmarkEnd w:id="49"/>
    <w:bookmarkEnd w:id="50"/>
    <w:p w14:paraId="5DB07B59">
      <w:pPr>
        <w:rPr>
          <w:rFonts w:ascii="宋体" w:hAnsi="宋体"/>
          <w:b/>
          <w:kern w:val="0"/>
          <w:sz w:val="24"/>
          <w:szCs w:val="24"/>
        </w:rPr>
      </w:pPr>
      <w:r>
        <w:rPr>
          <w:rFonts w:hint="eastAsia" w:ascii="宋体" w:hAnsi="宋体"/>
          <w:b/>
          <w:kern w:val="0"/>
          <w:sz w:val="24"/>
          <w:szCs w:val="24"/>
        </w:rPr>
        <w:br w:type="page"/>
      </w:r>
    </w:p>
    <w:p w14:paraId="0BABBED8">
      <w:pPr>
        <w:spacing w:line="240" w:lineRule="auto"/>
        <w:ind w:firstLine="643" w:firstLineChars="200"/>
        <w:jc w:val="center"/>
        <w:outlineLvl w:val="0"/>
        <w:rPr>
          <w:rFonts w:ascii="宋体" w:hAnsi="宋体"/>
          <w:b/>
          <w:kern w:val="0"/>
          <w:sz w:val="32"/>
          <w:szCs w:val="22"/>
        </w:rPr>
      </w:pPr>
      <w:r>
        <w:rPr>
          <w:rFonts w:hint="eastAsia" w:ascii="宋体" w:hAnsi="宋体"/>
          <w:b/>
          <w:kern w:val="0"/>
          <w:sz w:val="32"/>
          <w:szCs w:val="22"/>
        </w:rPr>
        <w:t>附件1法定代表人授权书</w:t>
      </w:r>
    </w:p>
    <w:p w14:paraId="63E79DB0">
      <w:pPr>
        <w:spacing w:line="480" w:lineRule="auto"/>
        <w:ind w:firstLine="480" w:firstLineChars="200"/>
        <w:jc w:val="left"/>
        <w:rPr>
          <w:rFonts w:ascii="宋体" w:hAnsi="宋体"/>
          <w:sz w:val="24"/>
          <w:szCs w:val="22"/>
        </w:rPr>
      </w:pPr>
      <w:r>
        <w:rPr>
          <w:rFonts w:hint="eastAsia" w:ascii="宋体" w:hAnsi="宋体"/>
          <w:sz w:val="24"/>
          <w:szCs w:val="22"/>
        </w:rPr>
        <w:t>本授权书声明：注册于</w:t>
      </w:r>
      <w:r>
        <w:rPr>
          <w:rFonts w:ascii="宋体" w:hAnsi="宋体"/>
          <w:sz w:val="24"/>
          <w:szCs w:val="22"/>
          <w:u w:val="single"/>
        </w:rPr>
        <w:t xml:space="preserve">                           </w:t>
      </w:r>
      <w:r>
        <w:rPr>
          <w:rFonts w:hint="eastAsia" w:ascii="宋体" w:hAnsi="宋体"/>
          <w:sz w:val="24"/>
          <w:szCs w:val="22"/>
        </w:rPr>
        <w:t>（供应商注册地址）的（供应商名称）</w:t>
      </w:r>
      <w:r>
        <w:rPr>
          <w:rFonts w:ascii="宋体" w:hAnsi="宋体"/>
          <w:sz w:val="24"/>
          <w:szCs w:val="22"/>
          <w:u w:val="single"/>
        </w:rPr>
        <w:t xml:space="preserve">                           </w:t>
      </w:r>
      <w:r>
        <w:rPr>
          <w:rFonts w:hint="eastAsia" w:ascii="宋体" w:hAnsi="宋体"/>
          <w:sz w:val="24"/>
          <w:szCs w:val="22"/>
        </w:rPr>
        <w:t>的（法定代表人姓名、职务）</w:t>
      </w:r>
      <w:r>
        <w:rPr>
          <w:rFonts w:ascii="宋体" w:hAnsi="宋体"/>
          <w:sz w:val="24"/>
          <w:szCs w:val="22"/>
          <w:u w:val="single"/>
        </w:rPr>
        <w:t xml:space="preserve">                           </w:t>
      </w:r>
      <w:r>
        <w:rPr>
          <w:rFonts w:hint="eastAsia" w:ascii="宋体" w:hAnsi="宋体"/>
          <w:sz w:val="24"/>
          <w:szCs w:val="22"/>
        </w:rPr>
        <w:t>授权</w:t>
      </w:r>
      <w:r>
        <w:rPr>
          <w:rFonts w:ascii="宋体" w:hAnsi="宋体"/>
          <w:sz w:val="24"/>
          <w:szCs w:val="22"/>
        </w:rPr>
        <w:t xml:space="preserve"> </w:t>
      </w:r>
      <w:r>
        <w:rPr>
          <w:rFonts w:hint="eastAsia" w:ascii="宋体" w:hAnsi="宋体"/>
          <w:sz w:val="24"/>
          <w:szCs w:val="22"/>
        </w:rPr>
        <w:t>（单位名称）</w:t>
      </w:r>
      <w:r>
        <w:rPr>
          <w:rFonts w:ascii="宋体" w:hAnsi="宋体"/>
          <w:sz w:val="24"/>
          <w:szCs w:val="22"/>
          <w:u w:val="single"/>
        </w:rPr>
        <w:t xml:space="preserve">                           </w:t>
      </w:r>
      <w:r>
        <w:rPr>
          <w:rFonts w:hint="eastAsia" w:ascii="宋体" w:hAnsi="宋体"/>
          <w:sz w:val="24"/>
          <w:szCs w:val="22"/>
        </w:rPr>
        <w:t>的</w:t>
      </w:r>
      <w:r>
        <w:rPr>
          <w:rFonts w:ascii="宋体" w:hAnsi="宋体"/>
          <w:sz w:val="24"/>
          <w:szCs w:val="22"/>
          <w:u w:val="single"/>
        </w:rPr>
        <w:t xml:space="preserve">                           </w:t>
      </w:r>
      <w:r>
        <w:rPr>
          <w:rFonts w:hint="eastAsia" w:ascii="宋体" w:hAnsi="宋体"/>
          <w:sz w:val="24"/>
          <w:szCs w:val="22"/>
        </w:rPr>
        <w:t>（被授权人的姓名、职务）为（供应商名称）</w:t>
      </w:r>
      <w:r>
        <w:rPr>
          <w:rFonts w:ascii="宋体" w:hAnsi="宋体"/>
          <w:sz w:val="24"/>
          <w:szCs w:val="22"/>
          <w:u w:val="single"/>
        </w:rPr>
        <w:t xml:space="preserve">                           </w:t>
      </w:r>
      <w:r>
        <w:rPr>
          <w:rFonts w:hint="eastAsia" w:ascii="宋体" w:hAnsi="宋体"/>
          <w:sz w:val="24"/>
          <w:szCs w:val="22"/>
        </w:rPr>
        <w:t>的合法代理人，就</w:t>
      </w:r>
      <w:r>
        <w:rPr>
          <w:rFonts w:hint="eastAsia" w:ascii="宋体" w:hAnsi="宋体" w:cs="Arial"/>
          <w:sz w:val="24"/>
          <w:szCs w:val="22"/>
        </w:rPr>
        <w:t>重庆国际复合材料股份有限公司</w:t>
      </w:r>
      <w:r>
        <w:rPr>
          <w:rFonts w:ascii="宋体" w:hAnsi="宋体"/>
          <w:kern w:val="0"/>
          <w:sz w:val="24"/>
          <w:szCs w:val="22"/>
          <w:u w:val="single"/>
        </w:rPr>
        <w:t xml:space="preserve">                    </w:t>
      </w:r>
      <w:r>
        <w:rPr>
          <w:rFonts w:hint="eastAsia" w:ascii="宋体" w:hAnsi="宋体" w:cs="Arial"/>
          <w:sz w:val="24"/>
          <w:szCs w:val="22"/>
        </w:rPr>
        <w:t>项目的</w:t>
      </w:r>
      <w:r>
        <w:rPr>
          <w:rFonts w:hint="eastAsia" w:ascii="宋体" w:hAnsi="宋体"/>
          <w:sz w:val="24"/>
          <w:szCs w:val="22"/>
        </w:rPr>
        <w:t>询比价，以</w:t>
      </w:r>
      <w:r>
        <w:rPr>
          <w:rFonts w:ascii="宋体" w:hAnsi="宋体"/>
          <w:sz w:val="24"/>
          <w:szCs w:val="22"/>
          <w:u w:val="single"/>
        </w:rPr>
        <w:t xml:space="preserve">                           </w:t>
      </w:r>
      <w:r>
        <w:rPr>
          <w:rFonts w:hint="eastAsia" w:ascii="宋体" w:hAnsi="宋体"/>
          <w:sz w:val="24"/>
          <w:szCs w:val="22"/>
        </w:rPr>
        <w:t>（供应商名称）的名义处理一切与之有关的事务。被授权人无转委托权。</w:t>
      </w:r>
    </w:p>
    <w:p w14:paraId="07000825">
      <w:pPr>
        <w:spacing w:line="480" w:lineRule="auto"/>
        <w:ind w:firstLine="480" w:firstLineChars="200"/>
        <w:rPr>
          <w:rFonts w:ascii="宋体" w:hAnsi="宋体"/>
          <w:sz w:val="24"/>
          <w:szCs w:val="22"/>
        </w:rPr>
      </w:pPr>
      <w:r>
        <w:rPr>
          <w:rFonts w:hint="eastAsia" w:ascii="宋体" w:hAnsi="宋体"/>
          <w:sz w:val="24"/>
          <w:szCs w:val="22"/>
        </w:rPr>
        <w:t>本授权书于</w:t>
      </w:r>
      <w:r>
        <w:rPr>
          <w:rFonts w:ascii="宋体" w:hAnsi="宋体"/>
          <w:sz w:val="24"/>
          <w:szCs w:val="22"/>
          <w:u w:val="single"/>
        </w:rPr>
        <w:t xml:space="preserve">      </w:t>
      </w:r>
      <w:r>
        <w:rPr>
          <w:rFonts w:hint="eastAsia" w:ascii="宋体" w:hAnsi="宋体"/>
          <w:sz w:val="24"/>
          <w:szCs w:val="22"/>
        </w:rPr>
        <w:t>年</w:t>
      </w:r>
      <w:r>
        <w:rPr>
          <w:rFonts w:ascii="宋体" w:hAnsi="宋体"/>
          <w:sz w:val="24"/>
          <w:szCs w:val="22"/>
          <w:u w:val="single"/>
        </w:rPr>
        <w:t xml:space="preserve">      </w:t>
      </w:r>
      <w:r>
        <w:rPr>
          <w:rFonts w:hint="eastAsia" w:ascii="宋体" w:hAnsi="宋体"/>
          <w:sz w:val="24"/>
          <w:szCs w:val="22"/>
        </w:rPr>
        <w:t>月</w:t>
      </w:r>
      <w:r>
        <w:rPr>
          <w:rFonts w:ascii="宋体" w:hAnsi="宋体"/>
          <w:sz w:val="24"/>
          <w:szCs w:val="22"/>
          <w:u w:val="single"/>
        </w:rPr>
        <w:t xml:space="preserve">      </w:t>
      </w:r>
      <w:r>
        <w:rPr>
          <w:rFonts w:hint="eastAsia" w:ascii="宋体" w:hAnsi="宋体"/>
          <w:sz w:val="24"/>
          <w:szCs w:val="22"/>
        </w:rPr>
        <w:t>日签字生效。</w:t>
      </w:r>
    </w:p>
    <w:p w14:paraId="5E742F07">
      <w:pPr>
        <w:spacing w:line="480" w:lineRule="auto"/>
        <w:rPr>
          <w:rFonts w:ascii="宋体" w:hAnsi="宋体"/>
          <w:sz w:val="24"/>
          <w:szCs w:val="22"/>
        </w:rPr>
      </w:pPr>
    </w:p>
    <w:p w14:paraId="18FBAA75">
      <w:pPr>
        <w:spacing w:line="480" w:lineRule="auto"/>
        <w:rPr>
          <w:rFonts w:ascii="宋体" w:hAnsi="宋体"/>
          <w:sz w:val="24"/>
          <w:szCs w:val="22"/>
          <w:u w:val="single"/>
        </w:rPr>
      </w:pPr>
      <w:r>
        <w:rPr>
          <w:rFonts w:hint="eastAsia" w:ascii="宋体" w:hAnsi="宋体"/>
          <w:sz w:val="24"/>
          <w:szCs w:val="22"/>
        </w:rPr>
        <w:t>法定代表人签字：</w:t>
      </w:r>
      <w:r>
        <w:rPr>
          <w:rFonts w:ascii="宋体" w:hAnsi="宋体"/>
          <w:sz w:val="24"/>
          <w:szCs w:val="22"/>
          <w:u w:val="single"/>
        </w:rPr>
        <w:t xml:space="preserve">                            </w:t>
      </w:r>
    </w:p>
    <w:p w14:paraId="78A843E3">
      <w:pPr>
        <w:spacing w:line="480" w:lineRule="auto"/>
        <w:rPr>
          <w:rFonts w:ascii="宋体" w:hAnsi="宋体"/>
          <w:sz w:val="24"/>
          <w:szCs w:val="22"/>
          <w:u w:val="single"/>
        </w:rPr>
      </w:pPr>
      <w:r>
        <w:rPr>
          <w:rFonts w:hint="eastAsia" w:ascii="宋体" w:hAnsi="宋体"/>
          <w:sz w:val="24"/>
          <w:szCs w:val="22"/>
        </w:rPr>
        <w:t>法定代表人联系方式：</w:t>
      </w:r>
      <w:r>
        <w:rPr>
          <w:rFonts w:hint="eastAsia" w:ascii="宋体" w:hAnsi="宋体"/>
          <w:sz w:val="24"/>
          <w:szCs w:val="22"/>
          <w:u w:val="single"/>
        </w:rPr>
        <w:t xml:space="preserve">                         </w:t>
      </w:r>
    </w:p>
    <w:p w14:paraId="689BF973">
      <w:pPr>
        <w:spacing w:line="480" w:lineRule="auto"/>
        <w:rPr>
          <w:rFonts w:ascii="宋体" w:hAnsi="宋体"/>
          <w:sz w:val="24"/>
          <w:szCs w:val="22"/>
          <w:u w:val="single"/>
        </w:rPr>
      </w:pPr>
      <w:r>
        <w:rPr>
          <w:rFonts w:hint="eastAsia" w:ascii="宋体" w:hAnsi="宋体"/>
          <w:sz w:val="24"/>
          <w:szCs w:val="22"/>
        </w:rPr>
        <w:t>被授权人签字：</w:t>
      </w:r>
      <w:r>
        <w:rPr>
          <w:rFonts w:ascii="宋体" w:hAnsi="宋体"/>
          <w:sz w:val="24"/>
          <w:szCs w:val="22"/>
          <w:u w:val="single"/>
        </w:rPr>
        <w:t xml:space="preserve">                           </w:t>
      </w:r>
      <w:r>
        <w:rPr>
          <w:rFonts w:hint="eastAsia" w:ascii="宋体" w:hAnsi="宋体"/>
          <w:sz w:val="24"/>
          <w:szCs w:val="22"/>
          <w:u w:val="single"/>
        </w:rPr>
        <w:t xml:space="preserve">  </w:t>
      </w:r>
      <w:r>
        <w:rPr>
          <w:rFonts w:ascii="宋体" w:hAnsi="宋体"/>
          <w:sz w:val="24"/>
          <w:szCs w:val="22"/>
          <w:u w:val="single"/>
        </w:rPr>
        <w:t xml:space="preserve">  </w:t>
      </w:r>
    </w:p>
    <w:p w14:paraId="62FBD049">
      <w:pPr>
        <w:spacing w:line="480" w:lineRule="auto"/>
        <w:rPr>
          <w:rFonts w:ascii="宋体" w:hAnsi="宋体"/>
          <w:sz w:val="24"/>
          <w:szCs w:val="22"/>
          <w:u w:val="single"/>
        </w:rPr>
      </w:pPr>
      <w:r>
        <w:rPr>
          <w:rFonts w:hint="eastAsia" w:ascii="宋体" w:hAnsi="宋体"/>
          <w:sz w:val="24"/>
          <w:szCs w:val="22"/>
        </w:rPr>
        <w:t>被授权人联系方式：</w:t>
      </w:r>
      <w:r>
        <w:rPr>
          <w:rFonts w:ascii="宋体" w:hAnsi="宋体"/>
          <w:sz w:val="24"/>
          <w:szCs w:val="22"/>
          <w:u w:val="single"/>
        </w:rPr>
        <w:t xml:space="preserve">                 </w:t>
      </w:r>
      <w:r>
        <w:rPr>
          <w:rFonts w:hint="eastAsia" w:ascii="宋体" w:hAnsi="宋体"/>
          <w:sz w:val="24"/>
          <w:szCs w:val="22"/>
          <w:u w:val="single"/>
        </w:rPr>
        <w:t xml:space="preserve">          </w:t>
      </w:r>
    </w:p>
    <w:p w14:paraId="6DDB681B">
      <w:pPr>
        <w:spacing w:line="480" w:lineRule="auto"/>
        <w:rPr>
          <w:rFonts w:ascii="宋体" w:hAnsi="宋体"/>
          <w:sz w:val="24"/>
          <w:szCs w:val="22"/>
        </w:rPr>
      </w:pPr>
    </w:p>
    <w:p w14:paraId="020B6A3B">
      <w:pPr>
        <w:spacing w:line="360" w:lineRule="auto"/>
        <w:rPr>
          <w:rFonts w:ascii="宋体" w:hAnsi="宋体"/>
          <w:sz w:val="24"/>
          <w:szCs w:val="22"/>
        </w:rPr>
      </w:pPr>
      <w:r>
        <w:rPr>
          <w:rFonts w:hint="eastAsia" w:ascii="宋体" w:hAnsi="宋体"/>
          <w:sz w:val="24"/>
          <w:szCs w:val="22"/>
        </w:rPr>
        <w:t>供应商名称：</w:t>
      </w:r>
      <w:r>
        <w:rPr>
          <w:rFonts w:ascii="宋体" w:hAnsi="宋体"/>
          <w:sz w:val="24"/>
          <w:szCs w:val="22"/>
          <w:u w:val="single"/>
        </w:rPr>
        <w:t xml:space="preserve">                       </w:t>
      </w:r>
      <w:r>
        <w:rPr>
          <w:rFonts w:hint="eastAsia" w:ascii="宋体" w:hAnsi="宋体"/>
          <w:sz w:val="24"/>
          <w:szCs w:val="22"/>
        </w:rPr>
        <w:t>（盖公章）</w:t>
      </w:r>
    </w:p>
    <w:p w14:paraId="36E423F3">
      <w:pPr>
        <w:spacing w:line="360" w:lineRule="auto"/>
        <w:rPr>
          <w:rFonts w:ascii="宋体" w:hAnsi="宋体"/>
          <w:sz w:val="24"/>
          <w:szCs w:val="22"/>
        </w:rPr>
      </w:pPr>
    </w:p>
    <w:p w14:paraId="27ED57B6">
      <w:pPr>
        <w:spacing w:line="360" w:lineRule="auto"/>
        <w:rPr>
          <w:rFonts w:ascii="宋体" w:hAnsi="宋体"/>
          <w:sz w:val="24"/>
          <w:szCs w:val="22"/>
        </w:rPr>
      </w:pPr>
      <w:r>
        <w:rPr>
          <w:rFonts w:hint="eastAsia" w:ascii="宋体" w:hAnsi="宋体"/>
          <w:sz w:val="24"/>
          <w:szCs w:val="22"/>
        </w:rPr>
        <w:t>日期：</w:t>
      </w:r>
      <w:r>
        <w:rPr>
          <w:rFonts w:ascii="宋体" w:hAnsi="宋体"/>
          <w:sz w:val="24"/>
          <w:szCs w:val="22"/>
        </w:rPr>
        <w:t xml:space="preserve">     年    月   </w:t>
      </w:r>
      <w:r>
        <w:rPr>
          <w:rFonts w:hint="eastAsia" w:ascii="宋体" w:hAnsi="宋体"/>
          <w:sz w:val="24"/>
          <w:szCs w:val="22"/>
        </w:rPr>
        <w:t>日</w:t>
      </w:r>
    </w:p>
    <w:p w14:paraId="592626D7">
      <w:pPr>
        <w:spacing w:line="360" w:lineRule="auto"/>
        <w:rPr>
          <w:rFonts w:ascii="宋体" w:hAnsi="宋体"/>
          <w:sz w:val="24"/>
          <w:szCs w:val="22"/>
        </w:rPr>
      </w:pPr>
    </w:p>
    <w:p w14:paraId="25E5A6CA">
      <w:pPr>
        <w:spacing w:line="360" w:lineRule="auto"/>
        <w:rPr>
          <w:rFonts w:ascii="宋体" w:hAnsi="宋体"/>
          <w:sz w:val="24"/>
          <w:szCs w:val="22"/>
        </w:rPr>
      </w:pPr>
      <w:r>
        <w:rPr>
          <w:rFonts w:hint="eastAsia" w:ascii="宋体" w:hAnsi="宋体"/>
          <w:sz w:val="24"/>
          <w:szCs w:val="22"/>
        </w:rPr>
        <w:t>法定代表人或被授权人身份证明</w:t>
      </w:r>
    </w:p>
    <w:p w14:paraId="5040800F">
      <w:pPr>
        <w:spacing w:line="360" w:lineRule="auto"/>
        <w:rPr>
          <w:rFonts w:ascii="宋体" w:hAnsi="宋体"/>
          <w:sz w:val="24"/>
          <w:szCs w:val="22"/>
        </w:rPr>
      </w:pPr>
    </w:p>
    <w:p w14:paraId="426D67EA">
      <w:pPr>
        <w:spacing w:line="360" w:lineRule="auto"/>
        <w:rPr>
          <w:rFonts w:ascii="宋体" w:hAnsi="宋体"/>
          <w:sz w:val="24"/>
          <w:szCs w:val="22"/>
        </w:rPr>
      </w:pPr>
    </w:p>
    <w:p w14:paraId="6A55019A">
      <w:pPr>
        <w:spacing w:line="360" w:lineRule="auto"/>
        <w:rPr>
          <w:rFonts w:ascii="宋体" w:hAnsi="宋体"/>
          <w:sz w:val="24"/>
          <w:szCs w:val="22"/>
        </w:rPr>
      </w:pPr>
    </w:p>
    <w:p w14:paraId="314A3C3E">
      <w:pPr>
        <w:widowControl/>
        <w:spacing w:line="240" w:lineRule="auto"/>
        <w:jc w:val="center"/>
        <w:outlineLvl w:val="0"/>
        <w:rPr>
          <w:rFonts w:ascii="宋体" w:hAnsi="宋体"/>
          <w:b/>
          <w:kern w:val="0"/>
          <w:sz w:val="32"/>
          <w:szCs w:val="28"/>
        </w:rPr>
      </w:pPr>
    </w:p>
    <w:p w14:paraId="61453B69">
      <w:pPr>
        <w:widowControl/>
        <w:spacing w:line="240" w:lineRule="auto"/>
        <w:jc w:val="center"/>
        <w:outlineLvl w:val="0"/>
        <w:rPr>
          <w:rFonts w:ascii="宋体" w:hAnsi="宋体"/>
          <w:b/>
          <w:kern w:val="0"/>
          <w:sz w:val="32"/>
          <w:szCs w:val="28"/>
        </w:rPr>
      </w:pPr>
      <w:r>
        <w:rPr>
          <w:rFonts w:hint="eastAsia" w:ascii="宋体" w:hAnsi="宋体"/>
          <w:b/>
          <w:kern w:val="0"/>
          <w:sz w:val="32"/>
          <w:szCs w:val="28"/>
        </w:rPr>
        <w:t>附件2</w:t>
      </w:r>
      <w:r>
        <w:rPr>
          <w:rFonts w:ascii="宋体" w:hAnsi="宋体"/>
          <w:b/>
          <w:kern w:val="0"/>
          <w:sz w:val="32"/>
          <w:szCs w:val="28"/>
        </w:rPr>
        <w:t xml:space="preserve"> </w:t>
      </w:r>
      <w:r>
        <w:rPr>
          <w:rFonts w:hint="eastAsia" w:ascii="宋体" w:hAnsi="宋体"/>
          <w:b/>
          <w:kern w:val="0"/>
          <w:sz w:val="32"/>
          <w:szCs w:val="28"/>
        </w:rPr>
        <w:t>资格</w:t>
      </w:r>
      <w:r>
        <w:rPr>
          <w:rFonts w:ascii="宋体" w:hAnsi="宋体"/>
          <w:b/>
          <w:kern w:val="0"/>
          <w:sz w:val="32"/>
          <w:szCs w:val="28"/>
        </w:rPr>
        <w:t>证明文件</w:t>
      </w:r>
    </w:p>
    <w:p w14:paraId="2D68A495">
      <w:pPr>
        <w:widowControl/>
        <w:spacing w:line="240" w:lineRule="auto"/>
        <w:jc w:val="center"/>
        <w:rPr>
          <w:rFonts w:ascii="宋体" w:hAnsi="宋体"/>
          <w:sz w:val="24"/>
          <w:szCs w:val="22"/>
        </w:rPr>
      </w:pPr>
    </w:p>
    <w:p w14:paraId="3F52E8CB">
      <w:pPr>
        <w:spacing w:line="360" w:lineRule="auto"/>
        <w:rPr>
          <w:rFonts w:ascii="宋体" w:hAnsi="宋体"/>
          <w:b/>
          <w:sz w:val="24"/>
          <w:szCs w:val="24"/>
        </w:rPr>
      </w:pPr>
      <w:r>
        <w:rPr>
          <w:rFonts w:hint="eastAsia" w:ascii="宋体" w:hAnsi="宋体"/>
          <w:b/>
          <w:sz w:val="24"/>
          <w:szCs w:val="24"/>
        </w:rPr>
        <w:t>供应商提交</w:t>
      </w:r>
      <w:r>
        <w:rPr>
          <w:rFonts w:ascii="宋体" w:hAnsi="宋体"/>
          <w:b/>
          <w:sz w:val="24"/>
          <w:szCs w:val="24"/>
        </w:rPr>
        <w:t>下列</w:t>
      </w:r>
      <w:r>
        <w:rPr>
          <w:rFonts w:hint="eastAsia" w:ascii="宋体" w:hAnsi="宋体"/>
          <w:b/>
          <w:sz w:val="24"/>
          <w:szCs w:val="24"/>
        </w:rPr>
        <w:t>资格证明文件</w:t>
      </w:r>
    </w:p>
    <w:p w14:paraId="2E582BC0">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企业法人营业执照副本</w:t>
      </w:r>
      <w:r>
        <w:rPr>
          <w:rFonts w:hint="eastAsia" w:ascii="宋体" w:hAnsi="宋体"/>
          <w:sz w:val="24"/>
          <w:szCs w:val="24"/>
        </w:rPr>
        <w:t>（清晰</w:t>
      </w:r>
      <w:r>
        <w:rPr>
          <w:rFonts w:ascii="宋体" w:hAnsi="宋体"/>
          <w:sz w:val="24"/>
          <w:szCs w:val="24"/>
        </w:rPr>
        <w:t>复印件</w:t>
      </w:r>
      <w:r>
        <w:rPr>
          <w:rFonts w:hint="eastAsia" w:ascii="宋体" w:hAnsi="宋体"/>
          <w:sz w:val="24"/>
          <w:szCs w:val="24"/>
        </w:rPr>
        <w:t>并</w:t>
      </w:r>
      <w:r>
        <w:rPr>
          <w:rFonts w:ascii="宋体" w:hAnsi="宋体"/>
          <w:sz w:val="24"/>
          <w:szCs w:val="24"/>
        </w:rPr>
        <w:t>加盖有效公章</w:t>
      </w:r>
      <w:r>
        <w:rPr>
          <w:rFonts w:hint="eastAsia" w:ascii="宋体" w:hAnsi="宋体"/>
          <w:sz w:val="24"/>
          <w:szCs w:val="24"/>
        </w:rPr>
        <w:t>）</w:t>
      </w:r>
    </w:p>
    <w:p w14:paraId="1F1934B9">
      <w:pPr>
        <w:spacing w:line="360" w:lineRule="auto"/>
        <w:ind w:firstLine="480" w:firstLineChars="200"/>
        <w:rPr>
          <w:rFonts w:ascii="宋体" w:hAnsi="宋体"/>
          <w:sz w:val="24"/>
          <w:szCs w:val="24"/>
        </w:rPr>
      </w:pPr>
      <w:r>
        <w:rPr>
          <w:rFonts w:hint="eastAsia" w:ascii="宋体" w:hAnsi="宋体"/>
          <w:sz w:val="24"/>
          <w:szCs w:val="24"/>
        </w:rPr>
        <w:t>（2）“信用中国”网站（www.creditchina.gov.cn）及中国政府采购网（www.ccgp.gov.cn）信用信息查询记录（其中信用中国网站截图须分别提供“信用中国”网站“信用供应”栏中“失信被执行人查询”“重大税收违法案件查询”“政府采购严重违法失信名单查询”记录）的网页截图，查询时间为递交谈判文件截止时间前一天。</w:t>
      </w:r>
    </w:p>
    <w:p w14:paraId="585CC2CE">
      <w:pPr>
        <w:spacing w:line="360" w:lineRule="auto"/>
        <w:ind w:firstLine="480" w:firstLineChars="200"/>
        <w:rPr>
          <w:rFonts w:ascii="宋体" w:hAnsi="宋体"/>
          <w:sz w:val="24"/>
          <w:szCs w:val="24"/>
        </w:rPr>
      </w:pPr>
      <w:r>
        <w:rPr>
          <w:rFonts w:hint="eastAsia" w:ascii="宋体" w:hAnsi="宋体"/>
          <w:sz w:val="24"/>
          <w:szCs w:val="24"/>
        </w:rPr>
        <w:t>（3）未被有关行政部门暂停投标资格，或被有关行政部门暂停投标资格期限未满，不得在近两年内申请人或其法定代表人有行贿犯罪行为和不得在国家企业信用信息公示系统“http://www.gsxt.gov.cn/index.html”列入严重违法企业失信名单，需提供网上截图、并承诺无以上情形之一。</w:t>
      </w:r>
    </w:p>
    <w:p w14:paraId="47053BC5">
      <w:pPr>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sz w:val="24"/>
          <w:szCs w:val="24"/>
          <w:lang w:val="zh-TW" w:eastAsia="zh-TW"/>
        </w:rPr>
        <w:t>建设行政主管部门颁发的工程设计电力行业（变电工程、送电工程）乙级及以上资质或工程设计综合甲级资质</w:t>
      </w:r>
      <w:r>
        <w:rPr>
          <w:rFonts w:hint="eastAsia" w:ascii="宋体" w:hAnsi="宋体"/>
          <w:sz w:val="24"/>
          <w:szCs w:val="24"/>
        </w:rPr>
        <w:t>证件（清晰</w:t>
      </w:r>
      <w:r>
        <w:rPr>
          <w:rFonts w:ascii="宋体" w:hAnsi="宋体"/>
          <w:sz w:val="24"/>
          <w:szCs w:val="24"/>
        </w:rPr>
        <w:t>复印件</w:t>
      </w:r>
      <w:r>
        <w:rPr>
          <w:rFonts w:hint="eastAsia" w:ascii="宋体" w:hAnsi="宋体"/>
          <w:sz w:val="24"/>
          <w:szCs w:val="24"/>
        </w:rPr>
        <w:t>并</w:t>
      </w:r>
      <w:r>
        <w:rPr>
          <w:rFonts w:ascii="宋体" w:hAnsi="宋体"/>
          <w:sz w:val="24"/>
          <w:szCs w:val="24"/>
        </w:rPr>
        <w:t>加盖有效公章</w:t>
      </w:r>
      <w:r>
        <w:rPr>
          <w:rFonts w:hint="eastAsia" w:ascii="宋体" w:hAnsi="宋体"/>
          <w:sz w:val="24"/>
          <w:szCs w:val="24"/>
        </w:rPr>
        <w:t>）</w:t>
      </w:r>
    </w:p>
    <w:p w14:paraId="2E838E08">
      <w:pPr>
        <w:spacing w:line="360" w:lineRule="auto"/>
        <w:ind w:firstLine="480" w:firstLineChars="200"/>
        <w:rPr>
          <w:rFonts w:ascii="宋体" w:hAnsi="宋体"/>
          <w:sz w:val="24"/>
          <w:szCs w:val="24"/>
        </w:rPr>
      </w:pPr>
      <w:r>
        <w:rPr>
          <w:rFonts w:hint="eastAsia" w:ascii="宋体" w:hAnsi="宋体"/>
          <w:sz w:val="24"/>
          <w:szCs w:val="24"/>
        </w:rPr>
        <w:t>（5）项目负责人为本单位人员，具有注册电气工程师（发输变电）资格（必须已在申请人单位注册），提供项目负责人执业资格证及缴纳的最近3个月社保证明复印件并加盖申请人单位公章。</w:t>
      </w:r>
    </w:p>
    <w:p w14:paraId="72B01924">
      <w:pPr>
        <w:spacing w:line="360" w:lineRule="auto"/>
        <w:ind w:firstLine="480" w:firstLineChars="200"/>
        <w:rPr>
          <w:rFonts w:ascii="宋体" w:hAnsi="宋体"/>
          <w:sz w:val="24"/>
          <w:szCs w:val="24"/>
        </w:rPr>
      </w:pPr>
      <w:r>
        <w:rPr>
          <w:rFonts w:hint="eastAsia" w:ascii="宋体" w:hAnsi="宋体"/>
          <w:sz w:val="24"/>
          <w:szCs w:val="24"/>
        </w:rPr>
        <w:t>（6）技术负责人为本单位人员，具有电力或电气类相应专业高级及以上技术职称，提供技术负责人执职称证件及缴纳的最近3个月社保证明复印件并加盖申请人单位公章。</w:t>
      </w:r>
    </w:p>
    <w:p w14:paraId="74FE7CDF">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）其他证明文件和材料。</w:t>
      </w:r>
      <w:r>
        <w:rPr>
          <w:rFonts w:hint="eastAsia" w:ascii="宋体" w:hAnsi="宋体"/>
          <w:sz w:val="24"/>
          <w:szCs w:val="24"/>
        </w:rPr>
        <w:br w:type="page"/>
      </w:r>
    </w:p>
    <w:p w14:paraId="22E503B4">
      <w:pPr>
        <w:spacing w:line="500" w:lineRule="exact"/>
        <w:rPr>
          <w:rFonts w:ascii="宋体" w:hAnsi="宋体"/>
          <w:sz w:val="24"/>
          <w:szCs w:val="22"/>
        </w:rPr>
      </w:pPr>
    </w:p>
    <w:p w14:paraId="220A94C3">
      <w:pPr>
        <w:widowControl/>
        <w:spacing w:line="240" w:lineRule="auto"/>
        <w:jc w:val="center"/>
        <w:outlineLvl w:val="0"/>
        <w:rPr>
          <w:rFonts w:ascii="宋体" w:hAnsi="宋体"/>
          <w:b/>
          <w:kern w:val="0"/>
          <w:sz w:val="32"/>
          <w:szCs w:val="28"/>
        </w:rPr>
      </w:pPr>
      <w:r>
        <w:rPr>
          <w:rFonts w:hint="eastAsia" w:ascii="宋体" w:hAnsi="宋体"/>
          <w:b/>
          <w:kern w:val="0"/>
          <w:sz w:val="32"/>
          <w:szCs w:val="28"/>
        </w:rPr>
        <w:t>附件3：供应商报价函</w:t>
      </w:r>
    </w:p>
    <w:p w14:paraId="19DBA9A7">
      <w:pPr>
        <w:spacing w:line="360" w:lineRule="auto"/>
        <w:rPr>
          <w:rFonts w:ascii="宋体" w:hAnsi="宋体"/>
          <w:sz w:val="24"/>
          <w:szCs w:val="22"/>
        </w:rPr>
      </w:pPr>
    </w:p>
    <w:p w14:paraId="57FA491E">
      <w:pPr>
        <w:spacing w:line="360" w:lineRule="auto"/>
        <w:rPr>
          <w:rFonts w:ascii="宋体" w:hAnsi="宋体"/>
          <w:sz w:val="24"/>
          <w:szCs w:val="22"/>
        </w:rPr>
      </w:pPr>
    </w:p>
    <w:p w14:paraId="034E962E">
      <w:pPr>
        <w:spacing w:line="360" w:lineRule="auto"/>
        <w:rPr>
          <w:rFonts w:ascii="宋体" w:hAnsi="宋体"/>
          <w:b/>
          <w:sz w:val="24"/>
          <w:szCs w:val="24"/>
        </w:rPr>
      </w:pPr>
      <w:r>
        <w:rPr>
          <w:rFonts w:hint="eastAsia" w:ascii="宋体" w:hAnsi="宋体"/>
          <w:b/>
          <w:sz w:val="24"/>
          <w:szCs w:val="24"/>
        </w:rPr>
        <w:t>格式自拟，报价函中须注明税率6%。</w:t>
      </w:r>
    </w:p>
    <w:p w14:paraId="7F96B5F7">
      <w:pPr>
        <w:pStyle w:val="2"/>
        <w:rPr>
          <w:rFonts w:ascii="宋体" w:hAnsi="宋体"/>
        </w:rPr>
      </w:pPr>
    </w:p>
    <w:p w14:paraId="71BC48D5">
      <w:pPr>
        <w:rPr>
          <w:rFonts w:ascii="宋体" w:hAnsi="宋体"/>
        </w:rPr>
      </w:pPr>
      <w:r>
        <w:rPr>
          <w:rFonts w:hint="eastAsia" w:ascii="宋体" w:hAnsi="宋体"/>
        </w:rPr>
        <w:br w:type="page"/>
      </w:r>
    </w:p>
    <w:p w14:paraId="5EF6FEE2">
      <w:pPr>
        <w:pStyle w:val="3"/>
        <w:spacing w:before="312" w:after="468"/>
        <w:rPr>
          <w:color w:val="auto"/>
        </w:rPr>
      </w:pPr>
      <w:r>
        <w:rPr>
          <w:rFonts w:hint="eastAsia"/>
          <w:color w:val="auto"/>
        </w:rPr>
        <w:t>第二章  技术服务要求</w:t>
      </w:r>
    </w:p>
    <w:p w14:paraId="6DDD0F8E">
      <w:pPr>
        <w:spacing w:line="360" w:lineRule="auto"/>
        <w:rPr>
          <w:rFonts w:ascii="宋体" w:hAnsi="宋体"/>
          <w:sz w:val="24"/>
          <w:szCs w:val="24"/>
        </w:rPr>
      </w:pPr>
      <w:r>
        <w:rPr>
          <w:rFonts w:hint="eastAsia" w:ascii="宋体" w:hAnsi="宋体"/>
          <w:sz w:val="24"/>
          <w:szCs w:val="24"/>
        </w:rPr>
        <w:t>一、项目概况：</w:t>
      </w:r>
    </w:p>
    <w:p w14:paraId="13F76C80">
      <w:pPr>
        <w:spacing w:line="360" w:lineRule="auto"/>
        <w:ind w:firstLine="480" w:firstLineChars="200"/>
        <w:rPr>
          <w:rFonts w:ascii="宋体" w:hAnsi="宋体"/>
          <w:sz w:val="24"/>
          <w:szCs w:val="24"/>
        </w:rPr>
      </w:pPr>
      <w:r>
        <w:rPr>
          <w:rFonts w:hint="eastAsia" w:ascii="宋体" w:hAnsi="宋体"/>
          <w:sz w:val="24"/>
          <w:szCs w:val="24"/>
        </w:rPr>
        <w:t>按建设方要求进行现场踏勘，根据变电站现有设备运行状况、负荷需求及未来发展规划进行布局设计。确定主变的能效等级及合理容量，对使用超限的1</w:t>
      </w:r>
      <w:r>
        <w:rPr>
          <w:rFonts w:ascii="宋体" w:hAnsi="宋体"/>
          <w:sz w:val="24"/>
          <w:szCs w:val="24"/>
        </w:rPr>
        <w:t>0kV系统设备进行置换和升级改造和扩容，</w:t>
      </w:r>
      <w:r>
        <w:rPr>
          <w:rFonts w:hint="eastAsia" w:ascii="宋体" w:hAnsi="宋体"/>
          <w:sz w:val="24"/>
          <w:szCs w:val="24"/>
        </w:rPr>
        <w:t>确保在满足当前负荷需求的同时，留有一定的发展裕度。对老化、锈蚀的母线进行更换，对室外开关场架构进行防腐处理，对架空线路进行必要的大修，考虑防腐性能和操作便利性，确保架构的强度和稳定性。根据变电站和电网运行特点，更换老化衰减的无功补偿装置。选择合适类型和容量且具有响应速度快、调节范围广、谐波抑制能力强等优点SVG动态无功补偿系统，改善电能质量，提升系统供电安全与可靠性。本项目主要设计范围及内容如下表：</w:t>
      </w:r>
    </w:p>
    <w:tbl>
      <w:tblPr>
        <w:tblStyle w:val="13"/>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282"/>
        <w:gridCol w:w="456"/>
        <w:gridCol w:w="1807"/>
        <w:gridCol w:w="3107"/>
        <w:gridCol w:w="2657"/>
      </w:tblGrid>
      <w:tr w14:paraId="28EB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678" w:type="dxa"/>
            <w:gridSpan w:val="2"/>
            <w:shd w:val="clear" w:color="auto" w:fill="auto"/>
            <w:vAlign w:val="center"/>
          </w:tcPr>
          <w:p w14:paraId="1EDCC641">
            <w:pPr>
              <w:widowControl/>
              <w:spacing w:line="240" w:lineRule="auto"/>
              <w:jc w:val="center"/>
              <w:rPr>
                <w:rFonts w:ascii="宋体" w:hAnsi="宋体" w:cs="宋体"/>
                <w:b/>
                <w:bCs/>
                <w:kern w:val="0"/>
                <w:sz w:val="21"/>
                <w:szCs w:val="21"/>
              </w:rPr>
            </w:pPr>
            <w:r>
              <w:rPr>
                <w:rFonts w:hint="eastAsia" w:ascii="宋体" w:hAnsi="宋体" w:cs="宋体"/>
                <w:b/>
                <w:bCs/>
                <w:kern w:val="0"/>
                <w:sz w:val="21"/>
                <w:szCs w:val="21"/>
              </w:rPr>
              <w:t>项目类别</w:t>
            </w:r>
          </w:p>
        </w:tc>
        <w:tc>
          <w:tcPr>
            <w:tcW w:w="2263" w:type="dxa"/>
            <w:gridSpan w:val="2"/>
            <w:shd w:val="clear" w:color="auto" w:fill="auto"/>
            <w:vAlign w:val="center"/>
          </w:tcPr>
          <w:p w14:paraId="3249EF74">
            <w:pPr>
              <w:widowControl/>
              <w:spacing w:line="240" w:lineRule="auto"/>
              <w:jc w:val="center"/>
              <w:rPr>
                <w:rFonts w:ascii="宋体" w:hAnsi="宋体" w:cs="宋体"/>
                <w:b/>
                <w:bCs/>
                <w:kern w:val="0"/>
                <w:sz w:val="21"/>
                <w:szCs w:val="21"/>
              </w:rPr>
            </w:pPr>
            <w:r>
              <w:rPr>
                <w:rFonts w:hint="eastAsia" w:ascii="宋体" w:hAnsi="宋体" w:cs="宋体"/>
                <w:b/>
                <w:bCs/>
                <w:kern w:val="0"/>
                <w:sz w:val="21"/>
                <w:szCs w:val="21"/>
              </w:rPr>
              <w:t>现状</w:t>
            </w:r>
          </w:p>
        </w:tc>
        <w:tc>
          <w:tcPr>
            <w:tcW w:w="3107" w:type="dxa"/>
            <w:shd w:val="clear" w:color="auto" w:fill="auto"/>
            <w:vAlign w:val="center"/>
          </w:tcPr>
          <w:p w14:paraId="18763374">
            <w:pPr>
              <w:widowControl/>
              <w:spacing w:line="240" w:lineRule="auto"/>
              <w:jc w:val="center"/>
              <w:rPr>
                <w:rFonts w:ascii="宋体" w:hAnsi="宋体" w:cs="宋体"/>
                <w:b/>
                <w:bCs/>
                <w:kern w:val="0"/>
                <w:sz w:val="21"/>
                <w:szCs w:val="21"/>
              </w:rPr>
            </w:pPr>
            <w:r>
              <w:rPr>
                <w:rFonts w:hint="eastAsia" w:ascii="宋体" w:hAnsi="宋体" w:cs="宋体"/>
                <w:b/>
                <w:bCs/>
                <w:kern w:val="0"/>
                <w:sz w:val="21"/>
                <w:szCs w:val="21"/>
              </w:rPr>
              <w:t>改造方案</w:t>
            </w:r>
          </w:p>
        </w:tc>
        <w:tc>
          <w:tcPr>
            <w:tcW w:w="2657" w:type="dxa"/>
            <w:shd w:val="clear" w:color="auto" w:fill="auto"/>
            <w:vAlign w:val="center"/>
          </w:tcPr>
          <w:p w14:paraId="1EC35CFC">
            <w:pPr>
              <w:widowControl/>
              <w:spacing w:line="240" w:lineRule="auto"/>
              <w:jc w:val="center"/>
              <w:rPr>
                <w:rFonts w:ascii="宋体" w:hAnsi="宋体" w:cs="宋体"/>
                <w:b/>
                <w:bCs/>
                <w:kern w:val="0"/>
                <w:sz w:val="21"/>
                <w:szCs w:val="21"/>
              </w:rPr>
            </w:pPr>
            <w:r>
              <w:rPr>
                <w:rFonts w:hint="eastAsia" w:ascii="宋体" w:hAnsi="宋体" w:cs="宋体"/>
                <w:b/>
                <w:bCs/>
                <w:kern w:val="0"/>
                <w:sz w:val="21"/>
                <w:szCs w:val="21"/>
              </w:rPr>
              <w:t>主要设计范围及要求</w:t>
            </w:r>
          </w:p>
        </w:tc>
      </w:tr>
      <w:tr w14:paraId="7E68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96" w:type="dxa"/>
            <w:vMerge w:val="restart"/>
            <w:shd w:val="clear" w:color="auto" w:fill="auto"/>
            <w:vAlign w:val="center"/>
          </w:tcPr>
          <w:p w14:paraId="4647E0DD">
            <w:pPr>
              <w:widowControl/>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1282" w:type="dxa"/>
            <w:vMerge w:val="restart"/>
            <w:shd w:val="clear" w:color="auto" w:fill="auto"/>
            <w:vAlign w:val="center"/>
          </w:tcPr>
          <w:p w14:paraId="3B675F73">
            <w:pPr>
              <w:widowControl/>
              <w:spacing w:line="240" w:lineRule="auto"/>
              <w:jc w:val="left"/>
              <w:rPr>
                <w:rFonts w:ascii="宋体" w:hAnsi="宋体" w:cs="宋体"/>
                <w:kern w:val="0"/>
                <w:sz w:val="21"/>
                <w:szCs w:val="21"/>
              </w:rPr>
            </w:pPr>
            <w:r>
              <w:rPr>
                <w:rFonts w:hint="eastAsia" w:ascii="宋体" w:hAnsi="宋体" w:cs="宋体"/>
                <w:kern w:val="0"/>
                <w:sz w:val="21"/>
                <w:szCs w:val="21"/>
              </w:rPr>
              <w:t>110kV主变增容置换改造</w:t>
            </w:r>
          </w:p>
        </w:tc>
        <w:tc>
          <w:tcPr>
            <w:tcW w:w="2263" w:type="dxa"/>
            <w:gridSpan w:val="2"/>
            <w:shd w:val="clear" w:color="auto" w:fill="auto"/>
            <w:vAlign w:val="center"/>
          </w:tcPr>
          <w:p w14:paraId="35D974FC">
            <w:pPr>
              <w:widowControl/>
              <w:spacing w:line="240" w:lineRule="auto"/>
              <w:jc w:val="center"/>
              <w:rPr>
                <w:rFonts w:ascii="宋体" w:hAnsi="宋体" w:cs="宋体"/>
                <w:kern w:val="0"/>
                <w:sz w:val="21"/>
                <w:szCs w:val="21"/>
              </w:rPr>
            </w:pPr>
            <w:r>
              <w:rPr>
                <w:rFonts w:hint="eastAsia" w:ascii="宋体" w:hAnsi="宋体" w:cs="宋体"/>
                <w:kern w:val="0"/>
                <w:sz w:val="21"/>
                <w:szCs w:val="21"/>
              </w:rPr>
              <w:t>1#主变31.5MVA</w:t>
            </w:r>
          </w:p>
        </w:tc>
        <w:tc>
          <w:tcPr>
            <w:tcW w:w="3107" w:type="dxa"/>
            <w:shd w:val="clear" w:color="auto" w:fill="auto"/>
            <w:vAlign w:val="center"/>
          </w:tcPr>
          <w:p w14:paraId="44F0A5DB">
            <w:pPr>
              <w:widowControl/>
              <w:spacing w:line="240" w:lineRule="auto"/>
              <w:jc w:val="left"/>
              <w:rPr>
                <w:rFonts w:ascii="宋体" w:hAnsi="宋体" w:cs="宋体"/>
                <w:kern w:val="0"/>
                <w:sz w:val="21"/>
                <w:szCs w:val="21"/>
              </w:rPr>
            </w:pPr>
            <w:r>
              <w:rPr>
                <w:rFonts w:hint="eastAsia" w:ascii="宋体" w:hAnsi="宋体" w:cs="宋体"/>
                <w:kern w:val="0"/>
                <w:sz w:val="21"/>
                <w:szCs w:val="21"/>
              </w:rPr>
              <w:t>1#主变40MVA（增容改造，更换原主变）</w:t>
            </w:r>
          </w:p>
        </w:tc>
        <w:tc>
          <w:tcPr>
            <w:tcW w:w="2657" w:type="dxa"/>
            <w:vMerge w:val="restart"/>
            <w:shd w:val="clear" w:color="auto" w:fill="auto"/>
            <w:vAlign w:val="center"/>
          </w:tcPr>
          <w:p w14:paraId="0B575FF3">
            <w:pPr>
              <w:widowControl/>
              <w:spacing w:line="240" w:lineRule="auto"/>
              <w:jc w:val="left"/>
              <w:rPr>
                <w:rFonts w:cs="宋体" w:asciiTheme="minorEastAsia" w:hAnsiTheme="minorEastAsia" w:eastAsiaTheme="minorEastAsia"/>
                <w:kern w:val="0"/>
                <w:sz w:val="21"/>
                <w:szCs w:val="21"/>
              </w:rPr>
            </w:pPr>
            <w:r>
              <w:rPr>
                <w:rFonts w:hint="eastAsia" w:ascii="宋体" w:hAnsi="宋体" w:cs="宋体"/>
                <w:kern w:val="0"/>
                <w:sz w:val="21"/>
                <w:szCs w:val="21"/>
              </w:rPr>
              <w:t>更换两台电压等级为110/10kV的有载调压主变（二级能效），根据标准规范和需求，完善主变及相关附属设备增容置换、土建改造等设计。</w:t>
            </w:r>
          </w:p>
        </w:tc>
      </w:tr>
      <w:tr w14:paraId="761D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 w:type="dxa"/>
            <w:vMerge w:val="continue"/>
            <w:vAlign w:val="center"/>
          </w:tcPr>
          <w:p w14:paraId="71C20421">
            <w:pPr>
              <w:widowControl/>
              <w:spacing w:line="240" w:lineRule="auto"/>
              <w:jc w:val="left"/>
              <w:rPr>
                <w:rFonts w:ascii="宋体" w:hAnsi="宋体" w:cs="宋体"/>
                <w:kern w:val="0"/>
                <w:sz w:val="21"/>
                <w:szCs w:val="21"/>
              </w:rPr>
            </w:pPr>
          </w:p>
        </w:tc>
        <w:tc>
          <w:tcPr>
            <w:tcW w:w="1282" w:type="dxa"/>
            <w:vMerge w:val="continue"/>
            <w:vAlign w:val="center"/>
          </w:tcPr>
          <w:p w14:paraId="593135D0">
            <w:pPr>
              <w:widowControl/>
              <w:spacing w:line="240" w:lineRule="auto"/>
              <w:jc w:val="left"/>
              <w:rPr>
                <w:rFonts w:ascii="宋体" w:hAnsi="宋体" w:cs="宋体"/>
                <w:kern w:val="0"/>
                <w:sz w:val="21"/>
                <w:szCs w:val="21"/>
              </w:rPr>
            </w:pPr>
          </w:p>
        </w:tc>
        <w:tc>
          <w:tcPr>
            <w:tcW w:w="2263" w:type="dxa"/>
            <w:gridSpan w:val="2"/>
            <w:shd w:val="clear" w:color="auto" w:fill="auto"/>
            <w:vAlign w:val="center"/>
          </w:tcPr>
          <w:p w14:paraId="37658C4B">
            <w:pPr>
              <w:widowControl/>
              <w:spacing w:line="240" w:lineRule="auto"/>
              <w:jc w:val="center"/>
              <w:rPr>
                <w:rFonts w:ascii="宋体" w:hAnsi="宋体" w:cs="宋体"/>
                <w:kern w:val="0"/>
                <w:sz w:val="21"/>
                <w:szCs w:val="21"/>
              </w:rPr>
            </w:pPr>
            <w:r>
              <w:rPr>
                <w:rFonts w:hint="eastAsia" w:ascii="宋体" w:hAnsi="宋体" w:cs="宋体"/>
                <w:kern w:val="0"/>
                <w:sz w:val="21"/>
                <w:szCs w:val="21"/>
              </w:rPr>
              <w:t>2#主变31.5MVA</w:t>
            </w:r>
          </w:p>
        </w:tc>
        <w:tc>
          <w:tcPr>
            <w:tcW w:w="3107" w:type="dxa"/>
            <w:shd w:val="clear" w:color="auto" w:fill="auto"/>
            <w:vAlign w:val="center"/>
          </w:tcPr>
          <w:p w14:paraId="518985BE">
            <w:pPr>
              <w:widowControl/>
              <w:spacing w:line="240" w:lineRule="auto"/>
              <w:jc w:val="left"/>
              <w:rPr>
                <w:rFonts w:ascii="宋体" w:hAnsi="宋体" w:cs="宋体"/>
                <w:kern w:val="0"/>
                <w:sz w:val="21"/>
                <w:szCs w:val="21"/>
              </w:rPr>
            </w:pPr>
            <w:r>
              <w:rPr>
                <w:rFonts w:hint="eastAsia" w:ascii="宋体" w:hAnsi="宋体" w:cs="宋体"/>
                <w:kern w:val="0"/>
                <w:sz w:val="21"/>
                <w:szCs w:val="21"/>
              </w:rPr>
              <w:t>2#主变50MVA（增容改造，更换原主变）</w:t>
            </w:r>
          </w:p>
        </w:tc>
        <w:tc>
          <w:tcPr>
            <w:tcW w:w="2657" w:type="dxa"/>
            <w:vMerge w:val="continue"/>
            <w:vAlign w:val="center"/>
          </w:tcPr>
          <w:p w14:paraId="78C56273">
            <w:pPr>
              <w:widowControl/>
              <w:spacing w:line="240" w:lineRule="auto"/>
              <w:jc w:val="left"/>
              <w:rPr>
                <w:rFonts w:ascii="宋体" w:hAnsi="宋体" w:cs="宋体"/>
                <w:kern w:val="0"/>
                <w:sz w:val="21"/>
                <w:szCs w:val="21"/>
              </w:rPr>
            </w:pPr>
          </w:p>
        </w:tc>
      </w:tr>
      <w:tr w14:paraId="2266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96" w:type="dxa"/>
            <w:vMerge w:val="continue"/>
            <w:vAlign w:val="center"/>
          </w:tcPr>
          <w:p w14:paraId="39CB86C5">
            <w:pPr>
              <w:widowControl/>
              <w:spacing w:line="240" w:lineRule="auto"/>
              <w:jc w:val="left"/>
              <w:rPr>
                <w:rFonts w:ascii="宋体" w:hAnsi="宋体" w:cs="宋体"/>
                <w:kern w:val="0"/>
                <w:sz w:val="21"/>
                <w:szCs w:val="21"/>
              </w:rPr>
            </w:pPr>
          </w:p>
        </w:tc>
        <w:tc>
          <w:tcPr>
            <w:tcW w:w="1282" w:type="dxa"/>
            <w:vMerge w:val="continue"/>
            <w:vAlign w:val="center"/>
          </w:tcPr>
          <w:p w14:paraId="7A3B62A6">
            <w:pPr>
              <w:widowControl/>
              <w:spacing w:line="240" w:lineRule="auto"/>
              <w:jc w:val="left"/>
              <w:rPr>
                <w:rFonts w:ascii="宋体" w:hAnsi="宋体" w:cs="宋体"/>
                <w:kern w:val="0"/>
                <w:sz w:val="21"/>
                <w:szCs w:val="21"/>
              </w:rPr>
            </w:pPr>
          </w:p>
        </w:tc>
        <w:tc>
          <w:tcPr>
            <w:tcW w:w="2263" w:type="dxa"/>
            <w:gridSpan w:val="2"/>
            <w:shd w:val="clear" w:color="auto" w:fill="auto"/>
            <w:vAlign w:val="center"/>
          </w:tcPr>
          <w:p w14:paraId="12545E91">
            <w:pPr>
              <w:widowControl/>
              <w:spacing w:line="240" w:lineRule="auto"/>
              <w:jc w:val="center"/>
              <w:rPr>
                <w:rFonts w:ascii="宋体" w:hAnsi="宋体" w:cs="宋体"/>
                <w:kern w:val="0"/>
                <w:sz w:val="21"/>
                <w:szCs w:val="21"/>
              </w:rPr>
            </w:pPr>
            <w:r>
              <w:rPr>
                <w:rFonts w:hint="eastAsia" w:ascii="宋体" w:hAnsi="宋体" w:cs="宋体"/>
                <w:kern w:val="0"/>
                <w:sz w:val="21"/>
                <w:szCs w:val="21"/>
              </w:rPr>
              <w:t>3#主变40MVA</w:t>
            </w:r>
          </w:p>
        </w:tc>
        <w:tc>
          <w:tcPr>
            <w:tcW w:w="3107" w:type="dxa"/>
            <w:shd w:val="clear" w:color="auto" w:fill="auto"/>
            <w:vAlign w:val="center"/>
          </w:tcPr>
          <w:p w14:paraId="3574BBC6">
            <w:pPr>
              <w:widowControl/>
              <w:spacing w:line="240" w:lineRule="auto"/>
              <w:jc w:val="left"/>
              <w:rPr>
                <w:rFonts w:ascii="宋体" w:hAnsi="宋体" w:cs="宋体"/>
                <w:kern w:val="0"/>
                <w:sz w:val="21"/>
                <w:szCs w:val="21"/>
              </w:rPr>
            </w:pPr>
            <w:r>
              <w:rPr>
                <w:rFonts w:hint="eastAsia" w:ascii="宋体" w:hAnsi="宋体" w:cs="宋体"/>
                <w:kern w:val="0"/>
                <w:sz w:val="21"/>
                <w:szCs w:val="21"/>
              </w:rPr>
              <w:t xml:space="preserve">3#主变40MVA（利旧，不在本次改造范围）    </w:t>
            </w:r>
          </w:p>
        </w:tc>
        <w:tc>
          <w:tcPr>
            <w:tcW w:w="2657" w:type="dxa"/>
            <w:vMerge w:val="continue"/>
            <w:vAlign w:val="center"/>
          </w:tcPr>
          <w:p w14:paraId="0C4B8B5A">
            <w:pPr>
              <w:widowControl/>
              <w:spacing w:line="240" w:lineRule="auto"/>
              <w:jc w:val="left"/>
              <w:rPr>
                <w:rFonts w:ascii="宋体" w:hAnsi="宋体" w:cs="宋体"/>
                <w:kern w:val="0"/>
                <w:sz w:val="21"/>
                <w:szCs w:val="21"/>
              </w:rPr>
            </w:pPr>
          </w:p>
        </w:tc>
      </w:tr>
      <w:tr w14:paraId="2FDF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96" w:type="dxa"/>
            <w:shd w:val="clear" w:color="auto" w:fill="auto"/>
            <w:vAlign w:val="center"/>
          </w:tcPr>
          <w:p w14:paraId="585F315C">
            <w:pPr>
              <w:widowControl/>
              <w:spacing w:line="240" w:lineRule="auto"/>
              <w:jc w:val="center"/>
              <w:rPr>
                <w:rFonts w:ascii="宋体" w:hAnsi="宋体" w:cs="宋体"/>
                <w:kern w:val="0"/>
                <w:sz w:val="21"/>
                <w:szCs w:val="21"/>
              </w:rPr>
            </w:pPr>
            <w:r>
              <w:rPr>
                <w:rFonts w:hint="eastAsia" w:ascii="宋体" w:hAnsi="宋体" w:cs="宋体"/>
                <w:kern w:val="0"/>
                <w:sz w:val="21"/>
                <w:szCs w:val="21"/>
              </w:rPr>
              <w:t>2</w:t>
            </w:r>
          </w:p>
        </w:tc>
        <w:tc>
          <w:tcPr>
            <w:tcW w:w="1282" w:type="dxa"/>
            <w:shd w:val="clear" w:color="auto" w:fill="auto"/>
            <w:vAlign w:val="center"/>
          </w:tcPr>
          <w:p w14:paraId="24B5C45B">
            <w:pPr>
              <w:widowControl/>
              <w:spacing w:line="240" w:lineRule="auto"/>
              <w:jc w:val="left"/>
              <w:rPr>
                <w:rFonts w:ascii="宋体" w:hAnsi="宋体" w:cs="宋体"/>
                <w:kern w:val="0"/>
                <w:sz w:val="21"/>
                <w:szCs w:val="21"/>
              </w:rPr>
            </w:pPr>
            <w:r>
              <w:rPr>
                <w:rFonts w:hint="eastAsia" w:ascii="宋体" w:hAnsi="宋体" w:cs="宋体"/>
                <w:kern w:val="0"/>
                <w:sz w:val="21"/>
                <w:szCs w:val="21"/>
              </w:rPr>
              <w:t>110kV户外断路器</w:t>
            </w:r>
          </w:p>
        </w:tc>
        <w:tc>
          <w:tcPr>
            <w:tcW w:w="2263" w:type="dxa"/>
            <w:gridSpan w:val="2"/>
            <w:shd w:val="clear" w:color="auto" w:fill="auto"/>
            <w:vAlign w:val="center"/>
          </w:tcPr>
          <w:p w14:paraId="6745A0F2">
            <w:pPr>
              <w:widowControl/>
              <w:spacing w:line="240" w:lineRule="auto"/>
              <w:jc w:val="center"/>
              <w:rPr>
                <w:rFonts w:ascii="宋体" w:hAnsi="宋体" w:cs="宋体"/>
                <w:kern w:val="0"/>
                <w:sz w:val="21"/>
                <w:szCs w:val="21"/>
              </w:rPr>
            </w:pPr>
            <w:r>
              <w:rPr>
                <w:rFonts w:hint="eastAsia" w:ascii="宋体" w:hAnsi="宋体" w:cs="宋体"/>
                <w:kern w:val="0"/>
                <w:sz w:val="21"/>
                <w:szCs w:val="21"/>
              </w:rPr>
              <w:t>6台110kV-SF6断路器</w:t>
            </w:r>
          </w:p>
        </w:tc>
        <w:tc>
          <w:tcPr>
            <w:tcW w:w="3107" w:type="dxa"/>
            <w:shd w:val="clear" w:color="auto" w:fill="auto"/>
            <w:vAlign w:val="center"/>
          </w:tcPr>
          <w:p w14:paraId="4AFE8665">
            <w:pPr>
              <w:widowControl/>
              <w:spacing w:line="240" w:lineRule="auto"/>
              <w:jc w:val="left"/>
              <w:rPr>
                <w:rFonts w:ascii="宋体" w:hAnsi="宋体" w:cs="宋体"/>
                <w:kern w:val="0"/>
                <w:sz w:val="21"/>
                <w:szCs w:val="21"/>
              </w:rPr>
            </w:pPr>
            <w:r>
              <w:rPr>
                <w:rFonts w:hint="eastAsia" w:ascii="宋体" w:hAnsi="宋体" w:cs="宋体"/>
                <w:kern w:val="0"/>
                <w:sz w:val="21"/>
                <w:szCs w:val="21"/>
              </w:rPr>
              <w:t>2台整组更换，4台大修</w:t>
            </w:r>
          </w:p>
        </w:tc>
        <w:tc>
          <w:tcPr>
            <w:tcW w:w="2657" w:type="dxa"/>
            <w:shd w:val="clear" w:color="auto" w:fill="auto"/>
            <w:vAlign w:val="center"/>
          </w:tcPr>
          <w:p w14:paraId="75CBB2F9">
            <w:pPr>
              <w:widowControl/>
              <w:spacing w:line="240" w:lineRule="auto"/>
              <w:jc w:val="left"/>
              <w:rPr>
                <w:rFonts w:ascii="宋体" w:hAnsi="宋体" w:cs="宋体"/>
                <w:kern w:val="0"/>
                <w:sz w:val="21"/>
                <w:szCs w:val="21"/>
              </w:rPr>
            </w:pPr>
            <w:r>
              <w:rPr>
                <w:rFonts w:hint="eastAsia" w:ascii="宋体" w:hAnsi="宋体" w:cs="宋体"/>
                <w:kern w:val="0"/>
                <w:sz w:val="21"/>
                <w:szCs w:val="21"/>
              </w:rPr>
              <w:t>完善更新、利旧设备一次、二次系统及土建改造等设计。</w:t>
            </w:r>
          </w:p>
        </w:tc>
      </w:tr>
      <w:tr w14:paraId="1E8B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96" w:type="dxa"/>
            <w:shd w:val="clear" w:color="auto" w:fill="auto"/>
            <w:vAlign w:val="center"/>
          </w:tcPr>
          <w:p w14:paraId="39CAEFF0">
            <w:pPr>
              <w:widowControl/>
              <w:spacing w:line="240" w:lineRule="auto"/>
              <w:jc w:val="center"/>
              <w:rPr>
                <w:rFonts w:ascii="宋体" w:hAnsi="宋体" w:cs="宋体"/>
                <w:kern w:val="0"/>
                <w:sz w:val="21"/>
                <w:szCs w:val="21"/>
              </w:rPr>
            </w:pPr>
            <w:r>
              <w:rPr>
                <w:rFonts w:hint="eastAsia" w:ascii="宋体" w:hAnsi="宋体" w:cs="宋体"/>
                <w:kern w:val="0"/>
                <w:sz w:val="21"/>
                <w:szCs w:val="21"/>
              </w:rPr>
              <w:t>3</w:t>
            </w:r>
          </w:p>
        </w:tc>
        <w:tc>
          <w:tcPr>
            <w:tcW w:w="1282" w:type="dxa"/>
            <w:shd w:val="clear" w:color="auto" w:fill="auto"/>
            <w:vAlign w:val="center"/>
          </w:tcPr>
          <w:p w14:paraId="5C25B6C5">
            <w:pPr>
              <w:widowControl/>
              <w:spacing w:line="240" w:lineRule="auto"/>
              <w:jc w:val="left"/>
              <w:rPr>
                <w:rFonts w:ascii="宋体" w:hAnsi="宋体" w:cs="宋体"/>
                <w:kern w:val="0"/>
                <w:sz w:val="21"/>
                <w:szCs w:val="21"/>
              </w:rPr>
            </w:pPr>
            <w:r>
              <w:rPr>
                <w:rFonts w:hint="eastAsia" w:ascii="宋体" w:hAnsi="宋体" w:cs="宋体"/>
                <w:kern w:val="0"/>
                <w:sz w:val="21"/>
                <w:szCs w:val="21"/>
              </w:rPr>
              <w:t>10kV开关柜置换及出口扩容</w:t>
            </w:r>
          </w:p>
        </w:tc>
        <w:tc>
          <w:tcPr>
            <w:tcW w:w="2263" w:type="dxa"/>
            <w:gridSpan w:val="2"/>
            <w:shd w:val="clear" w:color="auto" w:fill="auto"/>
            <w:vAlign w:val="center"/>
          </w:tcPr>
          <w:p w14:paraId="4E812D46">
            <w:pPr>
              <w:widowControl/>
              <w:spacing w:line="240" w:lineRule="auto"/>
              <w:jc w:val="left"/>
              <w:rPr>
                <w:rFonts w:ascii="宋体" w:hAnsi="宋体" w:cs="宋体"/>
                <w:kern w:val="0"/>
                <w:sz w:val="21"/>
                <w:szCs w:val="21"/>
              </w:rPr>
            </w:pPr>
            <w:r>
              <w:rPr>
                <w:rFonts w:hint="eastAsia" w:ascii="宋体" w:hAnsi="宋体" w:cs="宋体"/>
                <w:kern w:val="0"/>
                <w:sz w:val="21"/>
                <w:szCs w:val="21"/>
              </w:rPr>
              <w:t>10kV系统1-3段母线（含总路\PT\电容\母联）等共计42面KYN28柜。</w:t>
            </w:r>
          </w:p>
        </w:tc>
        <w:tc>
          <w:tcPr>
            <w:tcW w:w="3107" w:type="dxa"/>
            <w:shd w:val="clear" w:color="auto" w:fill="auto"/>
            <w:vAlign w:val="center"/>
          </w:tcPr>
          <w:p w14:paraId="22BA570A">
            <w:pPr>
              <w:widowControl/>
              <w:spacing w:line="240" w:lineRule="auto"/>
              <w:jc w:val="left"/>
              <w:rPr>
                <w:rFonts w:ascii="宋体" w:hAnsi="宋体" w:cs="宋体"/>
                <w:kern w:val="0"/>
                <w:sz w:val="21"/>
                <w:szCs w:val="21"/>
              </w:rPr>
            </w:pPr>
            <w:r>
              <w:rPr>
                <w:rFonts w:hint="eastAsia" w:ascii="宋体" w:hAnsi="宋体" w:cs="宋体"/>
                <w:kern w:val="0"/>
                <w:sz w:val="21"/>
                <w:szCs w:val="21"/>
              </w:rPr>
              <w:t>整体拆除置换更新，同时新增扩容6-10回馈线出口（综保等部分设备利旧）。</w:t>
            </w:r>
          </w:p>
        </w:tc>
        <w:tc>
          <w:tcPr>
            <w:tcW w:w="2657" w:type="dxa"/>
            <w:shd w:val="clear" w:color="auto" w:fill="auto"/>
            <w:vAlign w:val="center"/>
          </w:tcPr>
          <w:p w14:paraId="4B391D92">
            <w:pPr>
              <w:widowControl/>
              <w:spacing w:line="240" w:lineRule="auto"/>
              <w:jc w:val="left"/>
              <w:rPr>
                <w:rFonts w:ascii="宋体" w:hAnsi="宋体" w:cs="宋体"/>
                <w:kern w:val="0"/>
                <w:sz w:val="21"/>
                <w:szCs w:val="21"/>
              </w:rPr>
            </w:pPr>
            <w:r>
              <w:rPr>
                <w:rFonts w:hint="eastAsia" w:ascii="宋体" w:hAnsi="宋体" w:cs="宋体"/>
                <w:kern w:val="0"/>
                <w:sz w:val="21"/>
                <w:szCs w:val="21"/>
              </w:rPr>
              <w:t>根据需求和现场条件布局，配套完善10kV1-3段母线新增、改造、利旧设备一次、二次系统设计。</w:t>
            </w:r>
          </w:p>
        </w:tc>
      </w:tr>
      <w:tr w14:paraId="1971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96" w:type="dxa"/>
            <w:shd w:val="clear" w:color="auto" w:fill="auto"/>
            <w:vAlign w:val="center"/>
          </w:tcPr>
          <w:p w14:paraId="5B220964">
            <w:pPr>
              <w:widowControl/>
              <w:spacing w:line="240" w:lineRule="auto"/>
              <w:jc w:val="center"/>
              <w:rPr>
                <w:rFonts w:ascii="宋体" w:hAnsi="宋体" w:cs="宋体"/>
                <w:kern w:val="0"/>
                <w:sz w:val="21"/>
                <w:szCs w:val="21"/>
              </w:rPr>
            </w:pPr>
            <w:r>
              <w:rPr>
                <w:rFonts w:hint="eastAsia" w:ascii="宋体" w:hAnsi="宋体" w:cs="宋体"/>
                <w:kern w:val="0"/>
                <w:sz w:val="21"/>
                <w:szCs w:val="21"/>
              </w:rPr>
              <w:t>4</w:t>
            </w:r>
          </w:p>
        </w:tc>
        <w:tc>
          <w:tcPr>
            <w:tcW w:w="1282" w:type="dxa"/>
            <w:shd w:val="clear" w:color="auto" w:fill="auto"/>
            <w:vAlign w:val="center"/>
          </w:tcPr>
          <w:p w14:paraId="54F532E3">
            <w:pPr>
              <w:widowControl/>
              <w:spacing w:line="240" w:lineRule="auto"/>
              <w:jc w:val="left"/>
              <w:rPr>
                <w:rFonts w:ascii="宋体" w:hAnsi="宋体" w:cs="宋体"/>
                <w:kern w:val="0"/>
                <w:sz w:val="21"/>
                <w:szCs w:val="21"/>
              </w:rPr>
            </w:pPr>
            <w:r>
              <w:rPr>
                <w:rFonts w:hint="eastAsia" w:ascii="宋体" w:hAnsi="宋体" w:cs="宋体"/>
                <w:kern w:val="0"/>
                <w:sz w:val="21"/>
                <w:szCs w:val="21"/>
              </w:rPr>
              <w:t>10kV无功补偿系统置换改造</w:t>
            </w:r>
          </w:p>
        </w:tc>
        <w:tc>
          <w:tcPr>
            <w:tcW w:w="2263" w:type="dxa"/>
            <w:gridSpan w:val="2"/>
            <w:shd w:val="clear" w:color="auto" w:fill="auto"/>
            <w:vAlign w:val="center"/>
          </w:tcPr>
          <w:p w14:paraId="77EC401B">
            <w:pPr>
              <w:widowControl/>
              <w:spacing w:line="240" w:lineRule="auto"/>
              <w:jc w:val="left"/>
              <w:rPr>
                <w:rFonts w:ascii="宋体" w:hAnsi="宋体" w:cs="宋体"/>
                <w:kern w:val="0"/>
                <w:sz w:val="21"/>
                <w:szCs w:val="21"/>
              </w:rPr>
            </w:pPr>
            <w:r>
              <w:rPr>
                <w:rFonts w:hint="eastAsia" w:ascii="宋体" w:hAnsi="宋体" w:cs="宋体"/>
                <w:kern w:val="0"/>
                <w:sz w:val="21"/>
                <w:szCs w:val="21"/>
              </w:rPr>
              <w:t>3000kVar静态电容补偿装置3组（总容量9000kVar）</w:t>
            </w:r>
          </w:p>
        </w:tc>
        <w:tc>
          <w:tcPr>
            <w:tcW w:w="3107" w:type="dxa"/>
            <w:shd w:val="clear" w:color="auto" w:fill="auto"/>
            <w:vAlign w:val="center"/>
          </w:tcPr>
          <w:p w14:paraId="22E89641">
            <w:pPr>
              <w:widowControl/>
              <w:spacing w:line="240" w:lineRule="auto"/>
              <w:jc w:val="left"/>
              <w:rPr>
                <w:rFonts w:ascii="宋体" w:hAnsi="宋体" w:cs="宋体"/>
                <w:kern w:val="0"/>
                <w:sz w:val="21"/>
                <w:szCs w:val="21"/>
              </w:rPr>
            </w:pPr>
            <w:r>
              <w:rPr>
                <w:rFonts w:hint="eastAsia" w:ascii="宋体" w:hAnsi="宋体" w:cs="宋体"/>
                <w:kern w:val="0"/>
                <w:sz w:val="21"/>
                <w:szCs w:val="21"/>
              </w:rPr>
              <w:t>整体拆除置换更新，总容量提升至15000—18000kVar，采用SVG动态无功补偿装置。</w:t>
            </w:r>
          </w:p>
        </w:tc>
        <w:tc>
          <w:tcPr>
            <w:tcW w:w="2657" w:type="dxa"/>
            <w:shd w:val="clear" w:color="auto" w:fill="auto"/>
            <w:vAlign w:val="center"/>
          </w:tcPr>
          <w:p w14:paraId="2FDD1269">
            <w:pPr>
              <w:widowControl/>
              <w:spacing w:line="240" w:lineRule="auto"/>
              <w:jc w:val="left"/>
              <w:rPr>
                <w:rFonts w:ascii="宋体" w:hAnsi="宋体" w:cs="宋体"/>
                <w:kern w:val="0"/>
                <w:sz w:val="21"/>
                <w:szCs w:val="21"/>
              </w:rPr>
            </w:pPr>
            <w:r>
              <w:rPr>
                <w:rFonts w:hint="eastAsia" w:ascii="宋体" w:hAnsi="宋体" w:cs="宋体"/>
                <w:kern w:val="0"/>
                <w:sz w:val="21"/>
                <w:szCs w:val="21"/>
              </w:rPr>
              <w:t>根据标准规范和需求，完善相关设计。</w:t>
            </w:r>
          </w:p>
        </w:tc>
      </w:tr>
      <w:tr w14:paraId="1897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96" w:type="dxa"/>
            <w:shd w:val="clear" w:color="auto" w:fill="auto"/>
            <w:vAlign w:val="center"/>
          </w:tcPr>
          <w:p w14:paraId="3218ADB4">
            <w:pPr>
              <w:widowControl/>
              <w:spacing w:line="240" w:lineRule="auto"/>
              <w:jc w:val="center"/>
              <w:rPr>
                <w:rFonts w:ascii="宋体" w:hAnsi="宋体" w:cs="宋体"/>
                <w:kern w:val="0"/>
                <w:sz w:val="21"/>
                <w:szCs w:val="21"/>
              </w:rPr>
            </w:pPr>
            <w:r>
              <w:rPr>
                <w:rFonts w:hint="eastAsia" w:ascii="宋体" w:hAnsi="宋体" w:cs="宋体"/>
                <w:kern w:val="0"/>
                <w:sz w:val="21"/>
                <w:szCs w:val="21"/>
              </w:rPr>
              <w:t>5</w:t>
            </w:r>
          </w:p>
        </w:tc>
        <w:tc>
          <w:tcPr>
            <w:tcW w:w="1282" w:type="dxa"/>
            <w:shd w:val="clear" w:color="auto" w:fill="auto"/>
            <w:vAlign w:val="center"/>
          </w:tcPr>
          <w:p w14:paraId="60039EF4">
            <w:pPr>
              <w:widowControl/>
              <w:spacing w:line="240" w:lineRule="auto"/>
              <w:jc w:val="left"/>
              <w:rPr>
                <w:rFonts w:ascii="宋体" w:hAnsi="宋体" w:cs="宋体"/>
                <w:kern w:val="0"/>
                <w:sz w:val="21"/>
                <w:szCs w:val="21"/>
              </w:rPr>
            </w:pPr>
            <w:r>
              <w:rPr>
                <w:rFonts w:hint="eastAsia" w:ascii="宋体" w:hAnsi="宋体" w:cs="宋体"/>
                <w:kern w:val="0"/>
                <w:sz w:val="21"/>
                <w:szCs w:val="21"/>
              </w:rPr>
              <w:t>3#主变大修</w:t>
            </w:r>
          </w:p>
        </w:tc>
        <w:tc>
          <w:tcPr>
            <w:tcW w:w="2263" w:type="dxa"/>
            <w:gridSpan w:val="2"/>
            <w:shd w:val="clear" w:color="auto" w:fill="auto"/>
            <w:vAlign w:val="center"/>
          </w:tcPr>
          <w:p w14:paraId="52271F24">
            <w:pPr>
              <w:widowControl/>
              <w:spacing w:line="240" w:lineRule="auto"/>
              <w:jc w:val="left"/>
              <w:rPr>
                <w:rFonts w:ascii="宋体" w:hAnsi="宋体" w:cs="宋体"/>
                <w:kern w:val="0"/>
                <w:sz w:val="21"/>
                <w:szCs w:val="21"/>
              </w:rPr>
            </w:pPr>
            <w:r>
              <w:rPr>
                <w:rFonts w:hint="eastAsia" w:ascii="宋体" w:hAnsi="宋体" w:cs="宋体"/>
                <w:kern w:val="0"/>
                <w:sz w:val="21"/>
                <w:szCs w:val="21"/>
              </w:rPr>
              <w:t>容量40MVA，110/10kV两卷有载调压</w:t>
            </w:r>
          </w:p>
        </w:tc>
        <w:tc>
          <w:tcPr>
            <w:tcW w:w="3107" w:type="dxa"/>
            <w:shd w:val="clear" w:color="auto" w:fill="auto"/>
            <w:vAlign w:val="center"/>
          </w:tcPr>
          <w:p w14:paraId="75C5661C">
            <w:pPr>
              <w:widowControl/>
              <w:spacing w:line="240" w:lineRule="auto"/>
              <w:jc w:val="left"/>
              <w:rPr>
                <w:rFonts w:ascii="宋体" w:hAnsi="宋体" w:cs="宋体"/>
                <w:kern w:val="0"/>
                <w:sz w:val="21"/>
                <w:szCs w:val="21"/>
              </w:rPr>
            </w:pPr>
            <w:r>
              <w:rPr>
                <w:rFonts w:hint="eastAsia" w:ascii="宋体" w:hAnsi="宋体" w:cs="宋体"/>
                <w:kern w:val="0"/>
                <w:sz w:val="21"/>
                <w:szCs w:val="21"/>
              </w:rPr>
              <w:t>主变及调压变吊芯大修，防腐，渗漏油处理及滤油补油，中性点执行机构刀闸、密封垫及易损件更换，附属特殊试验调试等。</w:t>
            </w:r>
          </w:p>
        </w:tc>
        <w:tc>
          <w:tcPr>
            <w:tcW w:w="2657" w:type="dxa"/>
            <w:shd w:val="clear" w:color="auto" w:fill="auto"/>
            <w:vAlign w:val="center"/>
          </w:tcPr>
          <w:p w14:paraId="7A31296F">
            <w:pPr>
              <w:widowControl/>
              <w:spacing w:line="240" w:lineRule="auto"/>
              <w:jc w:val="left"/>
              <w:rPr>
                <w:rFonts w:ascii="宋体" w:hAnsi="宋体" w:cs="宋体"/>
                <w:kern w:val="0"/>
                <w:sz w:val="21"/>
                <w:szCs w:val="21"/>
              </w:rPr>
            </w:pPr>
            <w:r>
              <w:rPr>
                <w:rFonts w:hint="eastAsia" w:ascii="宋体" w:hAnsi="宋体" w:cs="宋体"/>
                <w:kern w:val="0"/>
                <w:sz w:val="21"/>
                <w:szCs w:val="21"/>
              </w:rPr>
              <w:t>现场踏勘统计缺陷，完善大修工程量清单及概算编制。</w:t>
            </w:r>
          </w:p>
        </w:tc>
      </w:tr>
      <w:tr w14:paraId="661F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96" w:type="dxa"/>
            <w:vMerge w:val="restart"/>
            <w:shd w:val="clear" w:color="auto" w:fill="auto"/>
            <w:vAlign w:val="center"/>
          </w:tcPr>
          <w:p w14:paraId="767000DF">
            <w:pPr>
              <w:widowControl/>
              <w:spacing w:line="240" w:lineRule="auto"/>
              <w:jc w:val="center"/>
              <w:rPr>
                <w:rFonts w:ascii="宋体" w:hAnsi="宋体" w:cs="宋体"/>
                <w:kern w:val="0"/>
                <w:sz w:val="21"/>
                <w:szCs w:val="21"/>
              </w:rPr>
            </w:pPr>
            <w:r>
              <w:rPr>
                <w:rFonts w:hint="eastAsia" w:ascii="宋体" w:hAnsi="宋体" w:cs="宋体"/>
                <w:kern w:val="0"/>
                <w:sz w:val="21"/>
                <w:szCs w:val="21"/>
              </w:rPr>
              <w:t>6</w:t>
            </w:r>
          </w:p>
        </w:tc>
        <w:tc>
          <w:tcPr>
            <w:tcW w:w="1282" w:type="dxa"/>
            <w:vMerge w:val="restart"/>
            <w:shd w:val="clear" w:color="auto" w:fill="auto"/>
            <w:vAlign w:val="center"/>
          </w:tcPr>
          <w:p w14:paraId="7069129F">
            <w:pPr>
              <w:widowControl/>
              <w:spacing w:line="240" w:lineRule="auto"/>
              <w:jc w:val="left"/>
              <w:rPr>
                <w:rFonts w:ascii="宋体" w:hAnsi="宋体" w:cs="宋体"/>
                <w:kern w:val="0"/>
                <w:sz w:val="21"/>
                <w:szCs w:val="21"/>
              </w:rPr>
            </w:pPr>
            <w:r>
              <w:rPr>
                <w:rFonts w:hint="eastAsia" w:ascii="宋体" w:hAnsi="宋体" w:cs="宋体"/>
                <w:kern w:val="0"/>
                <w:sz w:val="21"/>
                <w:szCs w:val="21"/>
              </w:rPr>
              <w:t>110kV开关场设备设施大修及增容工程配套、附属设备增容更新置换</w:t>
            </w:r>
          </w:p>
        </w:tc>
        <w:tc>
          <w:tcPr>
            <w:tcW w:w="456" w:type="dxa"/>
            <w:shd w:val="clear" w:color="auto" w:fill="auto"/>
            <w:vAlign w:val="center"/>
          </w:tcPr>
          <w:p w14:paraId="7D1BE2D2">
            <w:pPr>
              <w:widowControl/>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1807" w:type="dxa"/>
            <w:shd w:val="clear" w:color="auto" w:fill="auto"/>
            <w:vAlign w:val="center"/>
          </w:tcPr>
          <w:p w14:paraId="324A7C3C">
            <w:pPr>
              <w:widowControl/>
              <w:spacing w:line="240" w:lineRule="auto"/>
              <w:jc w:val="left"/>
              <w:rPr>
                <w:rFonts w:ascii="宋体" w:hAnsi="宋体" w:cs="宋体"/>
                <w:kern w:val="0"/>
                <w:sz w:val="21"/>
                <w:szCs w:val="21"/>
              </w:rPr>
            </w:pPr>
            <w:r>
              <w:rPr>
                <w:rFonts w:hint="eastAsia" w:ascii="宋体" w:hAnsi="宋体" w:cs="宋体"/>
                <w:kern w:val="0"/>
                <w:sz w:val="21"/>
                <w:szCs w:val="21"/>
              </w:rPr>
              <w:t>110kV母线9组</w:t>
            </w:r>
          </w:p>
        </w:tc>
        <w:tc>
          <w:tcPr>
            <w:tcW w:w="3107" w:type="dxa"/>
            <w:shd w:val="clear" w:color="auto" w:fill="auto"/>
            <w:vAlign w:val="center"/>
          </w:tcPr>
          <w:p w14:paraId="26D302EF">
            <w:pPr>
              <w:widowControl/>
              <w:spacing w:line="240" w:lineRule="auto"/>
              <w:jc w:val="left"/>
              <w:rPr>
                <w:rFonts w:ascii="宋体" w:hAnsi="宋体" w:cs="宋体"/>
                <w:kern w:val="0"/>
                <w:sz w:val="21"/>
                <w:szCs w:val="21"/>
              </w:rPr>
            </w:pPr>
            <w:r>
              <w:rPr>
                <w:rFonts w:hint="eastAsia" w:ascii="宋体" w:hAnsi="宋体" w:cs="宋体"/>
                <w:kern w:val="0"/>
                <w:sz w:val="21"/>
                <w:szCs w:val="21"/>
              </w:rPr>
              <w:t>母线检修，更换耐张线夹相关挂件</w:t>
            </w:r>
          </w:p>
        </w:tc>
        <w:tc>
          <w:tcPr>
            <w:tcW w:w="2657" w:type="dxa"/>
            <w:vMerge w:val="restart"/>
            <w:shd w:val="clear" w:color="auto" w:fill="auto"/>
            <w:vAlign w:val="center"/>
          </w:tcPr>
          <w:p w14:paraId="51DCD0D7">
            <w:pPr>
              <w:widowControl/>
              <w:spacing w:line="240" w:lineRule="auto"/>
              <w:jc w:val="left"/>
              <w:rPr>
                <w:rFonts w:ascii="宋体" w:hAnsi="宋体" w:cs="宋体"/>
                <w:kern w:val="0"/>
                <w:sz w:val="21"/>
                <w:szCs w:val="21"/>
              </w:rPr>
            </w:pPr>
            <w:r>
              <w:rPr>
                <w:rFonts w:hint="eastAsia" w:ascii="宋体" w:hAnsi="宋体" w:cs="宋体"/>
                <w:kern w:val="0"/>
                <w:sz w:val="21"/>
                <w:szCs w:val="21"/>
              </w:rPr>
              <w:t>变电站室外母线、主变间隔、线路间隔绝缘悬瓷及金具、构架等检维修。其中涉及因增容后需配套拆除、新装（置换）的刀闸、CT、PT等设备选型设计，现场踏勘统计缺陷，完善大修工程量清单及概算编制。</w:t>
            </w:r>
          </w:p>
        </w:tc>
      </w:tr>
      <w:tr w14:paraId="10D7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396" w:type="dxa"/>
            <w:vMerge w:val="continue"/>
            <w:vAlign w:val="center"/>
          </w:tcPr>
          <w:p w14:paraId="254EF21F">
            <w:pPr>
              <w:widowControl/>
              <w:spacing w:line="240" w:lineRule="auto"/>
              <w:jc w:val="left"/>
              <w:rPr>
                <w:rFonts w:ascii="宋体" w:hAnsi="宋体" w:cs="宋体"/>
                <w:kern w:val="0"/>
                <w:sz w:val="21"/>
                <w:szCs w:val="21"/>
              </w:rPr>
            </w:pPr>
          </w:p>
        </w:tc>
        <w:tc>
          <w:tcPr>
            <w:tcW w:w="1282" w:type="dxa"/>
            <w:vMerge w:val="continue"/>
            <w:vAlign w:val="center"/>
          </w:tcPr>
          <w:p w14:paraId="2A86E912">
            <w:pPr>
              <w:widowControl/>
              <w:spacing w:line="240" w:lineRule="auto"/>
              <w:jc w:val="left"/>
              <w:rPr>
                <w:rFonts w:ascii="宋体" w:hAnsi="宋体" w:cs="宋体"/>
                <w:kern w:val="0"/>
                <w:sz w:val="21"/>
                <w:szCs w:val="21"/>
              </w:rPr>
            </w:pPr>
          </w:p>
        </w:tc>
        <w:tc>
          <w:tcPr>
            <w:tcW w:w="456" w:type="dxa"/>
            <w:shd w:val="clear" w:color="auto" w:fill="auto"/>
            <w:vAlign w:val="center"/>
          </w:tcPr>
          <w:p w14:paraId="6C615197">
            <w:pPr>
              <w:widowControl/>
              <w:spacing w:line="240" w:lineRule="auto"/>
              <w:jc w:val="center"/>
              <w:rPr>
                <w:rFonts w:ascii="宋体" w:hAnsi="宋体" w:cs="宋体"/>
                <w:kern w:val="0"/>
                <w:sz w:val="21"/>
                <w:szCs w:val="21"/>
              </w:rPr>
            </w:pPr>
            <w:r>
              <w:rPr>
                <w:rFonts w:hint="eastAsia" w:ascii="宋体" w:hAnsi="宋体" w:cs="宋体"/>
                <w:kern w:val="0"/>
                <w:sz w:val="21"/>
                <w:szCs w:val="21"/>
              </w:rPr>
              <w:t>2</w:t>
            </w:r>
          </w:p>
        </w:tc>
        <w:tc>
          <w:tcPr>
            <w:tcW w:w="1807" w:type="dxa"/>
            <w:shd w:val="clear" w:color="auto" w:fill="auto"/>
            <w:vAlign w:val="center"/>
          </w:tcPr>
          <w:p w14:paraId="40089A68">
            <w:pPr>
              <w:widowControl/>
              <w:spacing w:line="240" w:lineRule="auto"/>
              <w:jc w:val="left"/>
              <w:rPr>
                <w:rFonts w:ascii="宋体" w:hAnsi="宋体" w:cs="宋体"/>
                <w:kern w:val="0"/>
                <w:sz w:val="21"/>
                <w:szCs w:val="21"/>
              </w:rPr>
            </w:pPr>
            <w:r>
              <w:rPr>
                <w:rFonts w:hint="eastAsia" w:ascii="宋体" w:hAnsi="宋体" w:cs="宋体"/>
                <w:kern w:val="0"/>
                <w:sz w:val="21"/>
                <w:szCs w:val="21"/>
              </w:rPr>
              <w:t>10kV母线桥270米</w:t>
            </w:r>
          </w:p>
        </w:tc>
        <w:tc>
          <w:tcPr>
            <w:tcW w:w="3107" w:type="dxa"/>
            <w:shd w:val="clear" w:color="auto" w:fill="auto"/>
            <w:vAlign w:val="center"/>
          </w:tcPr>
          <w:p w14:paraId="3C86A49D">
            <w:pPr>
              <w:widowControl/>
              <w:spacing w:line="240" w:lineRule="auto"/>
              <w:jc w:val="left"/>
              <w:rPr>
                <w:rFonts w:ascii="宋体" w:hAnsi="宋体" w:cs="宋体"/>
                <w:kern w:val="0"/>
                <w:sz w:val="21"/>
                <w:szCs w:val="21"/>
              </w:rPr>
            </w:pPr>
            <w:r>
              <w:rPr>
                <w:rFonts w:hint="eastAsia" w:ascii="宋体" w:hAnsi="宋体" w:cs="宋体"/>
                <w:kern w:val="0"/>
                <w:sz w:val="21"/>
                <w:szCs w:val="21"/>
              </w:rPr>
              <w:t>母线桥检修（单相双层母线）270米</w:t>
            </w:r>
          </w:p>
        </w:tc>
        <w:tc>
          <w:tcPr>
            <w:tcW w:w="2657" w:type="dxa"/>
            <w:vMerge w:val="continue"/>
            <w:vAlign w:val="center"/>
          </w:tcPr>
          <w:p w14:paraId="6BF6CB33">
            <w:pPr>
              <w:widowControl/>
              <w:spacing w:line="240" w:lineRule="auto"/>
              <w:jc w:val="left"/>
              <w:rPr>
                <w:rFonts w:ascii="宋体" w:hAnsi="宋体" w:cs="宋体"/>
                <w:kern w:val="0"/>
                <w:sz w:val="21"/>
                <w:szCs w:val="21"/>
              </w:rPr>
            </w:pPr>
          </w:p>
        </w:tc>
      </w:tr>
      <w:tr w14:paraId="6895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96" w:type="dxa"/>
            <w:vMerge w:val="continue"/>
            <w:vAlign w:val="center"/>
          </w:tcPr>
          <w:p w14:paraId="5D37A46D">
            <w:pPr>
              <w:widowControl/>
              <w:spacing w:line="240" w:lineRule="auto"/>
              <w:jc w:val="left"/>
              <w:rPr>
                <w:rFonts w:ascii="宋体" w:hAnsi="宋体" w:cs="宋体"/>
                <w:kern w:val="0"/>
                <w:sz w:val="21"/>
                <w:szCs w:val="21"/>
              </w:rPr>
            </w:pPr>
          </w:p>
        </w:tc>
        <w:tc>
          <w:tcPr>
            <w:tcW w:w="1282" w:type="dxa"/>
            <w:vMerge w:val="continue"/>
            <w:vAlign w:val="center"/>
          </w:tcPr>
          <w:p w14:paraId="50DEB52E">
            <w:pPr>
              <w:widowControl/>
              <w:spacing w:line="240" w:lineRule="auto"/>
              <w:jc w:val="left"/>
              <w:rPr>
                <w:rFonts w:ascii="宋体" w:hAnsi="宋体" w:cs="宋体"/>
                <w:kern w:val="0"/>
                <w:sz w:val="21"/>
                <w:szCs w:val="21"/>
              </w:rPr>
            </w:pPr>
          </w:p>
        </w:tc>
        <w:tc>
          <w:tcPr>
            <w:tcW w:w="456" w:type="dxa"/>
            <w:shd w:val="clear" w:color="auto" w:fill="auto"/>
            <w:vAlign w:val="center"/>
          </w:tcPr>
          <w:p w14:paraId="075B0E6A">
            <w:pPr>
              <w:widowControl/>
              <w:spacing w:line="240" w:lineRule="auto"/>
              <w:jc w:val="center"/>
              <w:rPr>
                <w:rFonts w:ascii="宋体" w:hAnsi="宋体" w:cs="宋体"/>
                <w:kern w:val="0"/>
                <w:sz w:val="21"/>
                <w:szCs w:val="21"/>
              </w:rPr>
            </w:pPr>
            <w:r>
              <w:rPr>
                <w:rFonts w:hint="eastAsia" w:ascii="宋体" w:hAnsi="宋体" w:cs="宋体"/>
                <w:kern w:val="0"/>
                <w:sz w:val="21"/>
                <w:szCs w:val="21"/>
              </w:rPr>
              <w:t>3</w:t>
            </w:r>
          </w:p>
        </w:tc>
        <w:tc>
          <w:tcPr>
            <w:tcW w:w="1807" w:type="dxa"/>
            <w:shd w:val="clear" w:color="auto" w:fill="auto"/>
            <w:vAlign w:val="center"/>
          </w:tcPr>
          <w:p w14:paraId="0270332A">
            <w:pPr>
              <w:widowControl/>
              <w:spacing w:line="240" w:lineRule="auto"/>
              <w:jc w:val="left"/>
              <w:rPr>
                <w:rFonts w:ascii="宋体" w:hAnsi="宋体" w:cs="宋体"/>
                <w:kern w:val="0"/>
                <w:sz w:val="21"/>
                <w:szCs w:val="21"/>
              </w:rPr>
            </w:pPr>
            <w:r>
              <w:rPr>
                <w:rFonts w:hint="eastAsia" w:ascii="宋体" w:hAnsi="宋体" w:cs="宋体"/>
                <w:kern w:val="0"/>
                <w:sz w:val="21"/>
                <w:szCs w:val="21"/>
              </w:rPr>
              <w:t>10kV母线桥支柱绝缘子252个</w:t>
            </w:r>
          </w:p>
        </w:tc>
        <w:tc>
          <w:tcPr>
            <w:tcW w:w="3107" w:type="dxa"/>
            <w:shd w:val="clear" w:color="auto" w:fill="auto"/>
            <w:vAlign w:val="center"/>
          </w:tcPr>
          <w:p w14:paraId="000E3B5D">
            <w:pPr>
              <w:widowControl/>
              <w:spacing w:line="240" w:lineRule="auto"/>
              <w:jc w:val="left"/>
              <w:rPr>
                <w:rFonts w:ascii="宋体" w:hAnsi="宋体" w:cs="宋体"/>
                <w:kern w:val="0"/>
                <w:sz w:val="21"/>
                <w:szCs w:val="21"/>
              </w:rPr>
            </w:pPr>
            <w:r>
              <w:rPr>
                <w:rFonts w:hint="eastAsia" w:ascii="宋体" w:hAnsi="宋体" w:cs="宋体"/>
                <w:kern w:val="0"/>
                <w:sz w:val="21"/>
                <w:szCs w:val="21"/>
              </w:rPr>
              <w:t>母线桥支柱绝缘子检修（252个）,母线及间隔金具更换</w:t>
            </w:r>
          </w:p>
        </w:tc>
        <w:tc>
          <w:tcPr>
            <w:tcW w:w="2657" w:type="dxa"/>
            <w:vMerge w:val="continue"/>
            <w:vAlign w:val="center"/>
          </w:tcPr>
          <w:p w14:paraId="25AC5CF9">
            <w:pPr>
              <w:widowControl/>
              <w:spacing w:line="240" w:lineRule="auto"/>
              <w:jc w:val="left"/>
              <w:rPr>
                <w:rFonts w:ascii="宋体" w:hAnsi="宋体" w:cs="宋体"/>
                <w:kern w:val="0"/>
                <w:sz w:val="21"/>
                <w:szCs w:val="21"/>
              </w:rPr>
            </w:pPr>
          </w:p>
        </w:tc>
      </w:tr>
      <w:tr w14:paraId="405AF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96" w:type="dxa"/>
            <w:vMerge w:val="continue"/>
            <w:vAlign w:val="center"/>
          </w:tcPr>
          <w:p w14:paraId="4436EF7F">
            <w:pPr>
              <w:widowControl/>
              <w:spacing w:line="240" w:lineRule="auto"/>
              <w:jc w:val="left"/>
              <w:rPr>
                <w:rFonts w:ascii="宋体" w:hAnsi="宋体" w:cs="宋体"/>
                <w:kern w:val="0"/>
                <w:sz w:val="21"/>
                <w:szCs w:val="21"/>
              </w:rPr>
            </w:pPr>
          </w:p>
        </w:tc>
        <w:tc>
          <w:tcPr>
            <w:tcW w:w="1282" w:type="dxa"/>
            <w:vMerge w:val="continue"/>
            <w:vAlign w:val="center"/>
          </w:tcPr>
          <w:p w14:paraId="74E299B8">
            <w:pPr>
              <w:widowControl/>
              <w:spacing w:line="240" w:lineRule="auto"/>
              <w:jc w:val="left"/>
              <w:rPr>
                <w:rFonts w:ascii="宋体" w:hAnsi="宋体" w:cs="宋体"/>
                <w:kern w:val="0"/>
                <w:sz w:val="21"/>
                <w:szCs w:val="21"/>
              </w:rPr>
            </w:pPr>
          </w:p>
        </w:tc>
        <w:tc>
          <w:tcPr>
            <w:tcW w:w="456" w:type="dxa"/>
            <w:tcBorders>
              <w:bottom w:val="single" w:color="auto" w:sz="4" w:space="0"/>
            </w:tcBorders>
            <w:shd w:val="clear" w:color="auto" w:fill="auto"/>
            <w:vAlign w:val="center"/>
          </w:tcPr>
          <w:p w14:paraId="10CDCC4E">
            <w:pPr>
              <w:widowControl/>
              <w:spacing w:line="240" w:lineRule="auto"/>
              <w:jc w:val="center"/>
              <w:rPr>
                <w:rFonts w:ascii="宋体" w:hAnsi="宋体" w:cs="宋体"/>
                <w:kern w:val="0"/>
                <w:sz w:val="21"/>
                <w:szCs w:val="21"/>
              </w:rPr>
            </w:pPr>
            <w:r>
              <w:rPr>
                <w:rFonts w:hint="eastAsia" w:ascii="宋体" w:hAnsi="宋体" w:cs="宋体"/>
                <w:kern w:val="0"/>
                <w:sz w:val="21"/>
                <w:szCs w:val="21"/>
              </w:rPr>
              <w:t>4</w:t>
            </w:r>
          </w:p>
        </w:tc>
        <w:tc>
          <w:tcPr>
            <w:tcW w:w="1807" w:type="dxa"/>
            <w:tcBorders>
              <w:bottom w:val="single" w:color="auto" w:sz="4" w:space="0"/>
            </w:tcBorders>
            <w:shd w:val="clear" w:color="auto" w:fill="auto"/>
            <w:vAlign w:val="center"/>
          </w:tcPr>
          <w:p w14:paraId="3A0B9C11">
            <w:pPr>
              <w:widowControl/>
              <w:spacing w:line="240" w:lineRule="auto"/>
              <w:jc w:val="left"/>
              <w:rPr>
                <w:rFonts w:ascii="宋体" w:hAnsi="宋体" w:cs="宋体"/>
                <w:kern w:val="0"/>
                <w:sz w:val="21"/>
                <w:szCs w:val="21"/>
              </w:rPr>
            </w:pPr>
            <w:r>
              <w:rPr>
                <w:rFonts w:hint="eastAsia" w:ascii="宋体" w:hAnsi="宋体" w:cs="宋体"/>
                <w:kern w:val="0"/>
                <w:sz w:val="21"/>
                <w:szCs w:val="21"/>
              </w:rPr>
              <w:t>10kV母线绝缘盒117个</w:t>
            </w:r>
          </w:p>
        </w:tc>
        <w:tc>
          <w:tcPr>
            <w:tcW w:w="3107" w:type="dxa"/>
            <w:tcBorders>
              <w:bottom w:val="single" w:color="auto" w:sz="4" w:space="0"/>
            </w:tcBorders>
            <w:shd w:val="clear" w:color="auto" w:fill="auto"/>
            <w:vAlign w:val="center"/>
          </w:tcPr>
          <w:p w14:paraId="1D90186C">
            <w:pPr>
              <w:widowControl/>
              <w:spacing w:line="240" w:lineRule="auto"/>
              <w:jc w:val="left"/>
              <w:rPr>
                <w:rFonts w:ascii="宋体" w:hAnsi="宋体" w:cs="宋体"/>
                <w:kern w:val="0"/>
                <w:sz w:val="21"/>
                <w:szCs w:val="21"/>
              </w:rPr>
            </w:pPr>
            <w:r>
              <w:rPr>
                <w:rFonts w:hint="eastAsia" w:ascii="宋体" w:hAnsi="宋体" w:cs="宋体"/>
                <w:kern w:val="0"/>
                <w:sz w:val="21"/>
                <w:szCs w:val="21"/>
              </w:rPr>
              <w:t>母线绝缘盒更换117个</w:t>
            </w:r>
          </w:p>
        </w:tc>
        <w:tc>
          <w:tcPr>
            <w:tcW w:w="2657" w:type="dxa"/>
            <w:vMerge w:val="continue"/>
            <w:tcBorders>
              <w:bottom w:val="single" w:color="auto" w:sz="4" w:space="0"/>
            </w:tcBorders>
            <w:vAlign w:val="center"/>
          </w:tcPr>
          <w:p w14:paraId="798C6435">
            <w:pPr>
              <w:widowControl/>
              <w:spacing w:line="240" w:lineRule="auto"/>
              <w:jc w:val="left"/>
              <w:rPr>
                <w:rFonts w:ascii="宋体" w:hAnsi="宋体" w:cs="宋体"/>
                <w:kern w:val="0"/>
                <w:sz w:val="21"/>
                <w:szCs w:val="21"/>
              </w:rPr>
            </w:pPr>
          </w:p>
        </w:tc>
      </w:tr>
      <w:tr w14:paraId="5CC9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96" w:type="dxa"/>
            <w:vMerge w:val="continue"/>
            <w:vAlign w:val="center"/>
          </w:tcPr>
          <w:p w14:paraId="4A211228">
            <w:pPr>
              <w:widowControl/>
              <w:spacing w:line="240" w:lineRule="auto"/>
              <w:jc w:val="left"/>
              <w:rPr>
                <w:rFonts w:ascii="宋体" w:hAnsi="宋体" w:cs="宋体"/>
                <w:kern w:val="0"/>
                <w:sz w:val="21"/>
                <w:szCs w:val="21"/>
              </w:rPr>
            </w:pPr>
          </w:p>
        </w:tc>
        <w:tc>
          <w:tcPr>
            <w:tcW w:w="1282" w:type="dxa"/>
            <w:vMerge w:val="continue"/>
            <w:vAlign w:val="center"/>
          </w:tcPr>
          <w:p w14:paraId="416F2D15">
            <w:pPr>
              <w:widowControl/>
              <w:spacing w:line="240" w:lineRule="auto"/>
              <w:jc w:val="left"/>
              <w:rPr>
                <w:rFonts w:ascii="宋体" w:hAnsi="宋体" w:cs="宋体"/>
                <w:kern w:val="0"/>
                <w:sz w:val="21"/>
                <w:szCs w:val="21"/>
              </w:rPr>
            </w:pPr>
          </w:p>
        </w:tc>
        <w:tc>
          <w:tcPr>
            <w:tcW w:w="456" w:type="dxa"/>
            <w:shd w:val="clear" w:color="auto" w:fill="auto"/>
            <w:vAlign w:val="center"/>
          </w:tcPr>
          <w:p w14:paraId="124F8F94">
            <w:pPr>
              <w:widowControl/>
              <w:spacing w:line="240" w:lineRule="auto"/>
              <w:jc w:val="center"/>
              <w:rPr>
                <w:rFonts w:ascii="宋体" w:hAnsi="宋体" w:cs="宋体"/>
                <w:kern w:val="0"/>
                <w:sz w:val="21"/>
                <w:szCs w:val="21"/>
              </w:rPr>
            </w:pPr>
            <w:r>
              <w:rPr>
                <w:rFonts w:hint="eastAsia" w:ascii="宋体" w:hAnsi="宋体" w:cs="宋体"/>
                <w:kern w:val="0"/>
                <w:sz w:val="21"/>
                <w:szCs w:val="21"/>
              </w:rPr>
              <w:t>5</w:t>
            </w:r>
          </w:p>
        </w:tc>
        <w:tc>
          <w:tcPr>
            <w:tcW w:w="1807" w:type="dxa"/>
            <w:shd w:val="clear" w:color="auto" w:fill="auto"/>
            <w:vAlign w:val="center"/>
          </w:tcPr>
          <w:p w14:paraId="71A463EB">
            <w:pPr>
              <w:widowControl/>
              <w:spacing w:line="240" w:lineRule="auto"/>
              <w:jc w:val="left"/>
              <w:rPr>
                <w:rFonts w:ascii="宋体" w:hAnsi="宋体" w:cs="宋体"/>
                <w:kern w:val="0"/>
                <w:sz w:val="21"/>
                <w:szCs w:val="21"/>
              </w:rPr>
            </w:pPr>
            <w:r>
              <w:rPr>
                <w:rFonts w:hint="eastAsia" w:ascii="宋体" w:hAnsi="宋体" w:cs="宋体"/>
                <w:kern w:val="0"/>
                <w:sz w:val="21"/>
                <w:szCs w:val="21"/>
              </w:rPr>
              <w:t>110kV刀闸19组</w:t>
            </w:r>
          </w:p>
        </w:tc>
        <w:tc>
          <w:tcPr>
            <w:tcW w:w="3107" w:type="dxa"/>
            <w:shd w:val="clear" w:color="auto" w:fill="auto"/>
            <w:vAlign w:val="center"/>
          </w:tcPr>
          <w:p w14:paraId="76DE281C">
            <w:pPr>
              <w:widowControl/>
              <w:spacing w:line="240" w:lineRule="auto"/>
              <w:jc w:val="left"/>
              <w:rPr>
                <w:rFonts w:ascii="宋体" w:hAnsi="宋体" w:cs="宋体"/>
                <w:kern w:val="0"/>
                <w:sz w:val="21"/>
                <w:szCs w:val="21"/>
              </w:rPr>
            </w:pPr>
            <w:r>
              <w:rPr>
                <w:rFonts w:hint="eastAsia" w:ascii="宋体" w:hAnsi="宋体" w:cs="宋体"/>
                <w:kern w:val="0"/>
                <w:sz w:val="21"/>
                <w:szCs w:val="21"/>
              </w:rPr>
              <w:t>刀闸大修19组</w:t>
            </w:r>
            <w:r>
              <w:rPr>
                <w:rFonts w:ascii="宋体" w:hAnsi="宋体" w:cs="宋体"/>
                <w:kern w:val="0"/>
                <w:sz w:val="21"/>
                <w:szCs w:val="21"/>
              </w:rPr>
              <w:t xml:space="preserve"> </w:t>
            </w:r>
          </w:p>
        </w:tc>
        <w:tc>
          <w:tcPr>
            <w:tcW w:w="2657" w:type="dxa"/>
            <w:vMerge w:val="continue"/>
            <w:vAlign w:val="center"/>
          </w:tcPr>
          <w:p w14:paraId="5BE1F93D">
            <w:pPr>
              <w:widowControl/>
              <w:spacing w:line="240" w:lineRule="auto"/>
              <w:jc w:val="left"/>
              <w:rPr>
                <w:rFonts w:ascii="宋体" w:hAnsi="宋体" w:cs="宋体"/>
                <w:kern w:val="0"/>
                <w:sz w:val="21"/>
                <w:szCs w:val="21"/>
              </w:rPr>
            </w:pPr>
          </w:p>
        </w:tc>
      </w:tr>
      <w:tr w14:paraId="2322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6" w:type="dxa"/>
            <w:vMerge w:val="continue"/>
            <w:vAlign w:val="center"/>
          </w:tcPr>
          <w:p w14:paraId="5AAC2A60">
            <w:pPr>
              <w:widowControl/>
              <w:spacing w:line="240" w:lineRule="auto"/>
              <w:jc w:val="left"/>
              <w:rPr>
                <w:rFonts w:ascii="宋体" w:hAnsi="宋体" w:cs="宋体"/>
                <w:kern w:val="0"/>
                <w:sz w:val="21"/>
                <w:szCs w:val="21"/>
              </w:rPr>
            </w:pPr>
          </w:p>
        </w:tc>
        <w:tc>
          <w:tcPr>
            <w:tcW w:w="1282" w:type="dxa"/>
            <w:vMerge w:val="continue"/>
            <w:vAlign w:val="center"/>
          </w:tcPr>
          <w:p w14:paraId="772B66D1">
            <w:pPr>
              <w:widowControl/>
              <w:spacing w:line="240" w:lineRule="auto"/>
              <w:jc w:val="left"/>
              <w:rPr>
                <w:rFonts w:ascii="宋体" w:hAnsi="宋体" w:cs="宋体"/>
                <w:kern w:val="0"/>
                <w:sz w:val="21"/>
                <w:szCs w:val="21"/>
              </w:rPr>
            </w:pPr>
          </w:p>
        </w:tc>
        <w:tc>
          <w:tcPr>
            <w:tcW w:w="456" w:type="dxa"/>
            <w:shd w:val="clear" w:color="auto" w:fill="auto"/>
            <w:vAlign w:val="center"/>
          </w:tcPr>
          <w:p w14:paraId="4ED020DD">
            <w:pPr>
              <w:widowControl/>
              <w:spacing w:line="240" w:lineRule="auto"/>
              <w:jc w:val="center"/>
              <w:rPr>
                <w:rFonts w:ascii="宋体" w:hAnsi="宋体" w:cs="宋体"/>
                <w:kern w:val="0"/>
                <w:sz w:val="21"/>
                <w:szCs w:val="21"/>
              </w:rPr>
            </w:pPr>
            <w:r>
              <w:rPr>
                <w:rFonts w:hint="eastAsia" w:ascii="宋体" w:hAnsi="宋体" w:cs="宋体"/>
                <w:kern w:val="0"/>
                <w:sz w:val="21"/>
                <w:szCs w:val="21"/>
              </w:rPr>
              <w:t>6</w:t>
            </w:r>
          </w:p>
        </w:tc>
        <w:tc>
          <w:tcPr>
            <w:tcW w:w="1807" w:type="dxa"/>
            <w:shd w:val="clear" w:color="auto" w:fill="auto"/>
            <w:vAlign w:val="center"/>
          </w:tcPr>
          <w:p w14:paraId="165DD2AA">
            <w:pPr>
              <w:widowControl/>
              <w:spacing w:line="240" w:lineRule="auto"/>
              <w:jc w:val="left"/>
              <w:rPr>
                <w:rFonts w:ascii="宋体" w:hAnsi="宋体" w:cs="宋体"/>
                <w:kern w:val="0"/>
                <w:sz w:val="21"/>
                <w:szCs w:val="21"/>
              </w:rPr>
            </w:pPr>
            <w:r>
              <w:rPr>
                <w:rFonts w:hint="eastAsia" w:ascii="宋体" w:hAnsi="宋体" w:cs="宋体"/>
                <w:kern w:val="0"/>
                <w:sz w:val="21"/>
                <w:szCs w:val="21"/>
              </w:rPr>
              <w:t>110kV开关场电流互感器二次电缆波纹软管</w:t>
            </w:r>
          </w:p>
        </w:tc>
        <w:tc>
          <w:tcPr>
            <w:tcW w:w="3107" w:type="dxa"/>
            <w:shd w:val="clear" w:color="auto" w:fill="auto"/>
            <w:vAlign w:val="center"/>
          </w:tcPr>
          <w:p w14:paraId="53C25765">
            <w:pPr>
              <w:widowControl/>
              <w:spacing w:line="240" w:lineRule="auto"/>
              <w:jc w:val="left"/>
              <w:rPr>
                <w:rFonts w:ascii="宋体" w:hAnsi="宋体" w:cs="宋体"/>
                <w:kern w:val="0"/>
                <w:sz w:val="21"/>
                <w:szCs w:val="21"/>
              </w:rPr>
            </w:pPr>
            <w:r>
              <w:rPr>
                <w:rFonts w:hint="eastAsia" w:ascii="宋体" w:hAnsi="宋体" w:cs="宋体"/>
                <w:kern w:val="0"/>
                <w:sz w:val="21"/>
                <w:szCs w:val="21"/>
              </w:rPr>
              <w:t>全部更换为不锈钢金属软管</w:t>
            </w:r>
          </w:p>
        </w:tc>
        <w:tc>
          <w:tcPr>
            <w:tcW w:w="2657" w:type="dxa"/>
            <w:vMerge w:val="continue"/>
            <w:vAlign w:val="center"/>
          </w:tcPr>
          <w:p w14:paraId="457BF561">
            <w:pPr>
              <w:widowControl/>
              <w:spacing w:line="240" w:lineRule="auto"/>
              <w:jc w:val="left"/>
              <w:rPr>
                <w:rFonts w:ascii="宋体" w:hAnsi="宋体" w:cs="宋体"/>
                <w:kern w:val="0"/>
                <w:sz w:val="21"/>
                <w:szCs w:val="21"/>
              </w:rPr>
            </w:pPr>
          </w:p>
        </w:tc>
      </w:tr>
      <w:tr w14:paraId="2210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96" w:type="dxa"/>
            <w:vMerge w:val="continue"/>
            <w:vAlign w:val="center"/>
          </w:tcPr>
          <w:p w14:paraId="36EA987A">
            <w:pPr>
              <w:widowControl/>
              <w:spacing w:line="240" w:lineRule="auto"/>
              <w:jc w:val="left"/>
              <w:rPr>
                <w:rFonts w:ascii="宋体" w:hAnsi="宋体" w:cs="宋体"/>
                <w:kern w:val="0"/>
                <w:sz w:val="21"/>
                <w:szCs w:val="21"/>
              </w:rPr>
            </w:pPr>
          </w:p>
        </w:tc>
        <w:tc>
          <w:tcPr>
            <w:tcW w:w="1282" w:type="dxa"/>
            <w:vMerge w:val="continue"/>
            <w:vAlign w:val="center"/>
          </w:tcPr>
          <w:p w14:paraId="4AFFD720">
            <w:pPr>
              <w:widowControl/>
              <w:spacing w:line="240" w:lineRule="auto"/>
              <w:jc w:val="left"/>
              <w:rPr>
                <w:rFonts w:ascii="宋体" w:hAnsi="宋体" w:cs="宋体"/>
                <w:kern w:val="0"/>
                <w:sz w:val="21"/>
                <w:szCs w:val="21"/>
              </w:rPr>
            </w:pPr>
          </w:p>
        </w:tc>
        <w:tc>
          <w:tcPr>
            <w:tcW w:w="456" w:type="dxa"/>
            <w:shd w:val="clear" w:color="auto" w:fill="auto"/>
            <w:vAlign w:val="center"/>
          </w:tcPr>
          <w:p w14:paraId="7BD341DE">
            <w:pPr>
              <w:widowControl/>
              <w:spacing w:line="240" w:lineRule="auto"/>
              <w:jc w:val="center"/>
              <w:rPr>
                <w:rFonts w:ascii="宋体" w:hAnsi="宋体" w:cs="宋体"/>
                <w:kern w:val="0"/>
                <w:sz w:val="21"/>
                <w:szCs w:val="21"/>
              </w:rPr>
            </w:pPr>
            <w:r>
              <w:rPr>
                <w:rFonts w:hint="eastAsia" w:ascii="宋体" w:hAnsi="宋体" w:cs="宋体"/>
                <w:kern w:val="0"/>
                <w:sz w:val="21"/>
                <w:szCs w:val="21"/>
              </w:rPr>
              <w:t>7</w:t>
            </w:r>
          </w:p>
        </w:tc>
        <w:tc>
          <w:tcPr>
            <w:tcW w:w="1807" w:type="dxa"/>
            <w:shd w:val="clear" w:color="auto" w:fill="auto"/>
            <w:vAlign w:val="center"/>
          </w:tcPr>
          <w:p w14:paraId="1D6E1FFB">
            <w:pPr>
              <w:widowControl/>
              <w:spacing w:line="240" w:lineRule="auto"/>
              <w:jc w:val="left"/>
              <w:rPr>
                <w:rFonts w:ascii="宋体" w:hAnsi="宋体" w:cs="宋体"/>
                <w:kern w:val="0"/>
                <w:sz w:val="21"/>
                <w:szCs w:val="21"/>
              </w:rPr>
            </w:pPr>
            <w:r>
              <w:rPr>
                <w:rFonts w:hint="eastAsia" w:ascii="宋体" w:hAnsi="宋体" w:cs="宋体"/>
                <w:kern w:val="0"/>
                <w:sz w:val="21"/>
                <w:szCs w:val="21"/>
              </w:rPr>
              <w:t>110kV电流、电压互感器8组</w:t>
            </w:r>
          </w:p>
        </w:tc>
        <w:tc>
          <w:tcPr>
            <w:tcW w:w="3107" w:type="dxa"/>
            <w:shd w:val="clear" w:color="auto" w:fill="auto"/>
            <w:vAlign w:val="center"/>
          </w:tcPr>
          <w:p w14:paraId="75B5B003">
            <w:pPr>
              <w:widowControl/>
              <w:spacing w:line="240" w:lineRule="auto"/>
              <w:jc w:val="left"/>
              <w:rPr>
                <w:rFonts w:ascii="宋体" w:hAnsi="宋体" w:cs="宋体"/>
                <w:kern w:val="0"/>
                <w:sz w:val="21"/>
                <w:szCs w:val="21"/>
              </w:rPr>
            </w:pPr>
            <w:r>
              <w:rPr>
                <w:rFonts w:hint="eastAsia" w:ascii="宋体" w:hAnsi="宋体" w:cs="宋体"/>
                <w:kern w:val="0"/>
                <w:sz w:val="21"/>
                <w:szCs w:val="21"/>
              </w:rPr>
              <w:t>电流、电压互感器8组：二次检修及试验</w:t>
            </w:r>
          </w:p>
        </w:tc>
        <w:tc>
          <w:tcPr>
            <w:tcW w:w="2657" w:type="dxa"/>
            <w:vMerge w:val="continue"/>
            <w:vAlign w:val="center"/>
          </w:tcPr>
          <w:p w14:paraId="6C6E8E62">
            <w:pPr>
              <w:widowControl/>
              <w:spacing w:line="240" w:lineRule="auto"/>
              <w:jc w:val="left"/>
              <w:rPr>
                <w:rFonts w:ascii="宋体" w:hAnsi="宋体" w:cs="宋体"/>
                <w:kern w:val="0"/>
                <w:sz w:val="21"/>
                <w:szCs w:val="21"/>
              </w:rPr>
            </w:pPr>
          </w:p>
        </w:tc>
      </w:tr>
      <w:tr w14:paraId="7155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6" w:type="dxa"/>
            <w:vMerge w:val="continue"/>
            <w:vAlign w:val="center"/>
          </w:tcPr>
          <w:p w14:paraId="6F178254">
            <w:pPr>
              <w:widowControl/>
              <w:spacing w:line="240" w:lineRule="auto"/>
              <w:jc w:val="left"/>
              <w:rPr>
                <w:rFonts w:ascii="宋体" w:hAnsi="宋体" w:cs="宋体"/>
                <w:kern w:val="0"/>
                <w:sz w:val="21"/>
                <w:szCs w:val="21"/>
              </w:rPr>
            </w:pPr>
          </w:p>
        </w:tc>
        <w:tc>
          <w:tcPr>
            <w:tcW w:w="1282" w:type="dxa"/>
            <w:vMerge w:val="continue"/>
            <w:vAlign w:val="center"/>
          </w:tcPr>
          <w:p w14:paraId="77B2F404">
            <w:pPr>
              <w:widowControl/>
              <w:spacing w:line="240" w:lineRule="auto"/>
              <w:jc w:val="left"/>
              <w:rPr>
                <w:rFonts w:ascii="宋体" w:hAnsi="宋体" w:cs="宋体"/>
                <w:kern w:val="0"/>
                <w:sz w:val="21"/>
                <w:szCs w:val="21"/>
              </w:rPr>
            </w:pPr>
          </w:p>
        </w:tc>
        <w:tc>
          <w:tcPr>
            <w:tcW w:w="456" w:type="dxa"/>
            <w:shd w:val="clear" w:color="auto" w:fill="auto"/>
            <w:vAlign w:val="center"/>
          </w:tcPr>
          <w:p w14:paraId="3559A0BC">
            <w:pPr>
              <w:widowControl/>
              <w:spacing w:line="240" w:lineRule="auto"/>
              <w:jc w:val="center"/>
              <w:rPr>
                <w:rFonts w:ascii="宋体" w:hAnsi="宋体" w:cs="宋体"/>
                <w:kern w:val="0"/>
                <w:sz w:val="21"/>
                <w:szCs w:val="21"/>
              </w:rPr>
            </w:pPr>
            <w:r>
              <w:rPr>
                <w:rFonts w:hint="eastAsia" w:ascii="宋体" w:hAnsi="宋体" w:cs="宋体"/>
                <w:kern w:val="0"/>
                <w:sz w:val="21"/>
                <w:szCs w:val="21"/>
              </w:rPr>
              <w:t>8</w:t>
            </w:r>
          </w:p>
        </w:tc>
        <w:tc>
          <w:tcPr>
            <w:tcW w:w="1807" w:type="dxa"/>
            <w:shd w:val="clear" w:color="auto" w:fill="auto"/>
            <w:vAlign w:val="center"/>
          </w:tcPr>
          <w:p w14:paraId="7110FB13">
            <w:pPr>
              <w:widowControl/>
              <w:spacing w:line="240" w:lineRule="auto"/>
              <w:jc w:val="left"/>
              <w:rPr>
                <w:rFonts w:ascii="宋体" w:hAnsi="宋体" w:cs="宋体"/>
                <w:kern w:val="0"/>
                <w:sz w:val="21"/>
                <w:szCs w:val="21"/>
              </w:rPr>
            </w:pPr>
            <w:r>
              <w:rPr>
                <w:rFonts w:hint="eastAsia" w:ascii="宋体" w:hAnsi="宋体" w:cs="宋体"/>
                <w:kern w:val="0"/>
                <w:sz w:val="21"/>
                <w:szCs w:val="21"/>
              </w:rPr>
              <w:t>110kV开关场母线PT间隔设备瓷瓶6组</w:t>
            </w:r>
          </w:p>
        </w:tc>
        <w:tc>
          <w:tcPr>
            <w:tcW w:w="3107" w:type="dxa"/>
            <w:shd w:val="clear" w:color="auto" w:fill="auto"/>
            <w:vAlign w:val="center"/>
          </w:tcPr>
          <w:p w14:paraId="3D0EAB4D">
            <w:pPr>
              <w:widowControl/>
              <w:spacing w:line="240" w:lineRule="auto"/>
              <w:jc w:val="left"/>
              <w:rPr>
                <w:rFonts w:ascii="宋体" w:hAnsi="宋体" w:cs="宋体"/>
                <w:kern w:val="0"/>
                <w:sz w:val="21"/>
                <w:szCs w:val="21"/>
              </w:rPr>
            </w:pPr>
            <w:r>
              <w:rPr>
                <w:rFonts w:hint="eastAsia" w:ascii="宋体" w:hAnsi="宋体" w:cs="宋体"/>
                <w:kern w:val="0"/>
                <w:sz w:val="21"/>
                <w:szCs w:val="21"/>
              </w:rPr>
              <w:t>110kV开关场母线PT间隔设备瓷瓶RTV防污闪喷涂防腐及检修</w:t>
            </w:r>
          </w:p>
        </w:tc>
        <w:tc>
          <w:tcPr>
            <w:tcW w:w="2657" w:type="dxa"/>
            <w:vMerge w:val="continue"/>
            <w:vAlign w:val="center"/>
          </w:tcPr>
          <w:p w14:paraId="6D89F09A">
            <w:pPr>
              <w:widowControl/>
              <w:spacing w:line="240" w:lineRule="auto"/>
              <w:jc w:val="left"/>
              <w:rPr>
                <w:rFonts w:ascii="宋体" w:hAnsi="宋体" w:cs="宋体"/>
                <w:kern w:val="0"/>
                <w:sz w:val="21"/>
                <w:szCs w:val="21"/>
              </w:rPr>
            </w:pPr>
          </w:p>
        </w:tc>
      </w:tr>
      <w:tr w14:paraId="698A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6" w:type="dxa"/>
            <w:vMerge w:val="continue"/>
            <w:vAlign w:val="center"/>
          </w:tcPr>
          <w:p w14:paraId="4E7CCCD8">
            <w:pPr>
              <w:widowControl/>
              <w:spacing w:line="240" w:lineRule="auto"/>
              <w:jc w:val="left"/>
              <w:rPr>
                <w:rFonts w:ascii="宋体" w:hAnsi="宋体" w:cs="宋体"/>
                <w:kern w:val="0"/>
                <w:sz w:val="21"/>
                <w:szCs w:val="21"/>
              </w:rPr>
            </w:pPr>
          </w:p>
        </w:tc>
        <w:tc>
          <w:tcPr>
            <w:tcW w:w="1282" w:type="dxa"/>
            <w:vMerge w:val="continue"/>
            <w:vAlign w:val="center"/>
          </w:tcPr>
          <w:p w14:paraId="5689D94A">
            <w:pPr>
              <w:widowControl/>
              <w:spacing w:line="240" w:lineRule="auto"/>
              <w:jc w:val="left"/>
              <w:rPr>
                <w:rFonts w:ascii="宋体" w:hAnsi="宋体" w:cs="宋体"/>
                <w:kern w:val="0"/>
                <w:sz w:val="21"/>
                <w:szCs w:val="21"/>
              </w:rPr>
            </w:pPr>
          </w:p>
        </w:tc>
        <w:tc>
          <w:tcPr>
            <w:tcW w:w="456" w:type="dxa"/>
            <w:shd w:val="clear" w:color="auto" w:fill="auto"/>
            <w:vAlign w:val="center"/>
          </w:tcPr>
          <w:p w14:paraId="1D445D78">
            <w:pPr>
              <w:widowControl/>
              <w:spacing w:line="240" w:lineRule="auto"/>
              <w:jc w:val="center"/>
              <w:rPr>
                <w:rFonts w:ascii="宋体" w:hAnsi="宋体" w:cs="宋体"/>
                <w:kern w:val="0"/>
                <w:sz w:val="21"/>
                <w:szCs w:val="21"/>
              </w:rPr>
            </w:pPr>
            <w:r>
              <w:rPr>
                <w:rFonts w:hint="eastAsia" w:ascii="宋体" w:hAnsi="宋体" w:cs="宋体"/>
                <w:kern w:val="0"/>
                <w:sz w:val="21"/>
                <w:szCs w:val="21"/>
              </w:rPr>
              <w:t>9</w:t>
            </w:r>
          </w:p>
        </w:tc>
        <w:tc>
          <w:tcPr>
            <w:tcW w:w="1807" w:type="dxa"/>
            <w:shd w:val="clear" w:color="auto" w:fill="auto"/>
            <w:vAlign w:val="center"/>
          </w:tcPr>
          <w:p w14:paraId="7CA57904">
            <w:pPr>
              <w:widowControl/>
              <w:spacing w:line="240" w:lineRule="auto"/>
              <w:jc w:val="left"/>
              <w:rPr>
                <w:rFonts w:ascii="宋体" w:hAnsi="宋体" w:cs="宋体"/>
                <w:kern w:val="0"/>
                <w:sz w:val="21"/>
                <w:szCs w:val="21"/>
              </w:rPr>
            </w:pPr>
            <w:r>
              <w:rPr>
                <w:rFonts w:hint="eastAsia" w:ascii="宋体" w:hAnsi="宋体" w:cs="宋体"/>
                <w:kern w:val="0"/>
                <w:sz w:val="21"/>
                <w:szCs w:val="21"/>
              </w:rPr>
              <w:t>110kV开关场母联间隔设备瓷瓶4组</w:t>
            </w:r>
          </w:p>
        </w:tc>
        <w:tc>
          <w:tcPr>
            <w:tcW w:w="3107" w:type="dxa"/>
            <w:shd w:val="clear" w:color="auto" w:fill="auto"/>
            <w:vAlign w:val="center"/>
          </w:tcPr>
          <w:p w14:paraId="37CAA859">
            <w:pPr>
              <w:widowControl/>
              <w:spacing w:line="240" w:lineRule="auto"/>
              <w:jc w:val="left"/>
              <w:rPr>
                <w:rFonts w:ascii="宋体" w:hAnsi="宋体" w:cs="宋体"/>
                <w:kern w:val="0"/>
                <w:sz w:val="21"/>
                <w:szCs w:val="21"/>
              </w:rPr>
            </w:pPr>
            <w:r>
              <w:rPr>
                <w:rFonts w:hint="eastAsia" w:ascii="宋体" w:hAnsi="宋体" w:cs="宋体"/>
                <w:kern w:val="0"/>
                <w:sz w:val="21"/>
                <w:szCs w:val="21"/>
              </w:rPr>
              <w:t>母联间隔设备瓷瓶RTV防污闪喷涂防腐及检修4组</w:t>
            </w:r>
          </w:p>
        </w:tc>
        <w:tc>
          <w:tcPr>
            <w:tcW w:w="2657" w:type="dxa"/>
            <w:vMerge w:val="continue"/>
            <w:vAlign w:val="center"/>
          </w:tcPr>
          <w:p w14:paraId="0EACB39A">
            <w:pPr>
              <w:widowControl/>
              <w:spacing w:line="240" w:lineRule="auto"/>
              <w:jc w:val="left"/>
              <w:rPr>
                <w:rFonts w:ascii="宋体" w:hAnsi="宋体" w:cs="宋体"/>
                <w:kern w:val="0"/>
                <w:sz w:val="21"/>
                <w:szCs w:val="21"/>
              </w:rPr>
            </w:pPr>
          </w:p>
        </w:tc>
      </w:tr>
      <w:tr w14:paraId="19C4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6" w:type="dxa"/>
            <w:vMerge w:val="continue"/>
            <w:vAlign w:val="center"/>
          </w:tcPr>
          <w:p w14:paraId="5D553634">
            <w:pPr>
              <w:widowControl/>
              <w:spacing w:line="240" w:lineRule="auto"/>
              <w:jc w:val="left"/>
              <w:rPr>
                <w:rFonts w:ascii="宋体" w:hAnsi="宋体" w:cs="宋体"/>
                <w:kern w:val="0"/>
                <w:sz w:val="21"/>
                <w:szCs w:val="21"/>
              </w:rPr>
            </w:pPr>
          </w:p>
        </w:tc>
        <w:tc>
          <w:tcPr>
            <w:tcW w:w="1282" w:type="dxa"/>
            <w:vMerge w:val="continue"/>
            <w:vAlign w:val="center"/>
          </w:tcPr>
          <w:p w14:paraId="5D1F626B">
            <w:pPr>
              <w:widowControl/>
              <w:spacing w:line="240" w:lineRule="auto"/>
              <w:jc w:val="left"/>
              <w:rPr>
                <w:rFonts w:ascii="宋体" w:hAnsi="宋体" w:cs="宋体"/>
                <w:kern w:val="0"/>
                <w:sz w:val="21"/>
                <w:szCs w:val="21"/>
              </w:rPr>
            </w:pPr>
          </w:p>
        </w:tc>
        <w:tc>
          <w:tcPr>
            <w:tcW w:w="456" w:type="dxa"/>
            <w:shd w:val="clear" w:color="auto" w:fill="auto"/>
            <w:vAlign w:val="center"/>
          </w:tcPr>
          <w:p w14:paraId="38DD2185">
            <w:pPr>
              <w:widowControl/>
              <w:spacing w:line="240" w:lineRule="auto"/>
              <w:jc w:val="center"/>
              <w:rPr>
                <w:rFonts w:ascii="宋体" w:hAnsi="宋体" w:cs="宋体"/>
                <w:kern w:val="0"/>
                <w:sz w:val="21"/>
                <w:szCs w:val="21"/>
              </w:rPr>
            </w:pPr>
            <w:r>
              <w:rPr>
                <w:rFonts w:hint="eastAsia" w:ascii="宋体" w:hAnsi="宋体" w:cs="宋体"/>
                <w:kern w:val="0"/>
                <w:sz w:val="21"/>
                <w:szCs w:val="21"/>
              </w:rPr>
              <w:t>10</w:t>
            </w:r>
          </w:p>
        </w:tc>
        <w:tc>
          <w:tcPr>
            <w:tcW w:w="1807" w:type="dxa"/>
            <w:shd w:val="clear" w:color="auto" w:fill="auto"/>
            <w:vAlign w:val="center"/>
          </w:tcPr>
          <w:p w14:paraId="72E56FCA">
            <w:pPr>
              <w:widowControl/>
              <w:spacing w:line="240" w:lineRule="auto"/>
              <w:jc w:val="left"/>
              <w:rPr>
                <w:rFonts w:ascii="宋体" w:hAnsi="宋体" w:cs="宋体"/>
                <w:kern w:val="0"/>
                <w:sz w:val="21"/>
                <w:szCs w:val="21"/>
              </w:rPr>
            </w:pPr>
            <w:r>
              <w:rPr>
                <w:rFonts w:hint="eastAsia" w:ascii="宋体" w:hAnsi="宋体" w:cs="宋体"/>
                <w:kern w:val="0"/>
                <w:sz w:val="21"/>
                <w:szCs w:val="21"/>
              </w:rPr>
              <w:t>110kV开关场线路间隔设备瓷瓶14组</w:t>
            </w:r>
          </w:p>
        </w:tc>
        <w:tc>
          <w:tcPr>
            <w:tcW w:w="3107" w:type="dxa"/>
            <w:shd w:val="clear" w:color="auto" w:fill="auto"/>
            <w:vAlign w:val="center"/>
          </w:tcPr>
          <w:p w14:paraId="0FFD1073">
            <w:pPr>
              <w:widowControl/>
              <w:spacing w:line="240" w:lineRule="auto"/>
              <w:jc w:val="left"/>
              <w:rPr>
                <w:rFonts w:ascii="宋体" w:hAnsi="宋体" w:cs="宋体"/>
                <w:kern w:val="0"/>
                <w:sz w:val="21"/>
                <w:szCs w:val="21"/>
              </w:rPr>
            </w:pPr>
            <w:r>
              <w:rPr>
                <w:rFonts w:hint="eastAsia" w:ascii="宋体" w:hAnsi="宋体" w:cs="宋体"/>
                <w:kern w:val="0"/>
                <w:sz w:val="21"/>
                <w:szCs w:val="21"/>
              </w:rPr>
              <w:t>线路间隔设备瓷瓶RTV防污闪喷涂防腐及检修14组</w:t>
            </w:r>
          </w:p>
        </w:tc>
        <w:tc>
          <w:tcPr>
            <w:tcW w:w="2657" w:type="dxa"/>
            <w:vMerge w:val="continue"/>
            <w:vAlign w:val="center"/>
          </w:tcPr>
          <w:p w14:paraId="3C84CBEA">
            <w:pPr>
              <w:widowControl/>
              <w:spacing w:line="240" w:lineRule="auto"/>
              <w:jc w:val="left"/>
              <w:rPr>
                <w:rFonts w:ascii="宋体" w:hAnsi="宋体" w:cs="宋体"/>
                <w:kern w:val="0"/>
                <w:sz w:val="21"/>
                <w:szCs w:val="21"/>
              </w:rPr>
            </w:pPr>
          </w:p>
        </w:tc>
      </w:tr>
      <w:tr w14:paraId="06DB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96" w:type="dxa"/>
            <w:vMerge w:val="continue"/>
            <w:vAlign w:val="center"/>
          </w:tcPr>
          <w:p w14:paraId="637AC50C">
            <w:pPr>
              <w:widowControl/>
              <w:spacing w:line="240" w:lineRule="auto"/>
              <w:jc w:val="left"/>
              <w:rPr>
                <w:rFonts w:ascii="宋体" w:hAnsi="宋体" w:cs="宋体"/>
                <w:kern w:val="0"/>
                <w:sz w:val="21"/>
                <w:szCs w:val="21"/>
              </w:rPr>
            </w:pPr>
          </w:p>
        </w:tc>
        <w:tc>
          <w:tcPr>
            <w:tcW w:w="1282" w:type="dxa"/>
            <w:vMerge w:val="continue"/>
            <w:vAlign w:val="center"/>
          </w:tcPr>
          <w:p w14:paraId="16E3DFF6">
            <w:pPr>
              <w:widowControl/>
              <w:spacing w:line="240" w:lineRule="auto"/>
              <w:jc w:val="left"/>
              <w:rPr>
                <w:rFonts w:ascii="宋体" w:hAnsi="宋体" w:cs="宋体"/>
                <w:kern w:val="0"/>
                <w:sz w:val="21"/>
                <w:szCs w:val="21"/>
              </w:rPr>
            </w:pPr>
          </w:p>
        </w:tc>
        <w:tc>
          <w:tcPr>
            <w:tcW w:w="456" w:type="dxa"/>
            <w:shd w:val="clear" w:color="auto" w:fill="auto"/>
            <w:vAlign w:val="center"/>
          </w:tcPr>
          <w:p w14:paraId="42E1C40A">
            <w:pPr>
              <w:widowControl/>
              <w:spacing w:line="240" w:lineRule="auto"/>
              <w:jc w:val="center"/>
              <w:rPr>
                <w:rFonts w:ascii="宋体" w:hAnsi="宋体" w:cs="宋体"/>
                <w:kern w:val="0"/>
                <w:sz w:val="21"/>
                <w:szCs w:val="21"/>
              </w:rPr>
            </w:pPr>
            <w:r>
              <w:rPr>
                <w:rFonts w:hint="eastAsia" w:ascii="宋体" w:hAnsi="宋体" w:cs="宋体"/>
                <w:kern w:val="0"/>
                <w:sz w:val="21"/>
                <w:szCs w:val="21"/>
              </w:rPr>
              <w:t>11</w:t>
            </w:r>
          </w:p>
        </w:tc>
        <w:tc>
          <w:tcPr>
            <w:tcW w:w="1807" w:type="dxa"/>
            <w:shd w:val="clear" w:color="auto" w:fill="auto"/>
            <w:vAlign w:val="center"/>
          </w:tcPr>
          <w:p w14:paraId="2FD38433">
            <w:pPr>
              <w:widowControl/>
              <w:spacing w:line="240" w:lineRule="auto"/>
              <w:jc w:val="left"/>
              <w:rPr>
                <w:rFonts w:ascii="宋体" w:hAnsi="宋体" w:cs="宋体"/>
                <w:kern w:val="0"/>
                <w:sz w:val="21"/>
                <w:szCs w:val="21"/>
              </w:rPr>
            </w:pPr>
            <w:r>
              <w:rPr>
                <w:rFonts w:hint="eastAsia" w:ascii="宋体" w:hAnsi="宋体" w:cs="宋体"/>
                <w:kern w:val="0"/>
                <w:sz w:val="21"/>
                <w:szCs w:val="21"/>
              </w:rPr>
              <w:t>110kV开关场主变间隔设备瓷瓶24组</w:t>
            </w:r>
          </w:p>
        </w:tc>
        <w:tc>
          <w:tcPr>
            <w:tcW w:w="3107" w:type="dxa"/>
            <w:shd w:val="clear" w:color="auto" w:fill="auto"/>
            <w:vAlign w:val="center"/>
          </w:tcPr>
          <w:p w14:paraId="7238FF91">
            <w:pPr>
              <w:widowControl/>
              <w:spacing w:line="240" w:lineRule="auto"/>
              <w:jc w:val="left"/>
              <w:rPr>
                <w:rFonts w:ascii="宋体" w:hAnsi="宋体" w:cs="宋体"/>
                <w:kern w:val="0"/>
                <w:sz w:val="21"/>
                <w:szCs w:val="21"/>
              </w:rPr>
            </w:pPr>
            <w:r>
              <w:rPr>
                <w:rFonts w:hint="eastAsia" w:ascii="宋体" w:hAnsi="宋体" w:cs="宋体"/>
                <w:kern w:val="0"/>
                <w:sz w:val="21"/>
                <w:szCs w:val="21"/>
              </w:rPr>
              <w:t>主变间隔设备瓷瓶RTV防污闪喷涂防腐及检修24组</w:t>
            </w:r>
          </w:p>
        </w:tc>
        <w:tc>
          <w:tcPr>
            <w:tcW w:w="2657" w:type="dxa"/>
            <w:vMerge w:val="continue"/>
            <w:vAlign w:val="center"/>
          </w:tcPr>
          <w:p w14:paraId="3D9959D3">
            <w:pPr>
              <w:widowControl/>
              <w:spacing w:line="240" w:lineRule="auto"/>
              <w:jc w:val="left"/>
              <w:rPr>
                <w:rFonts w:ascii="宋体" w:hAnsi="宋体" w:cs="宋体"/>
                <w:kern w:val="0"/>
                <w:sz w:val="21"/>
                <w:szCs w:val="21"/>
              </w:rPr>
            </w:pPr>
          </w:p>
        </w:tc>
      </w:tr>
      <w:tr w14:paraId="71B4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96" w:type="dxa"/>
            <w:vMerge w:val="continue"/>
            <w:vAlign w:val="center"/>
          </w:tcPr>
          <w:p w14:paraId="36748936">
            <w:pPr>
              <w:widowControl/>
              <w:spacing w:line="240" w:lineRule="auto"/>
              <w:jc w:val="left"/>
              <w:rPr>
                <w:rFonts w:ascii="宋体" w:hAnsi="宋体" w:cs="宋体"/>
                <w:kern w:val="0"/>
                <w:sz w:val="21"/>
                <w:szCs w:val="21"/>
              </w:rPr>
            </w:pPr>
          </w:p>
        </w:tc>
        <w:tc>
          <w:tcPr>
            <w:tcW w:w="1282" w:type="dxa"/>
            <w:vMerge w:val="continue"/>
            <w:vAlign w:val="center"/>
          </w:tcPr>
          <w:p w14:paraId="547281AA">
            <w:pPr>
              <w:widowControl/>
              <w:spacing w:line="240" w:lineRule="auto"/>
              <w:jc w:val="left"/>
              <w:rPr>
                <w:rFonts w:ascii="宋体" w:hAnsi="宋体" w:cs="宋体"/>
                <w:kern w:val="0"/>
                <w:sz w:val="21"/>
                <w:szCs w:val="21"/>
              </w:rPr>
            </w:pPr>
          </w:p>
        </w:tc>
        <w:tc>
          <w:tcPr>
            <w:tcW w:w="456" w:type="dxa"/>
            <w:shd w:val="clear" w:color="auto" w:fill="auto"/>
            <w:vAlign w:val="center"/>
          </w:tcPr>
          <w:p w14:paraId="726B3F23">
            <w:pPr>
              <w:widowControl/>
              <w:spacing w:line="240" w:lineRule="auto"/>
              <w:jc w:val="center"/>
              <w:rPr>
                <w:rFonts w:ascii="宋体" w:hAnsi="宋体" w:cs="宋体"/>
                <w:kern w:val="0"/>
                <w:sz w:val="21"/>
                <w:szCs w:val="21"/>
              </w:rPr>
            </w:pPr>
            <w:r>
              <w:rPr>
                <w:rFonts w:hint="eastAsia" w:ascii="宋体" w:hAnsi="宋体" w:cs="宋体"/>
                <w:kern w:val="0"/>
                <w:sz w:val="21"/>
                <w:szCs w:val="21"/>
              </w:rPr>
              <w:t>12</w:t>
            </w:r>
          </w:p>
        </w:tc>
        <w:tc>
          <w:tcPr>
            <w:tcW w:w="1807" w:type="dxa"/>
            <w:shd w:val="clear" w:color="auto" w:fill="auto"/>
            <w:vAlign w:val="center"/>
          </w:tcPr>
          <w:p w14:paraId="04778D0B">
            <w:pPr>
              <w:widowControl/>
              <w:spacing w:line="240" w:lineRule="auto"/>
              <w:jc w:val="left"/>
              <w:rPr>
                <w:rFonts w:ascii="宋体" w:hAnsi="宋体" w:cs="宋体"/>
                <w:kern w:val="0"/>
                <w:sz w:val="21"/>
                <w:szCs w:val="21"/>
              </w:rPr>
            </w:pPr>
            <w:r>
              <w:rPr>
                <w:rFonts w:hint="eastAsia" w:ascii="宋体" w:hAnsi="宋体" w:cs="宋体"/>
                <w:kern w:val="0"/>
                <w:sz w:val="21"/>
                <w:szCs w:val="21"/>
              </w:rPr>
              <w:t>全站开关场金属构架</w:t>
            </w:r>
          </w:p>
        </w:tc>
        <w:tc>
          <w:tcPr>
            <w:tcW w:w="3107" w:type="dxa"/>
            <w:shd w:val="clear" w:color="auto" w:fill="auto"/>
            <w:vAlign w:val="center"/>
          </w:tcPr>
          <w:p w14:paraId="21B55A85">
            <w:pPr>
              <w:widowControl/>
              <w:spacing w:line="240" w:lineRule="auto"/>
              <w:jc w:val="left"/>
              <w:rPr>
                <w:rFonts w:ascii="宋体" w:hAnsi="宋体" w:cs="宋体"/>
                <w:kern w:val="0"/>
                <w:sz w:val="21"/>
                <w:szCs w:val="21"/>
              </w:rPr>
            </w:pPr>
            <w:r>
              <w:rPr>
                <w:rFonts w:hint="eastAsia" w:ascii="宋体" w:hAnsi="宋体" w:cs="宋体"/>
                <w:kern w:val="0"/>
                <w:sz w:val="21"/>
                <w:szCs w:val="21"/>
              </w:rPr>
              <w:t>全站开关场金属构架、一次设备外壳RTV防污闪喷涂防腐及检修</w:t>
            </w:r>
          </w:p>
        </w:tc>
        <w:tc>
          <w:tcPr>
            <w:tcW w:w="2657" w:type="dxa"/>
            <w:vMerge w:val="continue"/>
            <w:vAlign w:val="center"/>
          </w:tcPr>
          <w:p w14:paraId="4FE1D153">
            <w:pPr>
              <w:widowControl/>
              <w:spacing w:line="240" w:lineRule="auto"/>
              <w:jc w:val="left"/>
              <w:rPr>
                <w:rFonts w:ascii="宋体" w:hAnsi="宋体" w:cs="宋体"/>
                <w:kern w:val="0"/>
                <w:sz w:val="21"/>
                <w:szCs w:val="21"/>
              </w:rPr>
            </w:pPr>
          </w:p>
        </w:tc>
      </w:tr>
      <w:tr w14:paraId="7D2F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396" w:type="dxa"/>
            <w:shd w:val="clear" w:color="auto" w:fill="auto"/>
            <w:vAlign w:val="center"/>
          </w:tcPr>
          <w:p w14:paraId="344E75DF">
            <w:pPr>
              <w:widowControl/>
              <w:spacing w:line="240" w:lineRule="auto"/>
              <w:jc w:val="center"/>
              <w:rPr>
                <w:rFonts w:ascii="宋体" w:hAnsi="宋体" w:cs="宋体"/>
                <w:kern w:val="0"/>
                <w:sz w:val="21"/>
                <w:szCs w:val="21"/>
              </w:rPr>
            </w:pPr>
            <w:r>
              <w:rPr>
                <w:rFonts w:hint="eastAsia" w:ascii="宋体" w:hAnsi="宋体" w:cs="宋体"/>
                <w:kern w:val="0"/>
                <w:sz w:val="21"/>
                <w:szCs w:val="21"/>
              </w:rPr>
              <w:t>7</w:t>
            </w:r>
          </w:p>
        </w:tc>
        <w:tc>
          <w:tcPr>
            <w:tcW w:w="1282" w:type="dxa"/>
            <w:shd w:val="clear" w:color="auto" w:fill="auto"/>
            <w:vAlign w:val="center"/>
          </w:tcPr>
          <w:p w14:paraId="24969E2B">
            <w:pPr>
              <w:widowControl/>
              <w:spacing w:line="240" w:lineRule="auto"/>
              <w:jc w:val="left"/>
              <w:rPr>
                <w:rFonts w:ascii="宋体" w:hAnsi="宋体" w:cs="宋体"/>
                <w:kern w:val="0"/>
                <w:sz w:val="21"/>
                <w:szCs w:val="21"/>
              </w:rPr>
            </w:pPr>
            <w:r>
              <w:rPr>
                <w:rFonts w:hint="eastAsia" w:ascii="宋体" w:hAnsi="宋体" w:cs="宋体"/>
                <w:kern w:val="0"/>
                <w:sz w:val="21"/>
                <w:szCs w:val="21"/>
              </w:rPr>
              <w:t>110KV架空线路大修</w:t>
            </w:r>
          </w:p>
        </w:tc>
        <w:tc>
          <w:tcPr>
            <w:tcW w:w="456" w:type="dxa"/>
            <w:shd w:val="clear" w:color="auto" w:fill="auto"/>
            <w:vAlign w:val="center"/>
          </w:tcPr>
          <w:p w14:paraId="68000E26">
            <w:pPr>
              <w:widowControl/>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1807" w:type="dxa"/>
            <w:shd w:val="clear" w:color="auto" w:fill="auto"/>
            <w:vAlign w:val="center"/>
          </w:tcPr>
          <w:p w14:paraId="275C5692">
            <w:pPr>
              <w:widowControl/>
              <w:spacing w:line="240" w:lineRule="auto"/>
              <w:jc w:val="left"/>
              <w:rPr>
                <w:rFonts w:ascii="宋体" w:hAnsi="宋体" w:cs="宋体"/>
                <w:kern w:val="0"/>
                <w:sz w:val="21"/>
                <w:szCs w:val="21"/>
              </w:rPr>
            </w:pPr>
            <w:r>
              <w:rPr>
                <w:rFonts w:hint="eastAsia" w:ascii="宋体" w:hAnsi="宋体" w:cs="宋体"/>
                <w:kern w:val="0"/>
                <w:sz w:val="21"/>
                <w:szCs w:val="21"/>
              </w:rPr>
              <w:t>1、110kV花国东线，线路全长9.2km（电缆线路0.27KM、架空线路8.93KM）。2、110kV花国西线，线路全长9.1km（电缆线路0.27KM、架空线路8.83KM）。</w:t>
            </w:r>
          </w:p>
        </w:tc>
        <w:tc>
          <w:tcPr>
            <w:tcW w:w="3107" w:type="dxa"/>
            <w:shd w:val="clear" w:color="auto" w:fill="auto"/>
            <w:vAlign w:val="center"/>
          </w:tcPr>
          <w:p w14:paraId="606D7FFE">
            <w:pPr>
              <w:widowControl/>
              <w:spacing w:line="240" w:lineRule="auto"/>
              <w:jc w:val="left"/>
              <w:rPr>
                <w:rFonts w:ascii="宋体" w:hAnsi="宋体" w:cs="宋体"/>
                <w:kern w:val="0"/>
                <w:sz w:val="21"/>
                <w:szCs w:val="21"/>
              </w:rPr>
            </w:pPr>
            <w:r>
              <w:rPr>
                <w:rFonts w:hint="eastAsia" w:ascii="宋体" w:hAnsi="宋体" w:cs="宋体"/>
                <w:kern w:val="0"/>
                <w:sz w:val="21"/>
                <w:szCs w:val="21"/>
              </w:rPr>
              <w:t>110kV花国东、西两回线路（单塔单回）全线大修：根据实际情况更换金具、构架、开口销、补齐花材、调整弧垂，更换终端塔避雷器及金属支架，对部分护坡和铁塔基础进行修复、加固等。</w:t>
            </w:r>
          </w:p>
        </w:tc>
        <w:tc>
          <w:tcPr>
            <w:tcW w:w="2657" w:type="dxa"/>
            <w:shd w:val="clear" w:color="auto" w:fill="auto"/>
            <w:vAlign w:val="center"/>
          </w:tcPr>
          <w:p w14:paraId="1C98636D">
            <w:pPr>
              <w:widowControl/>
              <w:spacing w:line="240" w:lineRule="auto"/>
              <w:jc w:val="left"/>
              <w:rPr>
                <w:rFonts w:ascii="宋体" w:hAnsi="宋体" w:cs="宋体"/>
                <w:kern w:val="0"/>
                <w:sz w:val="21"/>
                <w:szCs w:val="21"/>
              </w:rPr>
            </w:pPr>
            <w:r>
              <w:rPr>
                <w:rFonts w:hint="eastAsia" w:ascii="宋体" w:hAnsi="宋体" w:cs="宋体"/>
                <w:kern w:val="0"/>
                <w:sz w:val="21"/>
                <w:szCs w:val="21"/>
              </w:rPr>
              <w:t>110KV外线轮停大修，现场踏勘统计缺陷，其中涉及拆除、新装置换设备选型设计，同时完善大修工程量清单及概算编制。</w:t>
            </w:r>
          </w:p>
        </w:tc>
      </w:tr>
      <w:tr w14:paraId="48ED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705" w:type="dxa"/>
            <w:gridSpan w:val="6"/>
            <w:shd w:val="clear" w:color="auto" w:fill="auto"/>
            <w:vAlign w:val="center"/>
          </w:tcPr>
          <w:p w14:paraId="052D695A">
            <w:pPr>
              <w:widowControl/>
              <w:spacing w:line="240" w:lineRule="auto"/>
              <w:jc w:val="left"/>
              <w:rPr>
                <w:rFonts w:ascii="宋体" w:hAnsi="宋体" w:cs="宋体"/>
                <w:kern w:val="0"/>
                <w:sz w:val="21"/>
                <w:szCs w:val="21"/>
              </w:rPr>
            </w:pPr>
            <w:r>
              <w:rPr>
                <w:rFonts w:hint="eastAsia" w:ascii="宋体" w:hAnsi="宋体" w:cs="宋体"/>
                <w:kern w:val="0"/>
                <w:sz w:val="21"/>
                <w:szCs w:val="21"/>
              </w:rPr>
              <w:t>备注：</w:t>
            </w:r>
            <w:r>
              <w:rPr>
                <w:rFonts w:hint="eastAsia" w:ascii="宋体" w:hAnsi="宋体" w:cs="宋体"/>
                <w:kern w:val="0"/>
                <w:sz w:val="21"/>
                <w:szCs w:val="21"/>
              </w:rPr>
              <w:br w:type="textWrapping"/>
            </w:r>
            <w:r>
              <w:rPr>
                <w:rFonts w:hint="eastAsia" w:ascii="宋体" w:hAnsi="宋体" w:cs="宋体"/>
                <w:kern w:val="0"/>
                <w:sz w:val="21"/>
                <w:szCs w:val="21"/>
              </w:rPr>
              <w:t>1、以上改造内容含改造工程所涉及的相应设备基础改造、接地系统、电容器室改扩建等土建工程。</w:t>
            </w:r>
            <w:r>
              <w:rPr>
                <w:rFonts w:hint="eastAsia" w:ascii="宋体" w:hAnsi="宋体" w:cs="宋体"/>
                <w:kern w:val="0"/>
                <w:sz w:val="21"/>
                <w:szCs w:val="21"/>
              </w:rPr>
              <w:br w:type="textWrapping"/>
            </w:r>
            <w:r>
              <w:rPr>
                <w:rFonts w:hint="eastAsia" w:ascii="宋体" w:hAnsi="宋体" w:cs="宋体"/>
                <w:kern w:val="0"/>
                <w:sz w:val="21"/>
                <w:szCs w:val="21"/>
              </w:rPr>
              <w:t>2、全站二次系统及一体化电源系统已进行全面升级改造，本工程二次系统及一体化电源系统利旧，不在改造实施范围。</w:t>
            </w:r>
          </w:p>
        </w:tc>
      </w:tr>
    </w:tbl>
    <w:p w14:paraId="5E4862DA">
      <w:pPr>
        <w:spacing w:line="360" w:lineRule="auto"/>
        <w:rPr>
          <w:rFonts w:ascii="宋体" w:hAnsi="宋体"/>
          <w:sz w:val="24"/>
          <w:szCs w:val="24"/>
        </w:rPr>
      </w:pPr>
      <w:r>
        <w:rPr>
          <w:rFonts w:hint="eastAsia" w:ascii="宋体" w:hAnsi="宋体"/>
          <w:sz w:val="24"/>
          <w:szCs w:val="24"/>
        </w:rPr>
        <w:t>二、设计服务要求：</w:t>
      </w:r>
    </w:p>
    <w:p w14:paraId="2FAB3B44">
      <w:pPr>
        <w:spacing w:line="360" w:lineRule="auto"/>
        <w:ind w:firstLine="480" w:firstLineChars="200"/>
        <w:rPr>
          <w:rFonts w:ascii="宋体" w:hAnsi="宋体"/>
          <w:sz w:val="24"/>
          <w:szCs w:val="24"/>
          <w:lang w:val="zh-TW"/>
        </w:rPr>
      </w:pPr>
      <w:r>
        <w:rPr>
          <w:rFonts w:ascii="宋体" w:hAnsi="宋体"/>
          <w:sz w:val="24"/>
          <w:szCs w:val="24"/>
        </w:rPr>
        <w:t>2.1</w:t>
      </w:r>
      <w:r>
        <w:rPr>
          <w:rFonts w:hint="eastAsia" w:ascii="宋体" w:hAnsi="宋体"/>
          <w:sz w:val="24"/>
          <w:szCs w:val="24"/>
          <w:lang w:val="zh-TW" w:eastAsia="zh-TW"/>
        </w:rPr>
        <w:t>根据国网重庆市电力公司</w:t>
      </w:r>
      <w:r>
        <w:rPr>
          <w:rFonts w:hint="eastAsia" w:ascii="宋体" w:hAnsi="宋体"/>
          <w:sz w:val="24"/>
          <w:szCs w:val="24"/>
        </w:rPr>
        <w:t>长寿</w:t>
      </w:r>
      <w:r>
        <w:rPr>
          <w:rFonts w:hint="eastAsia" w:ascii="宋体" w:hAnsi="宋体"/>
          <w:sz w:val="24"/>
          <w:szCs w:val="24"/>
          <w:lang w:val="zh-TW" w:eastAsia="zh-TW"/>
        </w:rPr>
        <w:t>供电分公司</w:t>
      </w:r>
      <w:r>
        <w:rPr>
          <w:rFonts w:hint="eastAsia" w:ascii="宋体" w:hAnsi="宋体"/>
          <w:sz w:val="24"/>
          <w:szCs w:val="24"/>
        </w:rPr>
        <w:t>增容供电方案</w:t>
      </w:r>
      <w:r>
        <w:rPr>
          <w:rFonts w:hint="eastAsia" w:ascii="宋体" w:hAnsi="宋体"/>
          <w:sz w:val="24"/>
          <w:szCs w:val="24"/>
          <w:lang w:val="zh-TW" w:eastAsia="zh-TW"/>
        </w:rPr>
        <w:t>进行</w:t>
      </w:r>
      <w:r>
        <w:rPr>
          <w:rFonts w:hint="eastAsia" w:ascii="宋体" w:hAnsi="宋体"/>
          <w:sz w:val="24"/>
          <w:szCs w:val="24"/>
          <w:lang w:val="zh-TW"/>
        </w:rPr>
        <w:t>110kV国复变电站主变增容及设备装置大修技改工程</w:t>
      </w:r>
      <w:r>
        <w:rPr>
          <w:rFonts w:hint="eastAsia" w:ascii="宋体" w:hAnsi="宋体"/>
          <w:sz w:val="24"/>
          <w:szCs w:val="24"/>
        </w:rPr>
        <w:t>的</w:t>
      </w:r>
      <w:r>
        <w:rPr>
          <w:rFonts w:hint="eastAsia" w:ascii="宋体" w:hAnsi="宋体"/>
          <w:sz w:val="24"/>
          <w:szCs w:val="24"/>
          <w:lang w:val="zh-TW" w:eastAsia="zh-TW"/>
        </w:rPr>
        <w:t>施工图设计，具体包含</w:t>
      </w:r>
      <w:r>
        <w:rPr>
          <w:rFonts w:hint="eastAsia" w:ascii="宋体" w:hAnsi="宋体"/>
          <w:sz w:val="24"/>
          <w:szCs w:val="24"/>
          <w:lang w:val="zh-TW"/>
        </w:rPr>
        <w:t>：</w:t>
      </w:r>
    </w:p>
    <w:p w14:paraId="7BC412D4">
      <w:pPr>
        <w:spacing w:line="360" w:lineRule="auto"/>
        <w:ind w:firstLine="480" w:firstLineChars="200"/>
        <w:rPr>
          <w:rFonts w:ascii="宋体" w:hAnsi="宋体"/>
          <w:sz w:val="24"/>
          <w:szCs w:val="24"/>
          <w:lang w:val="zh-TW" w:eastAsia="zh-TW"/>
        </w:rPr>
      </w:pPr>
      <w:r>
        <w:rPr>
          <w:rFonts w:hint="eastAsia" w:ascii="宋体" w:hAnsi="宋体"/>
          <w:sz w:val="24"/>
          <w:szCs w:val="24"/>
        </w:rPr>
        <w:t>2</w:t>
      </w:r>
      <w:r>
        <w:rPr>
          <w:rFonts w:ascii="宋体" w:hAnsi="宋体"/>
          <w:sz w:val="24"/>
          <w:szCs w:val="24"/>
        </w:rPr>
        <w:t>.2.1</w:t>
      </w:r>
      <w:r>
        <w:rPr>
          <w:rFonts w:hint="eastAsia" w:ascii="宋体" w:hAnsi="宋体"/>
          <w:sz w:val="24"/>
          <w:szCs w:val="24"/>
          <w:lang w:val="zh-TW" w:eastAsia="zh-TW"/>
        </w:rPr>
        <w:t>负责</w:t>
      </w:r>
      <w:r>
        <w:rPr>
          <w:rFonts w:hint="eastAsia" w:ascii="宋体" w:hAnsi="宋体"/>
          <w:sz w:val="24"/>
          <w:szCs w:val="24"/>
        </w:rPr>
        <w:t>配合</w:t>
      </w:r>
      <w:r>
        <w:rPr>
          <w:rFonts w:hint="eastAsia" w:ascii="宋体" w:hAnsi="宋体"/>
          <w:sz w:val="24"/>
          <w:szCs w:val="24"/>
          <w:lang w:val="zh-TW" w:eastAsia="zh-TW"/>
        </w:rPr>
        <w:t>办理国网</w:t>
      </w:r>
      <w:r>
        <w:rPr>
          <w:rFonts w:hint="eastAsia" w:ascii="宋体" w:hAnsi="宋体"/>
          <w:sz w:val="24"/>
          <w:szCs w:val="24"/>
        </w:rPr>
        <w:t>长寿</w:t>
      </w:r>
      <w:r>
        <w:rPr>
          <w:rFonts w:hint="eastAsia" w:ascii="宋体" w:hAnsi="宋体"/>
          <w:sz w:val="24"/>
          <w:szCs w:val="24"/>
          <w:lang w:val="zh-TW" w:eastAsia="zh-TW"/>
        </w:rPr>
        <w:t>供电分公司对该项目</w:t>
      </w:r>
      <w:r>
        <w:rPr>
          <w:rFonts w:hint="eastAsia" w:ascii="宋体" w:hAnsi="宋体"/>
          <w:sz w:val="24"/>
          <w:szCs w:val="24"/>
        </w:rPr>
        <w:t>增容供电方案手续，协助业主完成各项审批手续办理等工作；</w:t>
      </w:r>
    </w:p>
    <w:p w14:paraId="49DAEA52">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.2.2</w:t>
      </w:r>
      <w:r>
        <w:rPr>
          <w:rFonts w:hint="eastAsia" w:ascii="宋体" w:hAnsi="宋体"/>
          <w:sz w:val="24"/>
          <w:szCs w:val="24"/>
        </w:rPr>
        <w:t>变电站内改造工程</w:t>
      </w:r>
      <w:r>
        <w:rPr>
          <w:rFonts w:hint="eastAsia" w:ascii="宋体" w:hAnsi="宋体"/>
          <w:sz w:val="24"/>
          <w:szCs w:val="24"/>
          <w:lang w:val="zh-TW" w:eastAsia="zh-TW"/>
        </w:rPr>
        <w:t>相关的土建、电气设备及工程的设计，设计成果必须满足现行相关规范及行业主管部门要求</w:t>
      </w:r>
      <w:r>
        <w:rPr>
          <w:rFonts w:hint="eastAsia" w:ascii="宋体" w:hAnsi="宋体"/>
          <w:sz w:val="24"/>
          <w:szCs w:val="24"/>
          <w:lang w:val="zh-TW"/>
        </w:rPr>
        <w:t>；</w:t>
      </w:r>
    </w:p>
    <w:p w14:paraId="2EA051F7">
      <w:pPr>
        <w:spacing w:line="360" w:lineRule="auto"/>
        <w:ind w:firstLine="480" w:firstLineChars="200"/>
        <w:rPr>
          <w:rFonts w:ascii="宋体" w:hAnsi="宋体"/>
          <w:sz w:val="24"/>
          <w:szCs w:val="24"/>
          <w:lang w:val="zh-TW"/>
        </w:rPr>
      </w:pPr>
      <w:r>
        <w:rPr>
          <w:rFonts w:hint="eastAsia" w:ascii="宋体" w:hAnsi="宋体"/>
          <w:sz w:val="24"/>
          <w:szCs w:val="24"/>
        </w:rPr>
        <w:t>2</w:t>
      </w:r>
      <w:r>
        <w:rPr>
          <w:rFonts w:ascii="宋体" w:hAnsi="宋体"/>
          <w:sz w:val="24"/>
          <w:szCs w:val="24"/>
        </w:rPr>
        <w:t>.2.3</w:t>
      </w:r>
      <w:r>
        <w:rPr>
          <w:rFonts w:hint="eastAsia" w:ascii="宋体" w:hAnsi="宋体"/>
          <w:sz w:val="24"/>
          <w:szCs w:val="24"/>
          <w:lang w:val="zh-TW" w:eastAsia="zh-TW"/>
        </w:rPr>
        <w:t>负责完成本工程施工图设计及国网重庆市电力公司</w:t>
      </w:r>
      <w:r>
        <w:rPr>
          <w:rFonts w:hint="eastAsia" w:ascii="宋体" w:hAnsi="宋体"/>
          <w:sz w:val="24"/>
          <w:szCs w:val="24"/>
        </w:rPr>
        <w:t>长寿</w:t>
      </w:r>
      <w:r>
        <w:rPr>
          <w:rFonts w:hint="eastAsia" w:ascii="宋体" w:hAnsi="宋体"/>
          <w:sz w:val="24"/>
          <w:szCs w:val="24"/>
          <w:lang w:val="zh-TW" w:eastAsia="zh-TW"/>
        </w:rPr>
        <w:t>供电分公司的审图工作</w:t>
      </w:r>
      <w:r>
        <w:rPr>
          <w:rFonts w:hint="eastAsia" w:ascii="宋体" w:hAnsi="宋体"/>
          <w:sz w:val="24"/>
          <w:szCs w:val="24"/>
        </w:rPr>
        <w:t>并根据审查意见进行修改，</w:t>
      </w:r>
      <w:r>
        <w:rPr>
          <w:rFonts w:hint="eastAsia" w:ascii="宋体" w:hAnsi="宋体"/>
          <w:sz w:val="24"/>
          <w:szCs w:val="24"/>
          <w:lang w:val="zh-TW" w:eastAsia="zh-TW"/>
        </w:rPr>
        <w:t>对施工图质量负责</w:t>
      </w:r>
      <w:r>
        <w:rPr>
          <w:rFonts w:hint="eastAsia" w:ascii="宋体" w:hAnsi="宋体"/>
          <w:sz w:val="24"/>
          <w:szCs w:val="24"/>
          <w:lang w:val="zh-TW"/>
        </w:rPr>
        <w:t>；</w:t>
      </w:r>
    </w:p>
    <w:p w14:paraId="7525956A">
      <w:pPr>
        <w:spacing w:line="360" w:lineRule="auto"/>
        <w:ind w:firstLine="480" w:firstLineChars="200"/>
        <w:rPr>
          <w:rFonts w:ascii="宋体" w:hAnsi="宋体"/>
          <w:sz w:val="24"/>
          <w:szCs w:val="24"/>
        </w:rPr>
      </w:pPr>
      <w:r>
        <w:rPr>
          <w:rFonts w:ascii="宋体" w:hAnsi="宋体"/>
          <w:sz w:val="24"/>
          <w:szCs w:val="24"/>
        </w:rPr>
        <w:t>2.2.4</w:t>
      </w:r>
      <w:r>
        <w:rPr>
          <w:rFonts w:hint="eastAsia" w:ascii="宋体" w:hAnsi="宋体"/>
          <w:sz w:val="24"/>
          <w:szCs w:val="24"/>
        </w:rPr>
        <w:t>根据现场及工程实际采购设备进行调整的基础土建和电气线路进行二次深化设计服务；</w:t>
      </w:r>
    </w:p>
    <w:p w14:paraId="4416F4E3">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.2.5</w:t>
      </w:r>
      <w:r>
        <w:rPr>
          <w:rFonts w:hint="eastAsia" w:ascii="宋体" w:hAnsi="宋体"/>
          <w:sz w:val="24"/>
          <w:szCs w:val="24"/>
        </w:rPr>
        <w:t>施工过程至项目竣工验收全过程的相关服务（含设计交底、设计变更、现场服务等）。</w:t>
      </w:r>
    </w:p>
    <w:p w14:paraId="18CB82B6">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.2提供施工图数量：纸质图纸5套，并提供电子版设计成果文件。</w:t>
      </w:r>
    </w:p>
    <w:p w14:paraId="3092ADC7">
      <w:pPr>
        <w:spacing w:line="360" w:lineRule="auto"/>
        <w:rPr>
          <w:rFonts w:ascii="宋体" w:hAnsi="宋体"/>
          <w:sz w:val="24"/>
          <w:szCs w:val="24"/>
        </w:rPr>
      </w:pPr>
      <w:r>
        <w:rPr>
          <w:rFonts w:ascii="宋体" w:hAnsi="宋体"/>
          <w:sz w:val="24"/>
          <w:szCs w:val="24"/>
        </w:rPr>
        <w:t>2</w:t>
      </w:r>
      <w:r>
        <w:rPr>
          <w:rFonts w:hint="eastAsia" w:ascii="宋体" w:hAnsi="宋体"/>
          <w:sz w:val="24"/>
          <w:szCs w:val="24"/>
        </w:rPr>
        <w:t>.3施工图概算编制依据：</w:t>
      </w:r>
    </w:p>
    <w:p w14:paraId="0242F263">
      <w:pPr>
        <w:spacing w:line="360" w:lineRule="auto"/>
        <w:ind w:firstLine="720" w:firstLineChars="300"/>
        <w:rPr>
          <w:rFonts w:ascii="宋体" w:hAnsi="宋体"/>
          <w:sz w:val="24"/>
          <w:szCs w:val="24"/>
        </w:rPr>
      </w:pPr>
      <w:r>
        <w:rPr>
          <w:rFonts w:hint="eastAsia" w:ascii="宋体" w:hAnsi="宋体"/>
          <w:sz w:val="24"/>
          <w:szCs w:val="24"/>
        </w:rPr>
        <w:t>图纸全部工程按《输变电工程工程量清单计价规范》（Q/GDW11337-2023）及《变电工程工程量计算规范》（Q/GDW11338-2023）为依据，根据（2018年版）《电网工程建设预算编制与计算标准》、（2018年版）《电力建设工程预算定额 建筑工程》、（2018年版）《电力建设工程预算定额 电气设备安装工程》、（2018年版）《电力建设工程预算定额 调试工程》、（2018年版）《电力建设工程预算定额 通信工程》、新版工程量清单《国家电网企管（2015）106号》、《转发定额总站&lt;电力工程造价与定额管理总站关于发布电力工程计价依据营业税改增值税估价表&gt;的通知》（国家电网电定（2017）2号文）、《关于调整电力工程计价依据增值税税率的通知》结合市场行情进行编制。</w:t>
      </w:r>
    </w:p>
    <w:p w14:paraId="129C8166">
      <w:pPr>
        <w:spacing w:line="360" w:lineRule="auto"/>
        <w:rPr>
          <w:rFonts w:ascii="宋体" w:hAnsi="宋体"/>
          <w:sz w:val="24"/>
          <w:szCs w:val="24"/>
        </w:rPr>
      </w:pPr>
      <w:r>
        <w:rPr>
          <w:rFonts w:hint="eastAsia" w:ascii="宋体" w:hAnsi="宋体"/>
          <w:sz w:val="24"/>
          <w:szCs w:val="24"/>
        </w:rPr>
        <w:t>三、质量要求：</w:t>
      </w:r>
    </w:p>
    <w:p w14:paraId="26F0F7D2">
      <w:pPr>
        <w:spacing w:line="360" w:lineRule="auto"/>
        <w:ind w:firstLine="480" w:firstLineChars="200"/>
        <w:rPr>
          <w:rFonts w:ascii="宋体" w:hAnsi="宋体"/>
          <w:sz w:val="24"/>
          <w:szCs w:val="24"/>
        </w:rPr>
      </w:pPr>
      <w:r>
        <w:rPr>
          <w:rFonts w:hint="eastAsia" w:ascii="宋体" w:hAnsi="宋体"/>
          <w:sz w:val="24"/>
          <w:szCs w:val="24"/>
        </w:rPr>
        <w:t>工程设计严格执行工程建设强制性质量标准，符合国家、重庆市相关法律法规、标准规范、国网供电公司规范要求和本工程相关设计及技术文件规定为准。</w:t>
      </w:r>
    </w:p>
    <w:p w14:paraId="493EA775">
      <w:pPr>
        <w:spacing w:line="360" w:lineRule="auto"/>
        <w:rPr>
          <w:rFonts w:ascii="宋体" w:hAnsi="宋体"/>
          <w:sz w:val="24"/>
          <w:szCs w:val="24"/>
        </w:rPr>
      </w:pPr>
    </w:p>
    <w:p w14:paraId="0D8D48BD">
      <w:pPr>
        <w:spacing w:line="360" w:lineRule="auto"/>
        <w:rPr>
          <w:rFonts w:ascii="宋体" w:hAnsi="宋体"/>
        </w:rPr>
      </w:pPr>
      <w:r>
        <w:rPr>
          <w:rFonts w:hint="eastAsia" w:ascii="宋体" w:hAnsi="宋体"/>
        </w:rPr>
        <w:br w:type="page"/>
      </w:r>
    </w:p>
    <w:p w14:paraId="4DA7AEF3">
      <w:pPr>
        <w:pStyle w:val="3"/>
        <w:spacing w:before="312" w:after="468"/>
        <w:rPr>
          <w:color w:val="auto"/>
        </w:rPr>
      </w:pPr>
      <w:r>
        <w:rPr>
          <w:rFonts w:hint="eastAsia"/>
          <w:color w:val="auto"/>
        </w:rPr>
        <w:t>第三章</w:t>
      </w:r>
      <w:r>
        <w:rPr>
          <w:color w:val="auto"/>
        </w:rPr>
        <w:t xml:space="preserve">  </w:t>
      </w:r>
      <w:r>
        <w:rPr>
          <w:rFonts w:hint="eastAsia"/>
          <w:color w:val="auto"/>
        </w:rPr>
        <w:t>合同模板</w:t>
      </w:r>
    </w:p>
    <w:p w14:paraId="09665FD5">
      <w:pPr>
        <w:keepNext/>
        <w:keepLines/>
        <w:widowControl/>
        <w:spacing w:before="340" w:after="120" w:line="360" w:lineRule="auto"/>
        <w:jc w:val="center"/>
        <w:outlineLvl w:val="0"/>
        <w:rPr>
          <w:rFonts w:ascii="宋体" w:hAnsi="宋体"/>
          <w:b/>
          <w:kern w:val="44"/>
          <w:sz w:val="72"/>
          <w:szCs w:val="20"/>
        </w:rPr>
      </w:pPr>
      <w:r>
        <w:rPr>
          <w:rFonts w:ascii="宋体" w:hAnsi="宋体"/>
          <w:b/>
          <w:kern w:val="44"/>
          <w:sz w:val="72"/>
          <w:szCs w:val="20"/>
        </w:rPr>
        <w:t>建设工程设计合同</w:t>
      </w:r>
    </w:p>
    <w:p w14:paraId="0D8E4DE6">
      <w:pPr>
        <w:jc w:val="center"/>
        <w:rPr>
          <w:rFonts w:ascii="宋体" w:hAnsi="宋体"/>
          <w:sz w:val="44"/>
        </w:rPr>
      </w:pPr>
      <w:r>
        <w:rPr>
          <w:rFonts w:ascii="宋体" w:hAnsi="宋体"/>
          <w:sz w:val="44"/>
        </w:rPr>
        <w:t>（专业建设工程设计合同）</w:t>
      </w:r>
    </w:p>
    <w:p w14:paraId="3843934D">
      <w:pPr>
        <w:rPr>
          <w:rFonts w:ascii="宋体" w:hAnsi="宋体"/>
          <w:sz w:val="28"/>
        </w:rPr>
      </w:pPr>
    </w:p>
    <w:p w14:paraId="35782430">
      <w:pPr>
        <w:rPr>
          <w:rFonts w:ascii="宋体" w:hAnsi="宋体"/>
          <w:sz w:val="28"/>
        </w:rPr>
      </w:pPr>
    </w:p>
    <w:p w14:paraId="54B76307">
      <w:pPr>
        <w:rPr>
          <w:rFonts w:ascii="宋体" w:hAnsi="宋体"/>
          <w:sz w:val="28"/>
        </w:rPr>
      </w:pPr>
    </w:p>
    <w:p w14:paraId="3999D081">
      <w:pPr>
        <w:rPr>
          <w:rFonts w:ascii="宋体" w:hAnsi="宋体" w:cs="宋体"/>
          <w:kern w:val="0"/>
          <w:sz w:val="24"/>
        </w:rPr>
      </w:pPr>
      <w:r>
        <w:rPr>
          <w:rFonts w:ascii="宋体" w:hAnsi="宋体"/>
          <w:sz w:val="32"/>
        </w:rPr>
        <w:t>工  程  名  称：</w:t>
      </w:r>
      <w:r>
        <w:rPr>
          <w:rFonts w:ascii="宋体" w:hAnsi="宋体"/>
          <w:sz w:val="32"/>
          <w:u w:val="single"/>
        </w:rPr>
        <w:t xml:space="preserve">                           </w:t>
      </w:r>
      <w:r>
        <w:rPr>
          <w:rFonts w:hint="eastAsia" w:ascii="宋体" w:hAnsi="宋体"/>
          <w:sz w:val="32"/>
          <w:u w:val="single"/>
        </w:rPr>
        <w:t xml:space="preserve">    </w:t>
      </w:r>
    </w:p>
    <w:p w14:paraId="68E97E3E">
      <w:pPr>
        <w:spacing w:line="360" w:lineRule="auto"/>
        <w:rPr>
          <w:rFonts w:ascii="宋体" w:hAnsi="宋体"/>
          <w:sz w:val="32"/>
        </w:rPr>
      </w:pPr>
      <w:r>
        <w:rPr>
          <w:rFonts w:ascii="宋体" w:hAnsi="宋体"/>
          <w:sz w:val="32"/>
        </w:rPr>
        <w:t>工  程  地  点：</w:t>
      </w:r>
      <w:r>
        <w:rPr>
          <w:rFonts w:hint="eastAsia" w:ascii="宋体" w:hAnsi="宋体"/>
          <w:sz w:val="32"/>
          <w:u w:val="single"/>
        </w:rPr>
        <w:t>重庆市长寿区经开区齐心大道25号</w:t>
      </w:r>
      <w:r>
        <w:rPr>
          <w:rFonts w:hint="eastAsia" w:ascii="宋体" w:hAnsi="宋体"/>
          <w:sz w:val="32"/>
        </w:rPr>
        <w:t xml:space="preserve">    </w:t>
      </w:r>
      <w:r>
        <w:rPr>
          <w:rFonts w:ascii="宋体" w:hAnsi="宋体"/>
          <w:sz w:val="32"/>
        </w:rPr>
        <w:t xml:space="preserve"> </w:t>
      </w:r>
      <w:r>
        <w:rPr>
          <w:rFonts w:hint="eastAsia" w:ascii="宋体" w:hAnsi="宋体"/>
          <w:sz w:val="32"/>
        </w:rPr>
        <w:t xml:space="preserve"> </w:t>
      </w:r>
    </w:p>
    <w:p w14:paraId="65AC7C19">
      <w:pPr>
        <w:spacing w:line="360" w:lineRule="auto"/>
        <w:rPr>
          <w:rFonts w:ascii="宋体" w:hAnsi="宋体"/>
          <w:sz w:val="32"/>
          <w:u w:val="single"/>
        </w:rPr>
      </w:pPr>
      <w:r>
        <w:rPr>
          <w:rFonts w:hint="eastAsia" w:ascii="宋体" w:hAnsi="宋体"/>
          <w:sz w:val="32"/>
        </w:rPr>
        <w:t>甲方</w:t>
      </w:r>
      <w:r>
        <w:rPr>
          <w:rFonts w:ascii="宋体" w:hAnsi="宋体"/>
          <w:sz w:val="32"/>
        </w:rPr>
        <w:t>合同编号：</w:t>
      </w:r>
      <w:r>
        <w:rPr>
          <w:rFonts w:hint="eastAsia" w:ascii="宋体" w:hAnsi="宋体"/>
          <w:sz w:val="32"/>
        </w:rPr>
        <w:t xml:space="preserve"> </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r>
        <w:rPr>
          <w:rFonts w:ascii="宋体" w:hAnsi="宋体"/>
          <w:sz w:val="32"/>
        </w:rPr>
        <w:t xml:space="preserve">       </w:t>
      </w:r>
    </w:p>
    <w:p w14:paraId="5C4FDE79">
      <w:pPr>
        <w:spacing w:line="360" w:lineRule="auto"/>
        <w:rPr>
          <w:rFonts w:ascii="宋体" w:hAnsi="宋体"/>
          <w:sz w:val="32"/>
        </w:rPr>
      </w:pPr>
      <w:r>
        <w:rPr>
          <w:rFonts w:hint="eastAsia" w:ascii="宋体" w:hAnsi="宋体"/>
          <w:sz w:val="32"/>
        </w:rPr>
        <w:t>乙方</w:t>
      </w:r>
      <w:r>
        <w:rPr>
          <w:rFonts w:ascii="宋体" w:hAnsi="宋体"/>
          <w:sz w:val="32"/>
        </w:rPr>
        <w:t>合同编号：</w:t>
      </w:r>
      <w:r>
        <w:rPr>
          <w:rFonts w:hint="eastAsia" w:ascii="宋体" w:hAnsi="宋体"/>
          <w:sz w:val="32"/>
        </w:rPr>
        <w:t xml:space="preserve">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r>
        <w:rPr>
          <w:rFonts w:hint="eastAsia" w:ascii="宋体" w:hAnsi="宋体"/>
          <w:sz w:val="32"/>
        </w:rPr>
        <w:t xml:space="preserve">    </w:t>
      </w:r>
    </w:p>
    <w:p w14:paraId="69A0E576">
      <w:pPr>
        <w:spacing w:line="360" w:lineRule="auto"/>
        <w:rPr>
          <w:rFonts w:ascii="宋体" w:hAnsi="宋体"/>
          <w:sz w:val="32"/>
        </w:rPr>
      </w:pPr>
      <w:r>
        <w:rPr>
          <w:rFonts w:ascii="宋体" w:hAnsi="宋体"/>
          <w:sz w:val="32"/>
        </w:rPr>
        <w:t>设计证书等级：</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r>
        <w:rPr>
          <w:rFonts w:ascii="宋体" w:hAnsi="宋体"/>
          <w:sz w:val="32"/>
        </w:rPr>
        <w:t xml:space="preserve">         </w:t>
      </w:r>
      <w:r>
        <w:rPr>
          <w:rFonts w:hint="eastAsia" w:ascii="宋体" w:hAnsi="宋体"/>
          <w:sz w:val="32"/>
        </w:rPr>
        <w:t xml:space="preserve">                       </w:t>
      </w:r>
      <w:r>
        <w:rPr>
          <w:rFonts w:ascii="宋体" w:hAnsi="宋体"/>
          <w:sz w:val="32"/>
        </w:rPr>
        <w:t xml:space="preserve">   </w:t>
      </w:r>
    </w:p>
    <w:p w14:paraId="2B9BBB66">
      <w:pPr>
        <w:spacing w:line="360" w:lineRule="auto"/>
        <w:rPr>
          <w:rFonts w:ascii="宋体" w:hAnsi="宋体"/>
          <w:sz w:val="32"/>
        </w:rPr>
      </w:pPr>
      <w:r>
        <w:rPr>
          <w:rFonts w:hint="eastAsia" w:ascii="宋体" w:hAnsi="宋体"/>
          <w:sz w:val="32"/>
        </w:rPr>
        <w:t xml:space="preserve">建 </w:t>
      </w:r>
      <w:r>
        <w:rPr>
          <w:rFonts w:ascii="宋体" w:hAnsi="宋体"/>
          <w:sz w:val="32"/>
        </w:rPr>
        <w:t xml:space="preserve">   </w:t>
      </w:r>
      <w:r>
        <w:rPr>
          <w:rFonts w:hint="eastAsia" w:ascii="宋体" w:hAnsi="宋体"/>
          <w:sz w:val="32"/>
        </w:rPr>
        <w:t xml:space="preserve">设 </w:t>
      </w:r>
      <w:r>
        <w:rPr>
          <w:rFonts w:ascii="宋体" w:hAnsi="宋体"/>
          <w:sz w:val="32"/>
        </w:rPr>
        <w:t xml:space="preserve">   </w:t>
      </w:r>
      <w:r>
        <w:rPr>
          <w:rFonts w:hint="eastAsia" w:ascii="宋体" w:hAnsi="宋体"/>
          <w:sz w:val="32"/>
        </w:rPr>
        <w:t>方</w:t>
      </w:r>
      <w:r>
        <w:rPr>
          <w:rFonts w:ascii="宋体" w:hAnsi="宋体"/>
          <w:sz w:val="32"/>
        </w:rPr>
        <w:t>：</w:t>
      </w:r>
      <w:r>
        <w:rPr>
          <w:rFonts w:hint="eastAsia" w:ascii="宋体" w:hAnsi="宋体"/>
          <w:sz w:val="32"/>
          <w:u w:val="single"/>
        </w:rPr>
        <w:t>重庆</w:t>
      </w:r>
      <w:r>
        <w:rPr>
          <w:rFonts w:hint="eastAsia" w:ascii="宋体" w:hAnsi="宋体"/>
          <w:sz w:val="32"/>
          <w:u w:val="single"/>
          <w:lang w:val="en-US" w:eastAsia="zh-CN"/>
        </w:rPr>
        <w:t>天泽新</w:t>
      </w:r>
      <w:r>
        <w:rPr>
          <w:rFonts w:hint="eastAsia" w:ascii="宋体" w:hAnsi="宋体"/>
          <w:sz w:val="32"/>
          <w:u w:val="single"/>
        </w:rPr>
        <w:t xml:space="preserve">材料有限公司 </w:t>
      </w:r>
      <w:r>
        <w:rPr>
          <w:rFonts w:hint="eastAsia" w:ascii="宋体" w:hAnsi="宋体"/>
          <w:sz w:val="32"/>
          <w:u w:val="single"/>
          <w:lang w:val="en-US" w:eastAsia="zh-CN"/>
        </w:rPr>
        <w:t xml:space="preserve">      </w:t>
      </w:r>
      <w:r>
        <w:rPr>
          <w:rFonts w:ascii="宋体" w:hAnsi="宋体"/>
          <w:sz w:val="32"/>
          <w:u w:val="single"/>
        </w:rPr>
        <w:t xml:space="preserve">  </w:t>
      </w:r>
      <w:r>
        <w:rPr>
          <w:rFonts w:hint="eastAsia" w:ascii="宋体" w:hAnsi="宋体"/>
          <w:sz w:val="32"/>
        </w:rPr>
        <w:t xml:space="preserve">         </w:t>
      </w:r>
      <w:r>
        <w:rPr>
          <w:rFonts w:ascii="宋体" w:hAnsi="宋体"/>
          <w:sz w:val="32"/>
        </w:rPr>
        <w:t xml:space="preserve">                </w:t>
      </w:r>
    </w:p>
    <w:p w14:paraId="3A1F749D">
      <w:pPr>
        <w:spacing w:line="360" w:lineRule="auto"/>
        <w:rPr>
          <w:rFonts w:ascii="宋体" w:hAnsi="宋体"/>
          <w:sz w:val="32"/>
        </w:rPr>
      </w:pPr>
      <w:r>
        <w:rPr>
          <w:rFonts w:ascii="宋体" w:hAnsi="宋体"/>
          <w:sz w:val="32"/>
        </w:rPr>
        <w:t>设    计    人：</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r>
        <w:rPr>
          <w:rFonts w:hint="eastAsia" w:ascii="宋体" w:hAnsi="宋体"/>
          <w:sz w:val="32"/>
        </w:rPr>
        <w:t xml:space="preserve">          </w:t>
      </w:r>
      <w:r>
        <w:rPr>
          <w:rFonts w:ascii="宋体" w:hAnsi="宋体"/>
          <w:sz w:val="32"/>
        </w:rPr>
        <w:t xml:space="preserve">               </w:t>
      </w:r>
    </w:p>
    <w:p w14:paraId="1493FCE5">
      <w:pPr>
        <w:spacing w:line="360" w:lineRule="auto"/>
        <w:rPr>
          <w:rFonts w:ascii="宋体" w:hAnsi="宋体"/>
          <w:sz w:val="32"/>
        </w:rPr>
      </w:pPr>
      <w:r>
        <w:rPr>
          <w:rFonts w:ascii="宋体" w:hAnsi="宋体"/>
          <w:sz w:val="32"/>
        </w:rPr>
        <w:t>签  订  日  期：</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r>
        <w:rPr>
          <w:rFonts w:hint="eastAsia" w:ascii="宋体" w:hAnsi="宋体"/>
          <w:sz w:val="32"/>
        </w:rPr>
        <w:t xml:space="preserve"> </w:t>
      </w:r>
      <w:r>
        <w:rPr>
          <w:rFonts w:ascii="宋体" w:hAnsi="宋体"/>
          <w:sz w:val="32"/>
        </w:rPr>
        <w:t xml:space="preserve">     </w:t>
      </w:r>
      <w:r>
        <w:rPr>
          <w:rFonts w:hint="eastAsia" w:ascii="宋体" w:hAnsi="宋体"/>
          <w:sz w:val="32"/>
        </w:rPr>
        <w:t xml:space="preserve">                     </w:t>
      </w:r>
      <w:r>
        <w:rPr>
          <w:rFonts w:ascii="宋体" w:hAnsi="宋体"/>
          <w:sz w:val="32"/>
        </w:rPr>
        <w:t xml:space="preserve">  </w:t>
      </w:r>
    </w:p>
    <w:p w14:paraId="083FF027">
      <w:pPr>
        <w:rPr>
          <w:rFonts w:ascii="宋体" w:hAnsi="宋体"/>
          <w:sz w:val="28"/>
        </w:rPr>
      </w:pPr>
    </w:p>
    <w:p w14:paraId="40E51824">
      <w:pPr>
        <w:rPr>
          <w:rFonts w:ascii="宋体" w:hAnsi="宋体"/>
          <w:sz w:val="28"/>
        </w:rPr>
      </w:pPr>
    </w:p>
    <w:p w14:paraId="2F7A0B73">
      <w:pPr>
        <w:jc w:val="center"/>
        <w:rPr>
          <w:rFonts w:ascii="宋体" w:hAnsi="宋体"/>
          <w:sz w:val="28"/>
          <w:szCs w:val="28"/>
        </w:rPr>
      </w:pPr>
      <w:r>
        <w:rPr>
          <w:rFonts w:hint="eastAsia" w:ascii="宋体" w:hAnsi="宋体"/>
          <w:spacing w:val="40"/>
          <w:sz w:val="28"/>
          <w:szCs w:val="28"/>
        </w:rPr>
        <w:t xml:space="preserve"> </w:t>
      </w:r>
      <w:r>
        <w:rPr>
          <w:rFonts w:ascii="宋体" w:hAnsi="宋体"/>
          <w:spacing w:val="40"/>
          <w:sz w:val="28"/>
          <w:szCs w:val="28"/>
        </w:rPr>
        <w:t xml:space="preserve">     中华人民共和国建设部</w:t>
      </w:r>
      <w:r>
        <w:rPr>
          <w:rFonts w:hint="eastAsia" w:ascii="宋体" w:hAnsi="宋体"/>
          <w:spacing w:val="40"/>
          <w:sz w:val="28"/>
          <w:szCs w:val="28"/>
        </w:rPr>
        <w:t xml:space="preserve">  </w:t>
      </w:r>
      <w:r>
        <w:rPr>
          <w:rFonts w:ascii="宋体" w:hAnsi="宋体"/>
          <w:sz w:val="28"/>
          <w:szCs w:val="28"/>
        </w:rPr>
        <w:t>监制</w:t>
      </w:r>
    </w:p>
    <w:p w14:paraId="72957D1B">
      <w:pPr>
        <w:jc w:val="center"/>
        <w:rPr>
          <w:rFonts w:ascii="宋体" w:hAnsi="宋体"/>
          <w:spacing w:val="40"/>
          <w:sz w:val="28"/>
          <w:szCs w:val="28"/>
        </w:rPr>
      </w:pPr>
      <w:r>
        <w:rPr>
          <w:rFonts w:ascii="宋体" w:hAnsi="宋体"/>
          <w:spacing w:val="40"/>
          <w:sz w:val="28"/>
          <w:szCs w:val="28"/>
        </w:rPr>
        <w:t>国家工商行政管理局</w:t>
      </w:r>
    </w:p>
    <w:p w14:paraId="28DCDF5A">
      <w:pPr>
        <w:spacing w:line="440" w:lineRule="exact"/>
        <w:rPr>
          <w:rFonts w:ascii="宋体" w:hAnsi="宋体"/>
          <w:sz w:val="24"/>
        </w:rPr>
      </w:pPr>
    </w:p>
    <w:p w14:paraId="6577240A">
      <w:pPr>
        <w:spacing w:line="440" w:lineRule="exact"/>
        <w:rPr>
          <w:rFonts w:ascii="宋体" w:hAnsi="宋体"/>
          <w:sz w:val="24"/>
        </w:rPr>
      </w:pPr>
    </w:p>
    <w:p w14:paraId="53182CCA">
      <w:pPr>
        <w:spacing w:line="440" w:lineRule="exact"/>
        <w:rPr>
          <w:rFonts w:ascii="宋体" w:hAnsi="宋体"/>
          <w:sz w:val="24"/>
        </w:rPr>
      </w:pPr>
    </w:p>
    <w:p w14:paraId="1DBF8054">
      <w:pPr>
        <w:spacing w:line="440" w:lineRule="exact"/>
        <w:rPr>
          <w:rFonts w:ascii="宋体" w:hAnsi="宋体"/>
          <w:sz w:val="24"/>
        </w:rPr>
      </w:pPr>
    </w:p>
    <w:p w14:paraId="62CD65C0">
      <w:pPr>
        <w:spacing w:line="440" w:lineRule="exact"/>
        <w:rPr>
          <w:rFonts w:ascii="宋体" w:hAnsi="宋体"/>
          <w:bCs/>
          <w:sz w:val="24"/>
          <w:u w:val="words"/>
        </w:rPr>
      </w:pPr>
      <w:r>
        <w:rPr>
          <w:rFonts w:ascii="宋体" w:hAnsi="宋体"/>
          <w:sz w:val="24"/>
        </w:rPr>
        <w:t>建设方</w:t>
      </w:r>
      <w:r>
        <w:rPr>
          <w:rFonts w:hint="eastAsia" w:ascii="宋体" w:hAnsi="宋体"/>
          <w:sz w:val="24"/>
        </w:rPr>
        <w:t>(甲方)</w:t>
      </w:r>
      <w:r>
        <w:rPr>
          <w:rFonts w:ascii="宋体" w:hAnsi="宋体"/>
          <w:sz w:val="24"/>
        </w:rPr>
        <w:t xml:space="preserve">： </w:t>
      </w:r>
      <w:r>
        <w:rPr>
          <w:rFonts w:ascii="宋体" w:hAnsi="宋体"/>
          <w:bCs/>
          <w:sz w:val="24"/>
        </w:rPr>
        <w:t xml:space="preserve"> </w:t>
      </w:r>
      <w:r>
        <w:rPr>
          <w:rFonts w:hint="eastAsia" w:ascii="宋体" w:hAnsi="宋体"/>
          <w:bCs/>
          <w:sz w:val="24"/>
          <w:u w:val="single"/>
        </w:rPr>
        <w:t xml:space="preserve"> 重庆</w:t>
      </w:r>
      <w:r>
        <w:rPr>
          <w:rFonts w:hint="eastAsia" w:ascii="宋体" w:hAnsi="宋体"/>
          <w:bCs/>
          <w:sz w:val="24"/>
          <w:u w:val="single"/>
          <w:lang w:val="en-US" w:eastAsia="zh-CN"/>
        </w:rPr>
        <w:t>天泽新</w:t>
      </w:r>
      <w:r>
        <w:rPr>
          <w:rFonts w:hint="eastAsia" w:ascii="宋体" w:hAnsi="宋体"/>
          <w:bCs/>
          <w:sz w:val="24"/>
          <w:u w:val="single"/>
        </w:rPr>
        <w:t>材料有限公司</w:t>
      </w:r>
      <w:r>
        <w:rPr>
          <w:rFonts w:ascii="宋体" w:hAnsi="宋体"/>
          <w:bCs/>
          <w:sz w:val="24"/>
          <w:u w:val="single"/>
        </w:rPr>
        <w:t xml:space="preserve"> </w:t>
      </w:r>
    </w:p>
    <w:p w14:paraId="734D7A51">
      <w:pPr>
        <w:spacing w:line="440" w:lineRule="exact"/>
        <w:rPr>
          <w:rFonts w:ascii="宋体" w:hAnsi="宋体"/>
          <w:b/>
          <w:bCs/>
          <w:sz w:val="24"/>
        </w:rPr>
      </w:pPr>
      <w:r>
        <w:rPr>
          <w:rFonts w:ascii="宋体" w:hAnsi="宋体"/>
          <w:sz w:val="24"/>
        </w:rPr>
        <w:t>设计人</w:t>
      </w:r>
      <w:r>
        <w:rPr>
          <w:rFonts w:hint="eastAsia" w:ascii="宋体" w:hAnsi="宋体"/>
          <w:sz w:val="24"/>
        </w:rPr>
        <w:t>(乙方)</w:t>
      </w:r>
      <w:r>
        <w:rPr>
          <w:rFonts w:ascii="宋体" w:hAnsi="宋体"/>
          <w:sz w:val="24"/>
        </w:rPr>
        <w:t xml:space="preserve">： </w:t>
      </w:r>
      <w:r>
        <w:rPr>
          <w:rFonts w:ascii="宋体" w:hAnsi="宋体"/>
          <w:sz w:val="24"/>
          <w:u w:val="words"/>
        </w:rPr>
        <w:t xml:space="preserve"> </w:t>
      </w:r>
      <w:r>
        <w:rPr>
          <w:rFonts w:hint="eastAsia" w:ascii="宋体" w:hAnsi="宋体"/>
          <w:bCs/>
          <w:sz w:val="24"/>
          <w:u w:val="single"/>
        </w:rPr>
        <w:t xml:space="preserve"> </w:t>
      </w:r>
      <w:r>
        <w:rPr>
          <w:rFonts w:ascii="宋体" w:hAnsi="宋体"/>
          <w:bCs/>
          <w:sz w:val="24"/>
          <w:u w:val="single"/>
        </w:rPr>
        <w:t xml:space="preserve">                             </w:t>
      </w:r>
    </w:p>
    <w:p w14:paraId="0547B226">
      <w:pPr>
        <w:spacing w:line="440" w:lineRule="exact"/>
        <w:ind w:firstLine="480" w:firstLineChars="200"/>
        <w:rPr>
          <w:rFonts w:ascii="宋体" w:hAnsi="宋体"/>
          <w:sz w:val="24"/>
        </w:rPr>
      </w:pPr>
      <w:r>
        <w:rPr>
          <w:rFonts w:ascii="宋体" w:hAnsi="宋体"/>
          <w:sz w:val="24"/>
        </w:rPr>
        <w:t>建设方委托设计人承担</w:t>
      </w:r>
      <w:r>
        <w:rPr>
          <w:rFonts w:hint="eastAsia" w:ascii="宋体" w:hAnsi="宋体"/>
          <w:bCs/>
          <w:sz w:val="24"/>
          <w:u w:val="single"/>
        </w:rPr>
        <w:t xml:space="preserve"> 电子级玻璃纤维生产线设备更新及数智化提质增效项目---110kV国复变电站主变增容及设备装置大修技改工程 </w:t>
      </w:r>
      <w:r>
        <w:rPr>
          <w:rFonts w:ascii="宋体" w:hAnsi="宋体"/>
          <w:sz w:val="24"/>
        </w:rPr>
        <w:t>的工程设计，工程地点为</w:t>
      </w:r>
      <w:r>
        <w:rPr>
          <w:rFonts w:hint="eastAsia" w:ascii="宋体" w:hAnsi="宋体"/>
          <w:bCs/>
          <w:sz w:val="24"/>
          <w:u w:val="single"/>
        </w:rPr>
        <w:t>重庆市长寿区经开区齐心大道25号</w:t>
      </w:r>
      <w:r>
        <w:rPr>
          <w:rFonts w:ascii="宋体" w:hAnsi="宋体"/>
          <w:sz w:val="24"/>
        </w:rPr>
        <w:t>，经双方协商一致，签订本合同，共同履行。</w:t>
      </w:r>
    </w:p>
    <w:p w14:paraId="7FA66856">
      <w:pPr>
        <w:spacing w:line="440" w:lineRule="exact"/>
        <w:ind w:firstLine="482" w:firstLineChars="200"/>
        <w:rPr>
          <w:rFonts w:ascii="宋体" w:hAnsi="宋体"/>
          <w:b/>
          <w:sz w:val="24"/>
        </w:rPr>
      </w:pPr>
      <w:r>
        <w:rPr>
          <w:rFonts w:ascii="宋体" w:hAnsi="宋体"/>
          <w:b/>
          <w:bCs/>
          <w:sz w:val="24"/>
        </w:rPr>
        <w:t xml:space="preserve">第一条  </w:t>
      </w:r>
      <w:r>
        <w:rPr>
          <w:rFonts w:ascii="宋体" w:hAnsi="宋体"/>
          <w:b/>
          <w:sz w:val="24"/>
        </w:rPr>
        <w:t>本合同签订依据</w:t>
      </w:r>
    </w:p>
    <w:p w14:paraId="1EEDFEBE">
      <w:pPr>
        <w:widowControl/>
        <w:spacing w:line="440" w:lineRule="exact"/>
        <w:ind w:firstLine="480" w:firstLineChars="200"/>
        <w:rPr>
          <w:rFonts w:ascii="宋体" w:hAnsi="宋体"/>
          <w:sz w:val="24"/>
          <w:lang w:val="zh-CN"/>
        </w:rPr>
      </w:pPr>
      <w:r>
        <w:rPr>
          <w:rFonts w:ascii="宋体" w:hAnsi="宋体"/>
          <w:sz w:val="24"/>
          <w:lang w:val="zh-CN"/>
        </w:rPr>
        <w:t>1.1《</w:t>
      </w:r>
      <w:r>
        <w:rPr>
          <w:rFonts w:hint="eastAsia" w:ascii="宋体" w:hAnsi="宋体"/>
          <w:sz w:val="24"/>
          <w:lang w:val="zh-CN"/>
        </w:rPr>
        <w:t>中华人民共和国民法典</w:t>
      </w:r>
      <w:r>
        <w:rPr>
          <w:rFonts w:ascii="宋体" w:hAnsi="宋体"/>
          <w:sz w:val="24"/>
          <w:lang w:val="zh-CN"/>
        </w:rPr>
        <w:t>》、《中华人民共和国建筑法》和《建设工程勘察设计市场管理规定》。</w:t>
      </w:r>
    </w:p>
    <w:p w14:paraId="4BDF4749">
      <w:pPr>
        <w:widowControl/>
        <w:spacing w:line="440" w:lineRule="exact"/>
        <w:ind w:firstLine="480" w:firstLineChars="200"/>
        <w:rPr>
          <w:rFonts w:ascii="宋体" w:hAnsi="宋体"/>
          <w:sz w:val="24"/>
          <w:lang w:val="zh-CN"/>
        </w:rPr>
      </w:pPr>
      <w:r>
        <w:rPr>
          <w:rFonts w:ascii="宋体" w:hAnsi="宋体"/>
          <w:sz w:val="24"/>
          <w:lang w:val="zh-CN"/>
        </w:rPr>
        <w:t>1.2国家及地方有关建设工程勘察设计管理法规和规章。</w:t>
      </w:r>
    </w:p>
    <w:p w14:paraId="7347BFC3">
      <w:pPr>
        <w:spacing w:line="440" w:lineRule="exact"/>
        <w:ind w:firstLine="482" w:firstLineChars="200"/>
        <w:rPr>
          <w:rFonts w:ascii="宋体" w:hAnsi="宋体"/>
          <w:b/>
          <w:bCs/>
          <w:sz w:val="24"/>
        </w:rPr>
      </w:pPr>
      <w:r>
        <w:rPr>
          <w:rFonts w:ascii="宋体" w:hAnsi="宋体"/>
          <w:b/>
          <w:bCs/>
          <w:sz w:val="24"/>
        </w:rPr>
        <w:t>第二条  设计依据</w:t>
      </w:r>
    </w:p>
    <w:p w14:paraId="15C27EBC">
      <w:pPr>
        <w:spacing w:line="440" w:lineRule="exact"/>
        <w:ind w:firstLine="600"/>
        <w:rPr>
          <w:rFonts w:ascii="宋体" w:hAnsi="宋体"/>
          <w:sz w:val="24"/>
        </w:rPr>
      </w:pPr>
      <w:r>
        <w:rPr>
          <w:rFonts w:ascii="宋体" w:hAnsi="宋体"/>
          <w:sz w:val="24"/>
        </w:rPr>
        <w:t>2.1</w:t>
      </w:r>
      <w:r>
        <w:rPr>
          <w:rFonts w:hint="eastAsia" w:ascii="宋体" w:hAnsi="宋体"/>
          <w:sz w:val="24"/>
          <w:lang w:val="zh-CN"/>
        </w:rPr>
        <w:t xml:space="preserve"> 建设方给设计人的委托书</w:t>
      </w:r>
      <w:r>
        <w:rPr>
          <w:rFonts w:ascii="宋体" w:hAnsi="宋体"/>
          <w:sz w:val="24"/>
          <w:lang w:val="zh-CN"/>
        </w:rPr>
        <w:t>。</w:t>
      </w:r>
    </w:p>
    <w:p w14:paraId="128D0846">
      <w:pPr>
        <w:spacing w:line="440" w:lineRule="exact"/>
        <w:ind w:firstLine="600"/>
        <w:rPr>
          <w:rFonts w:ascii="宋体" w:hAnsi="宋体"/>
          <w:sz w:val="24"/>
        </w:rPr>
      </w:pPr>
      <w:r>
        <w:rPr>
          <w:rFonts w:ascii="宋体" w:hAnsi="宋体"/>
          <w:sz w:val="24"/>
        </w:rPr>
        <w:t>2.2建设方提交的基础资料</w:t>
      </w:r>
      <w:r>
        <w:rPr>
          <w:rFonts w:hint="eastAsia" w:ascii="宋体" w:hAnsi="宋体"/>
          <w:sz w:val="24"/>
        </w:rPr>
        <w:t>。</w:t>
      </w:r>
    </w:p>
    <w:p w14:paraId="632BFE35">
      <w:pPr>
        <w:spacing w:line="440" w:lineRule="exact"/>
        <w:ind w:firstLine="600"/>
        <w:rPr>
          <w:rFonts w:ascii="宋体" w:hAnsi="宋体"/>
          <w:sz w:val="24"/>
        </w:rPr>
      </w:pPr>
      <w:r>
        <w:rPr>
          <w:rFonts w:ascii="宋体" w:hAnsi="宋体"/>
          <w:sz w:val="24"/>
        </w:rPr>
        <w:t>2.3设计人采用的主要技术标准是：</w:t>
      </w:r>
    </w:p>
    <w:p w14:paraId="79420D29">
      <w:pPr>
        <w:spacing w:line="440" w:lineRule="exact"/>
        <w:ind w:firstLine="600"/>
        <w:rPr>
          <w:rFonts w:ascii="宋体" w:hAnsi="宋体"/>
          <w:b/>
          <w:sz w:val="24"/>
          <w:u w:val="single"/>
        </w:rPr>
      </w:pPr>
      <w:r>
        <w:rPr>
          <w:rFonts w:hint="eastAsia" w:ascii="宋体" w:hAnsi="宋体"/>
          <w:b/>
          <w:sz w:val="24"/>
          <w:u w:val="single"/>
        </w:rPr>
        <w:t>国家、地方及行业相关标准、规范</w:t>
      </w:r>
    </w:p>
    <w:p w14:paraId="296C7EC1">
      <w:pPr>
        <w:spacing w:line="440" w:lineRule="exact"/>
        <w:ind w:firstLine="482" w:firstLineChars="200"/>
        <w:rPr>
          <w:rFonts w:ascii="宋体" w:hAnsi="宋体"/>
          <w:b/>
          <w:bCs/>
          <w:sz w:val="24"/>
        </w:rPr>
      </w:pPr>
      <w:r>
        <w:rPr>
          <w:rFonts w:ascii="宋体" w:hAnsi="宋体"/>
          <w:b/>
          <w:bCs/>
          <w:sz w:val="24"/>
        </w:rPr>
        <w:t>第三条  合同文件的优先次序</w:t>
      </w:r>
    </w:p>
    <w:p w14:paraId="00C8BE52">
      <w:pPr>
        <w:widowControl/>
        <w:spacing w:line="440" w:lineRule="exact"/>
        <w:ind w:firstLine="480" w:firstLineChars="200"/>
        <w:rPr>
          <w:rFonts w:ascii="宋体" w:hAnsi="宋体"/>
          <w:sz w:val="24"/>
          <w:lang w:val="zh-CN"/>
        </w:rPr>
      </w:pPr>
      <w:r>
        <w:rPr>
          <w:rFonts w:ascii="宋体" w:hAnsi="宋体"/>
          <w:sz w:val="24"/>
          <w:lang w:val="zh-CN"/>
        </w:rPr>
        <w:t>构成本合同的文件可视为是能互相说明的，如果合同文件存在歧义或不一致，则根据如下优先次序来判断：</w:t>
      </w:r>
    </w:p>
    <w:p w14:paraId="00C40F4B">
      <w:pPr>
        <w:widowControl/>
        <w:spacing w:line="440" w:lineRule="exact"/>
        <w:ind w:firstLine="480" w:firstLineChars="200"/>
        <w:rPr>
          <w:rFonts w:ascii="宋体" w:hAnsi="宋体"/>
          <w:sz w:val="24"/>
          <w:lang w:val="zh-CN"/>
        </w:rPr>
      </w:pPr>
      <w:r>
        <w:rPr>
          <w:rFonts w:ascii="宋体" w:hAnsi="宋体"/>
          <w:sz w:val="24"/>
          <w:lang w:val="zh-CN"/>
        </w:rPr>
        <w:t>3.1合同书</w:t>
      </w:r>
    </w:p>
    <w:p w14:paraId="7047D307">
      <w:pPr>
        <w:widowControl/>
        <w:spacing w:line="440" w:lineRule="exact"/>
        <w:ind w:firstLine="480" w:firstLineChars="200"/>
        <w:rPr>
          <w:rFonts w:ascii="宋体" w:hAnsi="宋体"/>
          <w:sz w:val="24"/>
          <w:lang w:val="zh-CN"/>
        </w:rPr>
      </w:pPr>
      <w:r>
        <w:rPr>
          <w:rFonts w:ascii="宋体" w:hAnsi="宋体"/>
          <w:sz w:val="24"/>
          <w:lang w:val="zh-CN"/>
        </w:rPr>
        <w:t>3.2</w:t>
      </w:r>
      <w:r>
        <w:rPr>
          <w:rFonts w:hint="eastAsia" w:ascii="宋体" w:hAnsi="宋体"/>
          <w:sz w:val="24"/>
          <w:lang w:val="zh-CN"/>
        </w:rPr>
        <w:t>报价文件响应书及其附录</w:t>
      </w:r>
    </w:p>
    <w:p w14:paraId="399D3DC1">
      <w:pPr>
        <w:widowControl/>
        <w:spacing w:line="440" w:lineRule="exact"/>
        <w:ind w:firstLine="480" w:firstLineChars="200"/>
        <w:rPr>
          <w:rFonts w:ascii="宋体" w:hAnsi="宋体"/>
          <w:sz w:val="24"/>
          <w:lang w:val="zh-CN"/>
        </w:rPr>
      </w:pPr>
      <w:r>
        <w:rPr>
          <w:rFonts w:ascii="宋体" w:hAnsi="宋体"/>
          <w:sz w:val="24"/>
          <w:lang w:val="zh-CN"/>
        </w:rPr>
        <w:t>3.3</w:t>
      </w:r>
      <w:r>
        <w:rPr>
          <w:rFonts w:hint="eastAsia" w:ascii="宋体" w:hAnsi="宋体"/>
          <w:sz w:val="24"/>
          <w:lang w:val="zh-CN"/>
        </w:rPr>
        <w:t>技术标准和要求</w:t>
      </w:r>
    </w:p>
    <w:p w14:paraId="4AB444BF">
      <w:pPr>
        <w:widowControl/>
        <w:spacing w:line="440" w:lineRule="exact"/>
        <w:ind w:firstLine="480" w:firstLineChars="200"/>
        <w:rPr>
          <w:rFonts w:ascii="宋体" w:hAnsi="宋体"/>
          <w:sz w:val="24"/>
          <w:lang w:val="zh-CN"/>
        </w:rPr>
      </w:pPr>
      <w:r>
        <w:rPr>
          <w:rFonts w:ascii="宋体" w:hAnsi="宋体"/>
          <w:sz w:val="24"/>
          <w:lang w:val="zh-CN"/>
        </w:rPr>
        <w:t>3.4</w:t>
      </w:r>
      <w:r>
        <w:rPr>
          <w:rFonts w:hint="eastAsia" w:ascii="宋体" w:hAnsi="宋体"/>
          <w:sz w:val="24"/>
          <w:lang w:val="zh-CN"/>
        </w:rPr>
        <w:t>设计图纸</w:t>
      </w:r>
    </w:p>
    <w:p w14:paraId="55523BA8">
      <w:pPr>
        <w:widowControl/>
        <w:spacing w:line="440" w:lineRule="exact"/>
        <w:ind w:firstLine="480" w:firstLineChars="200"/>
        <w:rPr>
          <w:rFonts w:ascii="宋体" w:hAnsi="宋体"/>
          <w:sz w:val="24"/>
          <w:lang w:val="zh-CN"/>
        </w:rPr>
      </w:pPr>
      <w:r>
        <w:rPr>
          <w:rFonts w:ascii="宋体" w:hAnsi="宋体"/>
          <w:sz w:val="24"/>
          <w:lang w:val="zh-CN"/>
        </w:rPr>
        <w:t>3.5</w:t>
      </w:r>
      <w:r>
        <w:rPr>
          <w:rFonts w:hint="eastAsia" w:ascii="宋体" w:hAnsi="宋体"/>
          <w:kern w:val="0"/>
          <w:sz w:val="24"/>
        </w:rPr>
        <w:t>询比价文件</w:t>
      </w:r>
    </w:p>
    <w:p w14:paraId="78E7CBD2">
      <w:pPr>
        <w:widowControl/>
        <w:spacing w:line="440" w:lineRule="exact"/>
        <w:ind w:firstLine="480" w:firstLineChars="200"/>
        <w:rPr>
          <w:rFonts w:ascii="宋体" w:hAnsi="宋体"/>
          <w:sz w:val="24"/>
          <w:lang w:val="zh-CN"/>
        </w:rPr>
      </w:pPr>
      <w:r>
        <w:rPr>
          <w:rFonts w:ascii="宋体" w:hAnsi="宋体"/>
          <w:sz w:val="24"/>
          <w:lang w:val="zh-CN"/>
        </w:rPr>
        <w:t>3.6建设方要求及委托书</w:t>
      </w:r>
    </w:p>
    <w:p w14:paraId="53B352FC">
      <w:pPr>
        <w:widowControl/>
        <w:spacing w:line="440" w:lineRule="exact"/>
        <w:ind w:firstLine="480" w:firstLineChars="200"/>
        <w:rPr>
          <w:rFonts w:ascii="宋体" w:hAnsi="宋体"/>
          <w:sz w:val="24"/>
          <w:lang w:val="zh-CN"/>
        </w:rPr>
      </w:pPr>
      <w:r>
        <w:rPr>
          <w:rFonts w:ascii="宋体" w:hAnsi="宋体"/>
          <w:sz w:val="24"/>
          <w:lang w:val="zh-CN"/>
        </w:rPr>
        <w:t>3.7</w:t>
      </w:r>
      <w:r>
        <w:rPr>
          <w:rFonts w:hint="eastAsia" w:ascii="宋体" w:hAnsi="宋体"/>
          <w:sz w:val="24"/>
          <w:lang w:val="zh-CN"/>
        </w:rPr>
        <w:t>其他合同文件</w:t>
      </w:r>
    </w:p>
    <w:p w14:paraId="249AD010">
      <w:pPr>
        <w:spacing w:line="440" w:lineRule="exact"/>
        <w:ind w:firstLine="482" w:firstLineChars="200"/>
        <w:rPr>
          <w:rFonts w:ascii="宋体" w:hAnsi="宋体"/>
          <w:b/>
          <w:bCs/>
          <w:sz w:val="24"/>
        </w:rPr>
      </w:pPr>
      <w:r>
        <w:rPr>
          <w:rFonts w:ascii="宋体" w:hAnsi="宋体"/>
          <w:b/>
          <w:bCs/>
          <w:sz w:val="24"/>
        </w:rPr>
        <w:t>第四条  本合同项目的名称、投资、阶段、设计内容（根据行业特点填写）</w:t>
      </w:r>
    </w:p>
    <w:p w14:paraId="2BEF75A2">
      <w:pPr>
        <w:widowControl/>
        <w:spacing w:line="440" w:lineRule="exact"/>
        <w:ind w:firstLine="480" w:firstLineChars="200"/>
        <w:rPr>
          <w:rFonts w:ascii="宋体" w:hAnsi="宋体"/>
          <w:sz w:val="24"/>
          <w:lang w:val="zh-CN"/>
        </w:rPr>
      </w:pPr>
      <w:r>
        <w:rPr>
          <w:rFonts w:hint="eastAsia" w:ascii="宋体" w:hAnsi="宋体"/>
          <w:sz w:val="24"/>
          <w:lang w:val="zh-CN"/>
        </w:rPr>
        <w:t>4.1项目</w:t>
      </w:r>
      <w:r>
        <w:rPr>
          <w:rFonts w:ascii="宋体" w:hAnsi="宋体"/>
          <w:sz w:val="24"/>
          <w:lang w:val="zh-CN"/>
        </w:rPr>
        <w:t>名称：</w:t>
      </w:r>
      <w:r>
        <w:rPr>
          <w:rFonts w:hint="eastAsia" w:ascii="宋体" w:hAnsi="宋体"/>
          <w:sz w:val="24"/>
          <w:lang w:val="zh-CN"/>
        </w:rPr>
        <w:t>110kV国复变电站主变增容及设备装置大修技改工程</w:t>
      </w:r>
    </w:p>
    <w:p w14:paraId="20F017B6">
      <w:pPr>
        <w:widowControl/>
        <w:spacing w:line="440" w:lineRule="exact"/>
        <w:ind w:firstLine="480" w:firstLineChars="200"/>
        <w:rPr>
          <w:rFonts w:ascii="宋体" w:hAnsi="宋体"/>
          <w:sz w:val="24"/>
          <w:lang w:val="zh-CN"/>
        </w:rPr>
      </w:pPr>
      <w:r>
        <w:rPr>
          <w:rFonts w:hint="eastAsia" w:ascii="宋体" w:hAnsi="宋体"/>
          <w:sz w:val="24"/>
          <w:lang w:val="zh-CN"/>
        </w:rPr>
        <w:t>4.2设计</w:t>
      </w:r>
      <w:r>
        <w:rPr>
          <w:rFonts w:ascii="宋体" w:hAnsi="宋体"/>
          <w:sz w:val="24"/>
          <w:lang w:val="zh-CN"/>
        </w:rPr>
        <w:t>阶段：</w:t>
      </w:r>
      <w:r>
        <w:rPr>
          <w:rFonts w:hint="eastAsia" w:ascii="宋体" w:hAnsi="宋体"/>
          <w:sz w:val="24"/>
          <w:lang w:val="zh-CN"/>
        </w:rPr>
        <w:t>初步设计、施工图设计</w:t>
      </w:r>
    </w:p>
    <w:p w14:paraId="54252E12">
      <w:pPr>
        <w:widowControl/>
        <w:spacing w:line="440" w:lineRule="exact"/>
        <w:ind w:firstLine="480" w:firstLineChars="200"/>
        <w:rPr>
          <w:rFonts w:ascii="宋体" w:hAnsi="宋体"/>
          <w:sz w:val="24"/>
          <w:lang w:val="zh-CN"/>
        </w:rPr>
      </w:pPr>
      <w:r>
        <w:rPr>
          <w:rFonts w:hint="eastAsia" w:ascii="宋体" w:hAnsi="宋体"/>
          <w:sz w:val="24"/>
          <w:lang w:val="zh-CN"/>
        </w:rPr>
        <w:t>4.3</w:t>
      </w:r>
      <w:r>
        <w:rPr>
          <w:rFonts w:ascii="宋体" w:hAnsi="宋体"/>
          <w:sz w:val="24"/>
          <w:lang w:val="zh-CN"/>
        </w:rPr>
        <w:t>设计内容</w:t>
      </w:r>
      <w:r>
        <w:rPr>
          <w:rFonts w:hint="eastAsia" w:ascii="宋体" w:hAnsi="宋体"/>
          <w:sz w:val="24"/>
          <w:lang w:val="zh-CN"/>
        </w:rPr>
        <w:t>及工作范围</w:t>
      </w:r>
      <w:r>
        <w:rPr>
          <w:rFonts w:ascii="宋体" w:hAnsi="宋体"/>
          <w:sz w:val="24"/>
          <w:lang w:val="zh-CN"/>
        </w:rPr>
        <w:t>：</w:t>
      </w:r>
    </w:p>
    <w:p w14:paraId="5F6359AE">
      <w:pPr>
        <w:widowControl/>
        <w:spacing w:line="440" w:lineRule="exact"/>
        <w:ind w:firstLine="480" w:firstLineChars="200"/>
        <w:rPr>
          <w:rFonts w:ascii="宋体" w:hAnsi="宋体"/>
          <w:sz w:val="24"/>
          <w:lang w:val="zh-TW"/>
        </w:rPr>
      </w:pPr>
      <w:r>
        <w:rPr>
          <w:rFonts w:hint="eastAsia" w:ascii="宋体" w:hAnsi="宋体"/>
          <w:sz w:val="24"/>
        </w:rPr>
        <w:t>4.3.1</w:t>
      </w:r>
      <w:r>
        <w:rPr>
          <w:rFonts w:hint="eastAsia" w:ascii="宋体" w:hAnsi="宋体"/>
          <w:sz w:val="24"/>
          <w:lang w:val="zh-TW" w:eastAsia="zh-TW"/>
        </w:rPr>
        <w:t>根据国网重庆市电力公司</w:t>
      </w:r>
      <w:r>
        <w:rPr>
          <w:rFonts w:hint="eastAsia" w:ascii="宋体" w:hAnsi="宋体"/>
          <w:sz w:val="24"/>
        </w:rPr>
        <w:t>长寿</w:t>
      </w:r>
      <w:r>
        <w:rPr>
          <w:rFonts w:hint="eastAsia" w:ascii="宋体" w:hAnsi="宋体"/>
          <w:sz w:val="24"/>
          <w:lang w:val="zh-TW" w:eastAsia="zh-TW"/>
        </w:rPr>
        <w:t>供电分公司</w:t>
      </w:r>
      <w:r>
        <w:rPr>
          <w:rFonts w:hint="eastAsia" w:ascii="宋体" w:hAnsi="宋体"/>
          <w:sz w:val="24"/>
        </w:rPr>
        <w:t>增容供电方案</w:t>
      </w:r>
      <w:r>
        <w:rPr>
          <w:rFonts w:hint="eastAsia" w:ascii="宋体" w:hAnsi="宋体"/>
          <w:sz w:val="24"/>
          <w:lang w:val="zh-TW" w:eastAsia="zh-TW"/>
        </w:rPr>
        <w:t>进行</w:t>
      </w:r>
      <w:r>
        <w:rPr>
          <w:rFonts w:hint="eastAsia" w:ascii="宋体" w:hAnsi="宋体"/>
          <w:sz w:val="24"/>
          <w:lang w:val="zh-TW"/>
        </w:rPr>
        <w:t>110kV国复变电站主变增容及设备装置大修技改工程</w:t>
      </w:r>
      <w:r>
        <w:rPr>
          <w:rFonts w:hint="eastAsia" w:ascii="宋体" w:hAnsi="宋体"/>
          <w:sz w:val="24"/>
        </w:rPr>
        <w:t>的</w:t>
      </w:r>
      <w:r>
        <w:rPr>
          <w:rFonts w:hint="eastAsia" w:ascii="宋体" w:hAnsi="宋体"/>
          <w:sz w:val="24"/>
          <w:lang w:val="zh-TW" w:eastAsia="zh-TW"/>
        </w:rPr>
        <w:t>施工图设计，具体包含</w:t>
      </w:r>
      <w:r>
        <w:rPr>
          <w:rFonts w:hint="eastAsia" w:ascii="宋体" w:hAnsi="宋体"/>
          <w:sz w:val="24"/>
          <w:lang w:val="zh-TW"/>
        </w:rPr>
        <w:t>：</w:t>
      </w:r>
    </w:p>
    <w:p w14:paraId="2907D1F7">
      <w:pPr>
        <w:widowControl/>
        <w:spacing w:line="440" w:lineRule="exact"/>
        <w:ind w:firstLine="480" w:firstLineChars="200"/>
        <w:rPr>
          <w:rFonts w:ascii="宋体" w:hAnsi="宋体"/>
          <w:sz w:val="24"/>
          <w:lang w:val="zh-TW" w:eastAsia="zh-TW"/>
        </w:rPr>
      </w:pPr>
      <w:r>
        <w:rPr>
          <w:rFonts w:hint="eastAsia" w:ascii="宋体" w:hAnsi="宋体"/>
          <w:sz w:val="24"/>
        </w:rPr>
        <w:t>(1).</w:t>
      </w:r>
      <w:r>
        <w:rPr>
          <w:rFonts w:hint="eastAsia" w:ascii="宋体" w:hAnsi="宋体"/>
          <w:sz w:val="24"/>
          <w:lang w:val="zh-TW" w:eastAsia="zh-TW"/>
        </w:rPr>
        <w:t>负责</w:t>
      </w:r>
      <w:r>
        <w:rPr>
          <w:rFonts w:hint="eastAsia" w:ascii="宋体" w:hAnsi="宋体"/>
          <w:sz w:val="24"/>
        </w:rPr>
        <w:t>配合</w:t>
      </w:r>
      <w:r>
        <w:rPr>
          <w:rFonts w:hint="eastAsia" w:ascii="宋体" w:hAnsi="宋体"/>
          <w:sz w:val="24"/>
          <w:lang w:val="zh-TW" w:eastAsia="zh-TW"/>
        </w:rPr>
        <w:t>办理</w:t>
      </w:r>
      <w:r>
        <w:rPr>
          <w:rFonts w:hint="eastAsia" w:ascii="宋体" w:hAnsi="宋体"/>
          <w:sz w:val="24"/>
        </w:rPr>
        <w:t>长寿</w:t>
      </w:r>
      <w:r>
        <w:rPr>
          <w:rFonts w:hint="eastAsia" w:ascii="宋体" w:hAnsi="宋体"/>
          <w:sz w:val="24"/>
          <w:lang w:val="zh-TW" w:eastAsia="zh-TW"/>
        </w:rPr>
        <w:t>供电分公司对该项目</w:t>
      </w:r>
      <w:r>
        <w:rPr>
          <w:rFonts w:hint="eastAsia" w:ascii="宋体" w:hAnsi="宋体"/>
          <w:sz w:val="24"/>
        </w:rPr>
        <w:t>增容供电方案手续，协助业主完成各项审批手续办理等工作；</w:t>
      </w:r>
    </w:p>
    <w:p w14:paraId="7D896344">
      <w:pPr>
        <w:widowControl/>
        <w:spacing w:line="440" w:lineRule="exact"/>
        <w:ind w:firstLine="480" w:firstLineChars="200"/>
        <w:rPr>
          <w:rFonts w:ascii="宋体" w:hAnsi="宋体"/>
          <w:sz w:val="24"/>
        </w:rPr>
      </w:pPr>
      <w:r>
        <w:rPr>
          <w:rFonts w:hint="eastAsia" w:ascii="宋体" w:hAnsi="宋体"/>
          <w:sz w:val="24"/>
        </w:rPr>
        <w:t>(2).变电站内改造工程</w:t>
      </w:r>
      <w:r>
        <w:rPr>
          <w:rFonts w:hint="eastAsia" w:ascii="宋体" w:hAnsi="宋体"/>
          <w:sz w:val="24"/>
          <w:lang w:val="zh-TW" w:eastAsia="zh-TW"/>
        </w:rPr>
        <w:t>相关的土建、电气设备及工程的设计，设计成果必须满足现行相关规范及行业主管部门要求</w:t>
      </w:r>
      <w:r>
        <w:rPr>
          <w:rFonts w:hint="eastAsia" w:ascii="宋体" w:hAnsi="宋体"/>
          <w:sz w:val="24"/>
          <w:lang w:val="zh-TW"/>
        </w:rPr>
        <w:t>；</w:t>
      </w:r>
    </w:p>
    <w:p w14:paraId="006F3DC4">
      <w:pPr>
        <w:widowControl/>
        <w:spacing w:line="440" w:lineRule="exact"/>
        <w:ind w:firstLine="480" w:firstLineChars="200"/>
        <w:rPr>
          <w:rFonts w:ascii="宋体" w:hAnsi="宋体"/>
          <w:sz w:val="24"/>
          <w:lang w:val="zh-TW"/>
        </w:rPr>
      </w:pPr>
      <w:r>
        <w:rPr>
          <w:rFonts w:hint="eastAsia" w:ascii="宋体" w:hAnsi="宋体"/>
          <w:sz w:val="24"/>
        </w:rPr>
        <w:t>(3).</w:t>
      </w:r>
      <w:r>
        <w:rPr>
          <w:rFonts w:hint="eastAsia" w:ascii="宋体" w:hAnsi="宋体"/>
          <w:sz w:val="24"/>
          <w:lang w:val="zh-TW" w:eastAsia="zh-TW"/>
        </w:rPr>
        <w:t>负责完成本工程施工图设计及国网重庆市电力公司</w:t>
      </w:r>
      <w:r>
        <w:rPr>
          <w:rFonts w:hint="eastAsia" w:ascii="宋体" w:hAnsi="宋体"/>
          <w:sz w:val="24"/>
        </w:rPr>
        <w:t>长寿</w:t>
      </w:r>
      <w:r>
        <w:rPr>
          <w:rFonts w:hint="eastAsia" w:ascii="宋体" w:hAnsi="宋体"/>
          <w:sz w:val="24"/>
          <w:lang w:val="zh-TW" w:eastAsia="zh-TW"/>
        </w:rPr>
        <w:t>供电分公司的审图工作</w:t>
      </w:r>
      <w:r>
        <w:rPr>
          <w:rFonts w:hint="eastAsia" w:ascii="宋体" w:hAnsi="宋体"/>
          <w:sz w:val="24"/>
        </w:rPr>
        <w:t>并根据审查意见进行修改，</w:t>
      </w:r>
      <w:r>
        <w:rPr>
          <w:rFonts w:hint="eastAsia" w:ascii="宋体" w:hAnsi="宋体"/>
          <w:sz w:val="24"/>
          <w:lang w:val="zh-TW" w:eastAsia="zh-TW"/>
        </w:rPr>
        <w:t>对施工图质量负责</w:t>
      </w:r>
      <w:r>
        <w:rPr>
          <w:rFonts w:hint="eastAsia" w:ascii="宋体" w:hAnsi="宋体"/>
          <w:sz w:val="24"/>
          <w:lang w:val="zh-TW"/>
        </w:rPr>
        <w:t>；</w:t>
      </w:r>
    </w:p>
    <w:p w14:paraId="43D6174F">
      <w:pPr>
        <w:widowControl/>
        <w:spacing w:line="440" w:lineRule="exact"/>
        <w:ind w:firstLine="480" w:firstLineChars="200"/>
        <w:rPr>
          <w:rFonts w:ascii="宋体" w:hAnsi="宋体"/>
          <w:sz w:val="24"/>
        </w:rPr>
      </w:pPr>
      <w:r>
        <w:rPr>
          <w:rFonts w:hint="eastAsia" w:ascii="宋体" w:hAnsi="宋体"/>
          <w:sz w:val="24"/>
        </w:rPr>
        <w:t>(4).根据现场实际采购设备进行调整的基础土建和电气线路进行二次深化设计服务；</w:t>
      </w:r>
    </w:p>
    <w:p w14:paraId="3E6F8BCF">
      <w:pPr>
        <w:widowControl/>
        <w:spacing w:line="440" w:lineRule="exact"/>
        <w:ind w:firstLine="480" w:firstLineChars="200"/>
        <w:rPr>
          <w:rFonts w:ascii="宋体" w:hAnsi="宋体"/>
          <w:sz w:val="24"/>
        </w:rPr>
      </w:pPr>
      <w:r>
        <w:rPr>
          <w:rFonts w:hint="eastAsia" w:ascii="宋体" w:hAnsi="宋体"/>
          <w:sz w:val="24"/>
        </w:rPr>
        <w:t>(5).施工过程至项目竣工验收全过程的相关服务（含设计交底、设计变更、现场服务、招标阶段的咨询服务等）。</w:t>
      </w:r>
    </w:p>
    <w:p w14:paraId="580D8336">
      <w:pPr>
        <w:widowControl/>
        <w:spacing w:line="440" w:lineRule="exact"/>
        <w:ind w:firstLine="480" w:firstLineChars="200"/>
        <w:rPr>
          <w:rFonts w:ascii="宋体" w:hAnsi="宋体"/>
          <w:sz w:val="24"/>
        </w:rPr>
      </w:pPr>
      <w:r>
        <w:rPr>
          <w:rFonts w:hint="eastAsia" w:ascii="宋体" w:hAnsi="宋体"/>
          <w:sz w:val="24"/>
        </w:rPr>
        <w:t>4.3.2施工图预算编制依据：</w:t>
      </w:r>
    </w:p>
    <w:p w14:paraId="631DFBA2">
      <w:pPr>
        <w:widowControl/>
        <w:spacing w:line="440" w:lineRule="exact"/>
        <w:ind w:firstLine="480" w:firstLineChars="200"/>
        <w:rPr>
          <w:rFonts w:ascii="宋体" w:hAnsi="宋体"/>
          <w:sz w:val="24"/>
          <w:lang w:val="zh-CN"/>
        </w:rPr>
      </w:pPr>
      <w:r>
        <w:rPr>
          <w:rFonts w:hint="eastAsia" w:ascii="宋体" w:hAnsi="宋体"/>
          <w:sz w:val="24"/>
        </w:rPr>
        <w:t>图纸全部工程按《输变电工程工程量清单计价规范》（Q/GDW11337-2023）及《变电工程工程量计算规范》（Q/GDW11338-2023）为依据，根据（2018年版）《电网工程建设预算编制与计算标准》、（2018年版）《电力建设工程预算定额 建筑工程》、（2018年版）《电力建设工程预算定额 电气设备安装工程》、（2018年版）《电力建设工程预算定额 调试工程》、（2018年版）《电力建设工程预算定额 通信工程》、新版工程量清单《国家电网企管（2015）106号》、《转发定额总站&lt;电力工程造价与定额管理总站关于发布电力工程计价依据营业税改增值税估价表&gt;的通知》（国家电网电定（2017）2号文）、《关于调整电力工程计价依据增值税税率的通知》结合市场行情进行编制。</w:t>
      </w:r>
    </w:p>
    <w:p w14:paraId="6AE6BB41">
      <w:pPr>
        <w:widowControl/>
        <w:spacing w:line="440" w:lineRule="exact"/>
        <w:ind w:firstLine="480" w:firstLineChars="200"/>
        <w:rPr>
          <w:rFonts w:ascii="宋体" w:hAnsi="宋体"/>
          <w:b/>
          <w:bCs/>
          <w:sz w:val="24"/>
        </w:rPr>
      </w:pPr>
      <w:r>
        <w:rPr>
          <w:rFonts w:hint="eastAsia" w:ascii="宋体" w:hAnsi="宋体"/>
          <w:sz w:val="24"/>
          <w:lang w:val="zh-CN"/>
        </w:rPr>
        <w:t xml:space="preserve"> </w:t>
      </w:r>
      <w:r>
        <w:rPr>
          <w:rFonts w:ascii="宋体" w:hAnsi="宋体"/>
          <w:b/>
          <w:bCs/>
          <w:sz w:val="24"/>
        </w:rPr>
        <w:t>第五条  建设方向设计人提交的有关资料、文件及时间</w:t>
      </w:r>
    </w:p>
    <w:p w14:paraId="12165161">
      <w:pPr>
        <w:spacing w:line="440" w:lineRule="exact"/>
        <w:ind w:firstLine="480" w:firstLineChars="200"/>
        <w:rPr>
          <w:rFonts w:ascii="宋体" w:hAnsi="宋体"/>
          <w:sz w:val="24"/>
          <w:lang w:val="zh-CN"/>
        </w:rPr>
      </w:pPr>
      <w:r>
        <w:rPr>
          <w:rFonts w:hint="eastAsia" w:ascii="宋体" w:hAnsi="宋体"/>
          <w:sz w:val="24"/>
          <w:lang w:val="zh-CN"/>
        </w:rPr>
        <w:t>合同生效后3天内，设计人向建设方提供设计所需的《资料清单》</w:t>
      </w:r>
      <w:r>
        <w:rPr>
          <w:rFonts w:ascii="宋体" w:hAnsi="宋体"/>
          <w:sz w:val="24"/>
          <w:lang w:val="zh-CN"/>
        </w:rPr>
        <w:t>，</w:t>
      </w:r>
      <w:r>
        <w:rPr>
          <w:rFonts w:hint="eastAsia" w:ascii="宋体" w:hAnsi="宋体"/>
          <w:sz w:val="24"/>
          <w:lang w:val="zh-CN"/>
        </w:rPr>
        <w:t>建设方收到该清单后</w:t>
      </w:r>
      <w:r>
        <w:rPr>
          <w:rFonts w:ascii="宋体" w:hAnsi="宋体"/>
          <w:sz w:val="24"/>
          <w:lang w:val="zh-CN"/>
        </w:rPr>
        <w:t>7</w:t>
      </w:r>
      <w:r>
        <w:rPr>
          <w:rFonts w:hint="eastAsia" w:ascii="宋体" w:hAnsi="宋体"/>
          <w:sz w:val="24"/>
          <w:lang w:val="zh-CN"/>
        </w:rPr>
        <w:t>日内，按设计人提供的《资料清单》要求提交相应的资料、文件。</w:t>
      </w:r>
    </w:p>
    <w:p w14:paraId="189F3226">
      <w:pPr>
        <w:spacing w:line="440" w:lineRule="exact"/>
        <w:ind w:firstLine="482" w:firstLineChars="200"/>
        <w:rPr>
          <w:rFonts w:ascii="宋体" w:hAnsi="宋体"/>
          <w:b/>
          <w:bCs/>
          <w:sz w:val="24"/>
        </w:rPr>
      </w:pPr>
      <w:r>
        <w:rPr>
          <w:rFonts w:ascii="宋体" w:hAnsi="宋体"/>
          <w:b/>
          <w:bCs/>
          <w:sz w:val="24"/>
        </w:rPr>
        <w:t>第六条  设计人向建设方交付的设计文件、份数、地点及时间</w:t>
      </w:r>
    </w:p>
    <w:p w14:paraId="206043B8">
      <w:pPr>
        <w:widowControl/>
        <w:spacing w:line="440" w:lineRule="exact"/>
        <w:ind w:firstLine="600" w:firstLineChars="250"/>
        <w:rPr>
          <w:rFonts w:ascii="宋体" w:hAnsi="宋体"/>
          <w:sz w:val="24"/>
          <w:lang w:val="zh-CN"/>
        </w:rPr>
      </w:pPr>
      <w:r>
        <w:rPr>
          <w:rFonts w:hint="eastAsia" w:ascii="宋体" w:hAnsi="宋体"/>
          <w:sz w:val="24"/>
          <w:lang w:val="zh-CN"/>
        </w:rPr>
        <w:t>6</w:t>
      </w:r>
      <w:r>
        <w:rPr>
          <w:rFonts w:ascii="宋体" w:hAnsi="宋体"/>
          <w:sz w:val="24"/>
          <w:lang w:val="zh-CN"/>
        </w:rPr>
        <w:t>.1</w:t>
      </w:r>
      <w:r>
        <w:rPr>
          <w:rFonts w:hint="eastAsia" w:ascii="宋体" w:hAnsi="宋体"/>
          <w:sz w:val="24"/>
          <w:lang w:val="zh-CN"/>
        </w:rPr>
        <w:t>提供的</w:t>
      </w:r>
      <w:r>
        <w:rPr>
          <w:rFonts w:ascii="宋体" w:hAnsi="宋体"/>
          <w:sz w:val="24"/>
          <w:lang w:val="zh-CN"/>
        </w:rPr>
        <w:t>设计文件</w:t>
      </w:r>
    </w:p>
    <w:p w14:paraId="2CCC67B5">
      <w:pPr>
        <w:widowControl/>
        <w:spacing w:line="440" w:lineRule="exact"/>
        <w:ind w:firstLine="480" w:firstLineChars="200"/>
        <w:rPr>
          <w:rFonts w:ascii="宋体" w:hAnsi="宋体"/>
          <w:sz w:val="24"/>
          <w:lang w:val="zh-CN"/>
        </w:rPr>
      </w:pPr>
      <w:r>
        <w:rPr>
          <w:rFonts w:hint="eastAsia" w:ascii="宋体" w:hAnsi="宋体"/>
          <w:sz w:val="24"/>
          <w:lang w:val="zh-CN"/>
        </w:rPr>
        <w:t>初步设计文件及项目概算、施工图设计文件</w:t>
      </w:r>
    </w:p>
    <w:p w14:paraId="182AE1DF">
      <w:pPr>
        <w:widowControl/>
        <w:spacing w:line="440" w:lineRule="exact"/>
        <w:ind w:firstLine="600" w:firstLineChars="250"/>
        <w:rPr>
          <w:rFonts w:ascii="宋体" w:hAnsi="宋体"/>
          <w:sz w:val="24"/>
          <w:lang w:val="zh-CN"/>
        </w:rPr>
      </w:pPr>
      <w:r>
        <w:rPr>
          <w:rFonts w:hint="eastAsia" w:ascii="宋体" w:hAnsi="宋体"/>
          <w:sz w:val="24"/>
          <w:lang w:val="zh-CN"/>
        </w:rPr>
        <w:t>6.2设计工期</w:t>
      </w:r>
    </w:p>
    <w:p w14:paraId="0150B6A9">
      <w:pPr>
        <w:widowControl/>
        <w:spacing w:line="440" w:lineRule="exact"/>
        <w:ind w:firstLine="600" w:firstLineChars="250"/>
        <w:rPr>
          <w:rFonts w:ascii="宋体" w:hAnsi="宋体"/>
          <w:sz w:val="24"/>
          <w:lang w:val="zh-CN"/>
        </w:rPr>
      </w:pPr>
      <w:r>
        <w:rPr>
          <w:rFonts w:hint="eastAsia" w:ascii="宋体" w:hAnsi="宋体"/>
          <w:sz w:val="24"/>
          <w:lang w:val="zh-CN"/>
        </w:rPr>
        <w:t>设计周期：合同签订后</w:t>
      </w:r>
      <w:r>
        <w:rPr>
          <w:rFonts w:hint="eastAsia" w:ascii="宋体" w:hAnsi="宋体"/>
          <w:sz w:val="24"/>
        </w:rPr>
        <w:t>30</w:t>
      </w:r>
      <w:r>
        <w:rPr>
          <w:rFonts w:hint="eastAsia" w:ascii="宋体" w:hAnsi="宋体"/>
          <w:sz w:val="24"/>
          <w:lang w:val="zh-CN"/>
        </w:rPr>
        <w:t>日历天内完成初步设计，合同签订后</w:t>
      </w:r>
      <w:r>
        <w:rPr>
          <w:rFonts w:hint="eastAsia" w:ascii="宋体" w:hAnsi="宋体"/>
          <w:sz w:val="24"/>
        </w:rPr>
        <w:t>6</w:t>
      </w:r>
      <w:r>
        <w:rPr>
          <w:rFonts w:hint="eastAsia" w:ascii="宋体" w:hAnsi="宋体"/>
          <w:sz w:val="24"/>
          <w:lang w:val="zh-CN"/>
        </w:rPr>
        <w:t>0日历天内提供正式</w:t>
      </w:r>
      <w:r>
        <w:rPr>
          <w:rFonts w:hint="eastAsia" w:ascii="宋体" w:hAnsi="宋体"/>
          <w:snapToGrid w:val="0"/>
          <w:kern w:val="0"/>
          <w:sz w:val="24"/>
        </w:rPr>
        <w:t>施工图设计设计文件</w:t>
      </w:r>
      <w:r>
        <w:rPr>
          <w:rFonts w:hint="eastAsia" w:ascii="宋体" w:hAnsi="宋体"/>
          <w:sz w:val="24"/>
          <w:lang w:val="zh-CN"/>
        </w:rPr>
        <w:t>及</w:t>
      </w:r>
      <w:r>
        <w:rPr>
          <w:rFonts w:hint="eastAsia" w:ascii="宋体" w:hAnsi="宋体"/>
          <w:sz w:val="24"/>
        </w:rPr>
        <w:t>施工图概算</w:t>
      </w:r>
      <w:r>
        <w:rPr>
          <w:rFonts w:hint="eastAsia" w:ascii="宋体" w:hAnsi="宋体"/>
          <w:snapToGrid w:val="0"/>
          <w:kern w:val="0"/>
          <w:sz w:val="24"/>
        </w:rPr>
        <w:t>。</w:t>
      </w:r>
    </w:p>
    <w:p w14:paraId="2D7D4162">
      <w:pPr>
        <w:widowControl/>
        <w:spacing w:line="440" w:lineRule="exact"/>
        <w:ind w:firstLine="600" w:firstLineChars="250"/>
        <w:rPr>
          <w:rFonts w:ascii="宋体" w:hAnsi="宋体"/>
          <w:sz w:val="24"/>
          <w:lang w:val="zh-CN"/>
        </w:rPr>
      </w:pPr>
      <w:r>
        <w:rPr>
          <w:rFonts w:hint="eastAsia" w:ascii="宋体" w:hAnsi="宋体"/>
          <w:sz w:val="24"/>
          <w:lang w:val="zh-CN"/>
        </w:rPr>
        <w:t>6.3设计文件及</w:t>
      </w:r>
      <w:r>
        <w:rPr>
          <w:rFonts w:ascii="宋体" w:hAnsi="宋体"/>
          <w:sz w:val="24"/>
          <w:lang w:val="zh-CN"/>
        </w:rPr>
        <w:t>份数</w:t>
      </w:r>
    </w:p>
    <w:p w14:paraId="0A52FD93">
      <w:pPr>
        <w:widowControl/>
        <w:spacing w:line="440" w:lineRule="exact"/>
        <w:ind w:firstLine="600" w:firstLineChars="250"/>
        <w:rPr>
          <w:rFonts w:ascii="宋体" w:hAnsi="宋体"/>
          <w:sz w:val="24"/>
          <w:lang w:val="zh-CN"/>
        </w:rPr>
      </w:pPr>
      <w:r>
        <w:rPr>
          <w:rFonts w:hint="eastAsia" w:ascii="宋体" w:hAnsi="宋体"/>
          <w:sz w:val="24"/>
          <w:lang w:val="zh-CN"/>
        </w:rPr>
        <w:t>6.3.1施工图</w:t>
      </w:r>
      <w:r>
        <w:rPr>
          <w:rFonts w:ascii="宋体" w:hAnsi="宋体"/>
          <w:sz w:val="24"/>
          <w:lang w:val="zh-CN"/>
        </w:rPr>
        <w:t>设计文件一式</w:t>
      </w:r>
      <w:r>
        <w:rPr>
          <w:rFonts w:hint="eastAsia" w:ascii="宋体" w:hAnsi="宋体"/>
          <w:sz w:val="24"/>
        </w:rPr>
        <w:t>5</w:t>
      </w:r>
      <w:r>
        <w:rPr>
          <w:rFonts w:hint="eastAsia" w:ascii="宋体" w:hAnsi="宋体"/>
          <w:sz w:val="24"/>
          <w:lang w:val="zh-CN"/>
        </w:rPr>
        <w:t>份</w:t>
      </w:r>
      <w:r>
        <w:rPr>
          <w:rFonts w:hint="eastAsia" w:ascii="宋体" w:hAnsi="宋体"/>
          <w:b/>
          <w:bCs/>
          <w:sz w:val="24"/>
          <w:lang w:val="zh-CN"/>
        </w:rPr>
        <w:t>（A</w:t>
      </w:r>
      <w:r>
        <w:rPr>
          <w:rFonts w:hint="eastAsia" w:ascii="宋体" w:hAnsi="宋体"/>
          <w:b/>
          <w:bCs/>
          <w:sz w:val="24"/>
        </w:rPr>
        <w:t>3蓝图</w:t>
      </w:r>
      <w:r>
        <w:rPr>
          <w:rFonts w:hint="eastAsia" w:ascii="宋体" w:hAnsi="宋体"/>
          <w:b/>
          <w:bCs/>
          <w:sz w:val="24"/>
          <w:lang w:val="zh-CN"/>
        </w:rPr>
        <w:t>装订文件</w:t>
      </w:r>
      <w:r>
        <w:rPr>
          <w:rFonts w:hint="eastAsia" w:ascii="宋体" w:hAnsi="宋体"/>
          <w:b/>
          <w:bCs/>
          <w:sz w:val="24"/>
        </w:rPr>
        <w:t>5</w:t>
      </w:r>
      <w:r>
        <w:rPr>
          <w:rFonts w:hint="eastAsia" w:ascii="宋体" w:hAnsi="宋体"/>
          <w:b/>
          <w:bCs/>
          <w:sz w:val="24"/>
          <w:lang w:val="zh-CN"/>
        </w:rPr>
        <w:t>份）</w:t>
      </w:r>
    </w:p>
    <w:p w14:paraId="6320F673">
      <w:pPr>
        <w:widowControl/>
        <w:spacing w:line="440" w:lineRule="exact"/>
        <w:ind w:firstLine="600" w:firstLineChars="250"/>
        <w:rPr>
          <w:rFonts w:ascii="宋体" w:hAnsi="宋体"/>
          <w:sz w:val="24"/>
          <w:lang w:val="zh-CN"/>
        </w:rPr>
      </w:pPr>
      <w:r>
        <w:rPr>
          <w:rFonts w:hint="eastAsia" w:ascii="宋体" w:hAnsi="宋体"/>
          <w:sz w:val="24"/>
          <w:lang w:val="zh-CN"/>
        </w:rPr>
        <w:t>6.3.2电子</w:t>
      </w:r>
      <w:r>
        <w:rPr>
          <w:rFonts w:ascii="宋体" w:hAnsi="宋体"/>
          <w:sz w:val="24"/>
          <w:lang w:val="zh-CN"/>
        </w:rPr>
        <w:t>文件光盘</w:t>
      </w:r>
      <w:r>
        <w:rPr>
          <w:rFonts w:hint="eastAsia" w:ascii="宋体" w:hAnsi="宋体"/>
          <w:sz w:val="24"/>
          <w:lang w:val="zh-CN"/>
        </w:rPr>
        <w:t>1张</w:t>
      </w:r>
      <w:r>
        <w:rPr>
          <w:rFonts w:hint="eastAsia" w:ascii="宋体" w:hAnsi="宋体"/>
          <w:b/>
          <w:bCs/>
          <w:sz w:val="24"/>
          <w:lang w:val="zh-CN"/>
        </w:rPr>
        <w:t>（需包含签章版P</w:t>
      </w:r>
      <w:r>
        <w:rPr>
          <w:rFonts w:ascii="宋体" w:hAnsi="宋体"/>
          <w:b/>
          <w:bCs/>
          <w:sz w:val="24"/>
          <w:lang w:val="zh-CN"/>
        </w:rPr>
        <w:t>DF</w:t>
      </w:r>
      <w:r>
        <w:rPr>
          <w:rFonts w:hint="eastAsia" w:ascii="宋体" w:hAnsi="宋体"/>
          <w:b/>
          <w:bCs/>
          <w:sz w:val="24"/>
          <w:lang w:val="zh-CN"/>
        </w:rPr>
        <w:t>文件）</w:t>
      </w:r>
      <w:r>
        <w:rPr>
          <w:rFonts w:ascii="宋体" w:hAnsi="宋体"/>
          <w:sz w:val="24"/>
          <w:lang w:val="zh-CN"/>
        </w:rPr>
        <w:t>；</w:t>
      </w:r>
    </w:p>
    <w:p w14:paraId="63BFC446">
      <w:pPr>
        <w:widowControl/>
        <w:spacing w:line="440" w:lineRule="exact"/>
        <w:ind w:firstLine="600" w:firstLineChars="250"/>
        <w:rPr>
          <w:rFonts w:ascii="宋体" w:hAnsi="宋体"/>
          <w:sz w:val="24"/>
          <w:lang w:val="zh-CN"/>
        </w:rPr>
      </w:pPr>
      <w:r>
        <w:rPr>
          <w:rFonts w:hint="eastAsia" w:ascii="宋体" w:hAnsi="宋体"/>
          <w:sz w:val="24"/>
          <w:lang w:val="zh-CN"/>
        </w:rPr>
        <w:t>6.3.3超出</w:t>
      </w:r>
      <w:r>
        <w:rPr>
          <w:rFonts w:ascii="宋体" w:hAnsi="宋体"/>
          <w:sz w:val="24"/>
          <w:lang w:val="zh-CN"/>
        </w:rPr>
        <w:t>约定</w:t>
      </w:r>
      <w:r>
        <w:rPr>
          <w:rFonts w:hint="eastAsia" w:ascii="宋体" w:hAnsi="宋体"/>
          <w:sz w:val="24"/>
          <w:lang w:val="zh-CN"/>
        </w:rPr>
        <w:t>提交</w:t>
      </w:r>
      <w:r>
        <w:rPr>
          <w:rFonts w:ascii="宋体" w:hAnsi="宋体"/>
          <w:sz w:val="24"/>
          <w:lang w:val="zh-CN"/>
        </w:rPr>
        <w:t>设计文件</w:t>
      </w:r>
      <w:r>
        <w:rPr>
          <w:rFonts w:hint="eastAsia" w:ascii="宋体" w:hAnsi="宋体"/>
          <w:sz w:val="24"/>
          <w:lang w:val="zh-CN"/>
        </w:rPr>
        <w:t>，</w:t>
      </w:r>
      <w:r>
        <w:rPr>
          <w:rFonts w:ascii="宋体" w:hAnsi="宋体"/>
          <w:sz w:val="24"/>
          <w:lang w:val="zh-CN"/>
        </w:rPr>
        <w:t>建设方支付工本费。</w:t>
      </w:r>
    </w:p>
    <w:p w14:paraId="4EB868C5">
      <w:pPr>
        <w:widowControl/>
        <w:spacing w:line="440" w:lineRule="exact"/>
        <w:ind w:firstLine="600" w:firstLineChars="250"/>
        <w:rPr>
          <w:rFonts w:ascii="宋体" w:hAnsi="宋体"/>
          <w:sz w:val="24"/>
          <w:lang w:val="zh-CN"/>
        </w:rPr>
      </w:pPr>
      <w:r>
        <w:rPr>
          <w:rFonts w:hint="eastAsia" w:ascii="宋体" w:hAnsi="宋体"/>
          <w:sz w:val="24"/>
          <w:lang w:val="zh-CN"/>
        </w:rPr>
        <w:t>6.4设计文件交付地点：</w:t>
      </w:r>
      <w:r>
        <w:rPr>
          <w:rFonts w:hint="eastAsia" w:ascii="宋体" w:hAnsi="宋体"/>
          <w:sz w:val="24"/>
          <w:u w:val="words"/>
        </w:rPr>
        <w:t>重庆市长寿区经开区齐心大道25号</w:t>
      </w:r>
    </w:p>
    <w:p w14:paraId="08BAFD31">
      <w:pPr>
        <w:spacing w:line="440" w:lineRule="exact"/>
        <w:ind w:firstLine="480" w:firstLineChars="200"/>
        <w:rPr>
          <w:rFonts w:ascii="宋体" w:hAnsi="宋体"/>
          <w:b/>
          <w:bCs/>
          <w:sz w:val="24"/>
        </w:rPr>
      </w:pPr>
      <w:r>
        <w:rPr>
          <w:rFonts w:ascii="宋体" w:hAnsi="宋体"/>
          <w:sz w:val="24"/>
          <w:lang w:val="zh-CN"/>
        </w:rPr>
        <w:t xml:space="preserve"> </w:t>
      </w:r>
      <w:r>
        <w:rPr>
          <w:rFonts w:ascii="宋体" w:hAnsi="宋体"/>
          <w:b/>
          <w:bCs/>
          <w:sz w:val="24"/>
        </w:rPr>
        <w:t>第七条  费用</w:t>
      </w:r>
    </w:p>
    <w:p w14:paraId="1408910D">
      <w:pPr>
        <w:widowControl/>
        <w:spacing w:line="440" w:lineRule="exact"/>
        <w:ind w:firstLine="480" w:firstLineChars="200"/>
        <w:rPr>
          <w:rFonts w:ascii="宋体" w:hAnsi="宋体"/>
          <w:sz w:val="24"/>
          <w:lang w:val="zh-CN"/>
        </w:rPr>
      </w:pPr>
      <w:r>
        <w:rPr>
          <w:rFonts w:ascii="宋体" w:hAnsi="宋体"/>
          <w:sz w:val="24"/>
          <w:lang w:val="zh-CN"/>
        </w:rPr>
        <w:t>7.1</w:t>
      </w:r>
      <w:r>
        <w:rPr>
          <w:rFonts w:hint="eastAsia" w:ascii="宋体" w:hAnsi="宋体"/>
          <w:sz w:val="24"/>
          <w:lang w:val="zh-CN"/>
        </w:rPr>
        <w:t>双方商定，本合同的总设计费为人民币</w:t>
      </w:r>
      <w:r>
        <w:rPr>
          <w:rFonts w:ascii="宋体" w:hAnsi="宋体"/>
          <w:b/>
          <w:sz w:val="24"/>
          <w:u w:val="single"/>
          <w:lang w:val="zh-CN"/>
        </w:rPr>
        <w:t xml:space="preserve">                 </w:t>
      </w:r>
      <w:r>
        <w:rPr>
          <w:rFonts w:ascii="宋体" w:hAnsi="宋体"/>
          <w:sz w:val="24"/>
          <w:lang w:val="zh-CN"/>
        </w:rPr>
        <w:t>。</w:t>
      </w:r>
      <w:r>
        <w:rPr>
          <w:rFonts w:hint="eastAsia" w:ascii="宋体" w:hAnsi="宋体"/>
          <w:sz w:val="24"/>
          <w:lang w:val="zh-CN"/>
        </w:rPr>
        <w:t>此合同为固定总价合同。</w:t>
      </w:r>
      <w:r>
        <w:rPr>
          <w:rFonts w:ascii="宋体" w:hAnsi="宋体"/>
          <w:sz w:val="24"/>
          <w:lang w:val="zh-CN"/>
        </w:rPr>
        <w:t xml:space="preserve"> </w:t>
      </w:r>
    </w:p>
    <w:p w14:paraId="7FB465F8">
      <w:pPr>
        <w:spacing w:line="440" w:lineRule="exact"/>
        <w:ind w:firstLine="482" w:firstLineChars="200"/>
        <w:rPr>
          <w:rFonts w:ascii="宋体" w:hAnsi="宋体"/>
          <w:b/>
          <w:bCs/>
          <w:sz w:val="24"/>
        </w:rPr>
      </w:pPr>
      <w:r>
        <w:rPr>
          <w:rFonts w:ascii="宋体" w:hAnsi="宋体"/>
          <w:b/>
          <w:bCs/>
          <w:sz w:val="24"/>
        </w:rPr>
        <w:t>第八条  支付方式</w:t>
      </w:r>
    </w:p>
    <w:p w14:paraId="321FB114">
      <w:pPr>
        <w:widowControl/>
        <w:spacing w:line="440" w:lineRule="exact"/>
        <w:ind w:firstLine="480" w:firstLineChars="200"/>
        <w:rPr>
          <w:rFonts w:ascii="宋体" w:hAnsi="宋体"/>
          <w:sz w:val="24"/>
          <w:lang w:val="zh-CN"/>
        </w:rPr>
      </w:pPr>
      <w:r>
        <w:rPr>
          <w:rFonts w:ascii="宋体" w:hAnsi="宋体"/>
          <w:sz w:val="24"/>
          <w:lang w:val="zh-CN"/>
        </w:rPr>
        <w:t>8.1</w:t>
      </w:r>
      <w:r>
        <w:rPr>
          <w:rFonts w:hint="eastAsia" w:ascii="宋体" w:hAnsi="宋体"/>
          <w:sz w:val="24"/>
          <w:lang w:val="zh-CN"/>
        </w:rPr>
        <w:t>设计人将本项目全套合格施工图设计资料文件交于建设方，建设方在</w:t>
      </w:r>
      <w:r>
        <w:rPr>
          <w:rFonts w:ascii="宋体" w:hAnsi="宋体"/>
          <w:sz w:val="24"/>
          <w:lang w:val="zh-CN"/>
        </w:rPr>
        <w:t>，30</w:t>
      </w:r>
      <w:r>
        <w:rPr>
          <w:rFonts w:hint="eastAsia" w:ascii="宋体" w:hAnsi="宋体"/>
          <w:sz w:val="24"/>
          <w:lang w:val="zh-CN"/>
        </w:rPr>
        <w:t>天内支付合同金额的</w:t>
      </w:r>
      <w:r>
        <w:rPr>
          <w:rFonts w:ascii="宋体" w:hAnsi="宋体"/>
          <w:sz w:val="24"/>
          <w:lang w:val="zh-CN"/>
        </w:rPr>
        <w:t>70</w:t>
      </w:r>
      <w:r>
        <w:rPr>
          <w:rFonts w:hint="eastAsia" w:ascii="宋体" w:hAnsi="宋体"/>
          <w:sz w:val="24"/>
          <w:lang w:val="zh-CN"/>
        </w:rPr>
        <w:t>%，计</w:t>
      </w:r>
      <w:r>
        <w:rPr>
          <w:rFonts w:hint="eastAsia" w:ascii="宋体" w:hAnsi="宋体"/>
          <w:b/>
          <w:sz w:val="24"/>
          <w:u w:val="single"/>
          <w:lang w:val="zh-CN"/>
        </w:rPr>
        <w:t xml:space="preserve"> </w:t>
      </w:r>
      <w:r>
        <w:rPr>
          <w:rFonts w:ascii="宋体" w:hAnsi="宋体"/>
          <w:b/>
          <w:sz w:val="24"/>
          <w:u w:val="single"/>
          <w:lang w:val="zh-CN"/>
        </w:rPr>
        <w:t xml:space="preserve">          </w:t>
      </w:r>
      <w:r>
        <w:rPr>
          <w:rFonts w:hint="eastAsia" w:ascii="宋体" w:hAnsi="宋体"/>
          <w:b/>
          <w:sz w:val="24"/>
          <w:u w:val="single"/>
          <w:lang w:val="zh-CN"/>
        </w:rPr>
        <w:t xml:space="preserve">元（大写： </w:t>
      </w:r>
      <w:r>
        <w:rPr>
          <w:rFonts w:ascii="宋体" w:hAnsi="宋体"/>
          <w:b/>
          <w:sz w:val="24"/>
          <w:u w:val="single"/>
          <w:lang w:val="zh-CN"/>
        </w:rPr>
        <w:t xml:space="preserve">                  </w:t>
      </w:r>
      <w:r>
        <w:rPr>
          <w:rFonts w:hint="eastAsia" w:ascii="宋体" w:hAnsi="宋体"/>
          <w:b/>
          <w:sz w:val="24"/>
          <w:u w:val="single"/>
          <w:lang w:val="zh-CN"/>
        </w:rPr>
        <w:t>）</w:t>
      </w:r>
      <w:r>
        <w:rPr>
          <w:rFonts w:hint="eastAsia" w:ascii="宋体" w:hAnsi="宋体"/>
          <w:sz w:val="24"/>
          <w:lang w:val="zh-CN"/>
        </w:rPr>
        <w:t>。</w:t>
      </w:r>
    </w:p>
    <w:p w14:paraId="6C9B9302">
      <w:pPr>
        <w:widowControl/>
        <w:spacing w:line="440" w:lineRule="exact"/>
        <w:ind w:firstLine="480" w:firstLineChars="200"/>
        <w:rPr>
          <w:rFonts w:ascii="宋体" w:hAnsi="宋体"/>
          <w:b/>
          <w:sz w:val="24"/>
          <w:highlight w:val="yellow"/>
          <w:u w:val="single"/>
          <w:lang w:val="zh-CN"/>
        </w:rPr>
      </w:pPr>
      <w:r>
        <w:rPr>
          <w:rFonts w:hint="eastAsia" w:ascii="宋体" w:hAnsi="宋体"/>
          <w:sz w:val="24"/>
          <w:lang w:val="zh-CN"/>
        </w:rPr>
        <w:t>8.2</w:t>
      </w:r>
      <w:r>
        <w:rPr>
          <w:rFonts w:hint="eastAsia" w:ascii="宋体" w:hAnsi="宋体" w:cs="MingLiU"/>
          <w:snapToGrid w:val="0"/>
          <w:kern w:val="0"/>
          <w:sz w:val="24"/>
        </w:rPr>
        <w:t>项目竣工验收合格后30天</w:t>
      </w:r>
      <w:r>
        <w:rPr>
          <w:rFonts w:hint="eastAsia" w:ascii="宋体" w:hAnsi="宋体"/>
          <w:sz w:val="24"/>
          <w:lang w:val="zh-CN"/>
        </w:rPr>
        <w:t>内支付合同金额</w:t>
      </w:r>
      <w:r>
        <w:rPr>
          <w:rFonts w:ascii="宋体" w:hAnsi="宋体"/>
          <w:sz w:val="24"/>
          <w:lang w:val="zh-CN"/>
        </w:rPr>
        <w:t>30</w:t>
      </w:r>
      <w:r>
        <w:rPr>
          <w:rFonts w:hint="eastAsia" w:ascii="宋体" w:hAnsi="宋体"/>
          <w:sz w:val="24"/>
          <w:lang w:val="zh-CN"/>
        </w:rPr>
        <w:t>%的设计费，计</w:t>
      </w:r>
      <w:r>
        <w:rPr>
          <w:rFonts w:ascii="宋体" w:hAnsi="宋体"/>
          <w:b/>
          <w:sz w:val="24"/>
          <w:u w:val="single"/>
          <w:lang w:val="zh-CN"/>
        </w:rPr>
        <w:t xml:space="preserve">        </w:t>
      </w:r>
      <w:r>
        <w:rPr>
          <w:rFonts w:hint="eastAsia" w:ascii="宋体" w:hAnsi="宋体"/>
          <w:b/>
          <w:sz w:val="24"/>
          <w:u w:val="single"/>
          <w:lang w:val="zh-CN"/>
        </w:rPr>
        <w:t xml:space="preserve">元（大写： </w:t>
      </w:r>
      <w:r>
        <w:rPr>
          <w:rFonts w:ascii="宋体" w:hAnsi="宋体"/>
          <w:b/>
          <w:sz w:val="24"/>
          <w:u w:val="single"/>
          <w:lang w:val="zh-CN"/>
        </w:rPr>
        <w:t xml:space="preserve">             </w:t>
      </w:r>
      <w:r>
        <w:rPr>
          <w:rFonts w:hint="eastAsia" w:ascii="宋体" w:hAnsi="宋体"/>
          <w:b/>
          <w:sz w:val="24"/>
          <w:u w:val="single"/>
          <w:lang w:val="zh-CN"/>
        </w:rPr>
        <w:t>）</w:t>
      </w:r>
    </w:p>
    <w:p w14:paraId="1ED5C5A1">
      <w:pPr>
        <w:widowControl/>
        <w:spacing w:line="440" w:lineRule="exact"/>
        <w:ind w:firstLine="480" w:firstLineChars="200"/>
        <w:rPr>
          <w:rFonts w:ascii="宋体" w:hAnsi="宋体"/>
          <w:sz w:val="24"/>
          <w:lang w:val="zh-CN"/>
        </w:rPr>
      </w:pPr>
      <w:r>
        <w:rPr>
          <w:rFonts w:ascii="宋体" w:hAnsi="宋体"/>
          <w:sz w:val="24"/>
          <w:lang w:val="zh-CN"/>
        </w:rPr>
        <w:t>8.3</w:t>
      </w:r>
      <w:r>
        <w:rPr>
          <w:rFonts w:hint="eastAsia" w:ascii="宋体" w:hAnsi="宋体"/>
          <w:kern w:val="0"/>
          <w:sz w:val="24"/>
        </w:rPr>
        <w:t>建设方在支付设计费前，需收到设计人开具对应金额的增值税专用发票，并需有建设方设计负责人及建设方设备工程部部门主管/分管领导签字和建设方分管领导审批，否则不予支付。</w:t>
      </w:r>
    </w:p>
    <w:p w14:paraId="76710308">
      <w:pPr>
        <w:spacing w:line="440" w:lineRule="exact"/>
        <w:ind w:firstLine="482" w:firstLineChars="200"/>
        <w:rPr>
          <w:rFonts w:ascii="宋体" w:hAnsi="宋体"/>
          <w:b/>
          <w:bCs/>
          <w:sz w:val="24"/>
        </w:rPr>
      </w:pPr>
      <w:r>
        <w:rPr>
          <w:rFonts w:ascii="宋体" w:hAnsi="宋体"/>
          <w:b/>
          <w:bCs/>
          <w:sz w:val="24"/>
        </w:rPr>
        <w:t>第九条  双方责任</w:t>
      </w:r>
    </w:p>
    <w:p w14:paraId="40917805">
      <w:pPr>
        <w:widowControl/>
        <w:spacing w:line="440" w:lineRule="exact"/>
        <w:ind w:firstLine="480" w:firstLineChars="200"/>
        <w:rPr>
          <w:rFonts w:ascii="宋体" w:hAnsi="宋体"/>
          <w:sz w:val="24"/>
          <w:lang w:val="zh-CN"/>
        </w:rPr>
      </w:pPr>
      <w:r>
        <w:rPr>
          <w:rFonts w:ascii="宋体" w:hAnsi="宋体"/>
          <w:sz w:val="24"/>
          <w:lang w:val="zh-CN"/>
        </w:rPr>
        <w:t>9.1建设方责任</w:t>
      </w:r>
    </w:p>
    <w:p w14:paraId="17029192">
      <w:pPr>
        <w:widowControl/>
        <w:spacing w:line="440" w:lineRule="exact"/>
        <w:ind w:firstLine="480" w:firstLineChars="200"/>
        <w:rPr>
          <w:rFonts w:ascii="宋体" w:hAnsi="宋体"/>
          <w:sz w:val="24"/>
          <w:lang w:val="zh-CN"/>
        </w:rPr>
      </w:pPr>
      <w:r>
        <w:rPr>
          <w:rFonts w:ascii="宋体" w:hAnsi="宋体"/>
          <w:sz w:val="24"/>
          <w:lang w:val="zh-CN"/>
        </w:rPr>
        <w:t>9.1.1建设方按本合同第五条规定的内容，在规定的时间内向设计人提交基础资料及文件，并对其完整性、正确性及时限负责。建设方不得要求设计人违反国家有关标准进行设计。</w:t>
      </w:r>
    </w:p>
    <w:p w14:paraId="28F45A66">
      <w:pPr>
        <w:widowControl/>
        <w:spacing w:line="440" w:lineRule="exact"/>
        <w:ind w:firstLine="480" w:firstLineChars="200"/>
        <w:rPr>
          <w:rFonts w:ascii="宋体" w:hAnsi="宋体"/>
          <w:sz w:val="24"/>
          <w:lang w:val="zh-CN"/>
        </w:rPr>
      </w:pPr>
      <w:r>
        <w:rPr>
          <w:rFonts w:ascii="宋体" w:hAnsi="宋体"/>
          <w:sz w:val="24"/>
          <w:lang w:val="zh-CN"/>
        </w:rPr>
        <w:t>建设方提交上述资料及文件超过规定期限15天以内，设计人按本合同第六条规定的交付设计文件时间顺延；建设方交付上述资料及文件超过规定期限15天以上时，设计人有权重新确定提交设计文件的时间。</w:t>
      </w:r>
    </w:p>
    <w:p w14:paraId="663C53DC">
      <w:pPr>
        <w:widowControl/>
        <w:spacing w:line="440" w:lineRule="exact"/>
        <w:ind w:firstLine="480" w:firstLineChars="200"/>
        <w:rPr>
          <w:rFonts w:ascii="宋体" w:hAnsi="宋体"/>
          <w:sz w:val="24"/>
          <w:lang w:val="zh-CN"/>
        </w:rPr>
      </w:pPr>
      <w:r>
        <w:rPr>
          <w:rFonts w:ascii="宋体" w:hAnsi="宋体"/>
          <w:sz w:val="24"/>
          <w:lang w:val="zh-CN"/>
        </w:rPr>
        <w:t>9.1.2在合同履行期间，建设方要求终止或解除合同，设计人未开始设计工作的，不退还建设方已付的定金；已开始设计工作的，建设方应根据设计人已进行的实际工作量，不足一半时，按该阶段设计费的一半支付；超过一半时，按该阶段设计费的全部支付。</w:t>
      </w:r>
    </w:p>
    <w:p w14:paraId="78798AAF">
      <w:pPr>
        <w:widowControl/>
        <w:spacing w:line="440" w:lineRule="exact"/>
        <w:ind w:firstLine="480" w:firstLineChars="200"/>
        <w:rPr>
          <w:rFonts w:ascii="宋体" w:hAnsi="宋体"/>
          <w:sz w:val="24"/>
          <w:lang w:val="zh-CN"/>
        </w:rPr>
      </w:pPr>
      <w:r>
        <w:rPr>
          <w:rFonts w:ascii="宋体" w:hAnsi="宋体"/>
          <w:sz w:val="24"/>
          <w:lang w:val="zh-CN"/>
        </w:rPr>
        <w:t>9.1.3建设方应按本合同规定的金额和日期向设计人支付设计费，每逾期支付一天，应承担应支付金额</w:t>
      </w:r>
      <w:r>
        <w:rPr>
          <w:rFonts w:hint="eastAsia" w:ascii="宋体" w:hAnsi="宋体"/>
          <w:sz w:val="24"/>
          <w:lang w:val="zh-CN"/>
        </w:rPr>
        <w:t>万分之五</w:t>
      </w:r>
      <w:r>
        <w:rPr>
          <w:rFonts w:ascii="宋体" w:hAnsi="宋体"/>
          <w:sz w:val="24"/>
          <w:lang w:val="zh-CN"/>
        </w:rPr>
        <w:t>的逾期违约金，且设计人提交设计文件的时间顺延。逾期超过30天以上时，设计人有权暂停履行下阶段工作，并书面通知建设方。建设方的上级或设计审批部门对设计文件不审批或本合同项目停缓建，建设方均应支付应付的设计费。</w:t>
      </w:r>
    </w:p>
    <w:p w14:paraId="7E0D3CED">
      <w:pPr>
        <w:widowControl/>
        <w:spacing w:line="440" w:lineRule="exact"/>
        <w:ind w:firstLine="480" w:firstLineChars="200"/>
        <w:rPr>
          <w:rFonts w:ascii="宋体" w:hAnsi="宋体"/>
          <w:sz w:val="24"/>
          <w:lang w:val="zh-CN"/>
        </w:rPr>
      </w:pPr>
      <w:r>
        <w:rPr>
          <w:rFonts w:ascii="宋体" w:hAnsi="宋体"/>
          <w:sz w:val="24"/>
          <w:lang w:val="zh-CN"/>
        </w:rPr>
        <w:t>9.1.4建设方要求设计人比合同规定时间提前交付设计文件时，须征得设计人同意，不得严重背离合理设计周期，且建设方应支付赶工费。</w:t>
      </w:r>
    </w:p>
    <w:p w14:paraId="3578CD19">
      <w:pPr>
        <w:pStyle w:val="6"/>
        <w:ind w:firstLine="480" w:firstLineChars="200"/>
        <w:rPr>
          <w:rFonts w:ascii="宋体" w:hAnsi="宋体"/>
        </w:rPr>
      </w:pPr>
      <w:r>
        <w:rPr>
          <w:rFonts w:ascii="宋体" w:hAnsi="宋体"/>
          <w:sz w:val="24"/>
          <w:lang w:val="zh-CN"/>
        </w:rPr>
        <w:t>9.1.5建设方应为设计人派驻现场的工作人员提供工作、生活及交通等方面的便利条件及必要的劳动保护装备</w:t>
      </w:r>
      <w:r>
        <w:rPr>
          <w:rFonts w:hint="eastAsia" w:ascii="宋体" w:hAnsi="宋体"/>
          <w:sz w:val="24"/>
          <w:lang w:val="zh-CN"/>
        </w:rPr>
        <w:t>，</w:t>
      </w:r>
      <w:r>
        <w:rPr>
          <w:rFonts w:hint="eastAsia" w:ascii="宋体" w:hAnsi="宋体"/>
          <w:sz w:val="24"/>
        </w:rPr>
        <w:t>所发生的费用由设计人自行承担</w:t>
      </w:r>
      <w:r>
        <w:rPr>
          <w:rFonts w:ascii="宋体" w:hAnsi="宋体"/>
          <w:sz w:val="24"/>
          <w:lang w:val="zh-CN"/>
        </w:rPr>
        <w:t>。</w:t>
      </w:r>
    </w:p>
    <w:p w14:paraId="5DA075BD">
      <w:pPr>
        <w:widowControl/>
        <w:spacing w:line="440" w:lineRule="exact"/>
        <w:ind w:firstLine="480" w:firstLineChars="200"/>
        <w:rPr>
          <w:rFonts w:ascii="宋体" w:hAnsi="宋体"/>
          <w:sz w:val="24"/>
          <w:lang w:val="zh-CN"/>
        </w:rPr>
      </w:pPr>
      <w:r>
        <w:rPr>
          <w:rFonts w:ascii="宋体" w:hAnsi="宋体"/>
          <w:sz w:val="24"/>
          <w:lang w:val="zh-CN"/>
        </w:rPr>
        <w:t>9.2设计人责任</w:t>
      </w:r>
    </w:p>
    <w:p w14:paraId="0EB48A68">
      <w:pPr>
        <w:widowControl/>
        <w:spacing w:line="440" w:lineRule="exact"/>
        <w:ind w:firstLine="480" w:firstLineChars="200"/>
        <w:rPr>
          <w:rFonts w:ascii="宋体" w:hAnsi="宋体"/>
          <w:sz w:val="24"/>
          <w:lang w:val="zh-CN"/>
        </w:rPr>
      </w:pPr>
      <w:r>
        <w:rPr>
          <w:rFonts w:ascii="宋体" w:hAnsi="宋体"/>
          <w:sz w:val="24"/>
          <w:lang w:val="zh-CN"/>
        </w:rPr>
        <w:t>9.2.1设计人应按国家规定和合同约定的技术规范、标准进行设计，按本合同第六条规定的内容、时间及份数向建设方交付设计文件（出现9.1.1、9.1.2、9.1.4、9.1.5规定有关交付设计文件顺延的情况除外）。并对提交的设计文件的质量负责。</w:t>
      </w:r>
    </w:p>
    <w:p w14:paraId="55914F69">
      <w:pPr>
        <w:widowControl/>
        <w:spacing w:line="440" w:lineRule="exact"/>
        <w:ind w:firstLine="480" w:firstLineChars="200"/>
        <w:rPr>
          <w:rFonts w:ascii="宋体" w:hAnsi="宋体"/>
          <w:sz w:val="24"/>
          <w:lang w:val="zh-CN"/>
        </w:rPr>
      </w:pPr>
      <w:r>
        <w:rPr>
          <w:rFonts w:ascii="宋体" w:hAnsi="宋体"/>
          <w:sz w:val="24"/>
          <w:lang w:val="zh-CN"/>
        </w:rPr>
        <w:t>9.2.2</w:t>
      </w:r>
      <w:r>
        <w:rPr>
          <w:rFonts w:hint="eastAsia" w:ascii="宋体" w:hAnsi="宋体"/>
          <w:sz w:val="24"/>
          <w:lang w:val="zh-CN"/>
        </w:rPr>
        <w:t>设计任务进行期间，设计人员应根据建设方要求随叫随到，涉及相关专业设计人员每周在建设方办公地点工作时间不得少于4天（实际如未履行则按每人每天扣除5000元违约金，不设上限，如累计超过30天.人，建设方有权解除合同），工程施工期间，设计人应指派相关专业设计人员每天至少2人进驻现场（实际如未履行则按每人每天扣除5000元违约金，不设上限，如累计超过30天.人，建设方有权解除合同），根据施工实际情况随时协调、解决设计相关问题</w:t>
      </w:r>
      <w:r>
        <w:rPr>
          <w:rFonts w:ascii="宋体" w:hAnsi="宋体"/>
          <w:sz w:val="24"/>
          <w:lang w:val="zh-CN"/>
        </w:rPr>
        <w:t>。</w:t>
      </w:r>
    </w:p>
    <w:p w14:paraId="4665929D">
      <w:pPr>
        <w:widowControl/>
        <w:spacing w:line="440" w:lineRule="exact"/>
        <w:ind w:firstLine="480" w:firstLineChars="200"/>
        <w:rPr>
          <w:rFonts w:ascii="宋体" w:hAnsi="宋体"/>
          <w:sz w:val="24"/>
          <w:lang w:val="zh-CN"/>
        </w:rPr>
      </w:pPr>
      <w:r>
        <w:rPr>
          <w:rFonts w:ascii="宋体" w:hAnsi="宋体"/>
          <w:sz w:val="24"/>
          <w:lang w:val="zh-CN"/>
        </w:rPr>
        <w:t>9.2.3负责对外商的设计资料进行审查，负责该合同项目的设计联络工作。</w:t>
      </w:r>
    </w:p>
    <w:p w14:paraId="474936DA">
      <w:pPr>
        <w:widowControl/>
        <w:spacing w:line="440" w:lineRule="exact"/>
        <w:ind w:firstLine="480" w:firstLineChars="200"/>
        <w:rPr>
          <w:rFonts w:ascii="宋体" w:hAnsi="宋体"/>
          <w:sz w:val="24"/>
          <w:lang w:val="zh-CN"/>
        </w:rPr>
      </w:pPr>
      <w:r>
        <w:rPr>
          <w:rFonts w:ascii="宋体" w:hAnsi="宋体"/>
          <w:sz w:val="24"/>
          <w:lang w:val="zh-CN"/>
        </w:rPr>
        <w:t>9.2.</w:t>
      </w:r>
      <w:r>
        <w:rPr>
          <w:rFonts w:hint="eastAsia" w:ascii="宋体" w:hAnsi="宋体"/>
          <w:sz w:val="24"/>
          <w:lang w:val="zh-CN"/>
        </w:rPr>
        <w:t>4由于设计人原因，延误了设计文件交付时间，每延误一天，设计人应按本合同约定的设计费总额的千分之二向建设方支付违约金（该违约金可在剩余设计费中扣划）。本合同规定的任何一个环节的设计资料及设计文件的交付时间延误达到</w:t>
      </w:r>
      <w:r>
        <w:rPr>
          <w:rFonts w:ascii="宋体" w:hAnsi="宋体"/>
          <w:sz w:val="24"/>
          <w:lang w:val="zh-CN"/>
        </w:rPr>
        <w:t>15</w:t>
      </w:r>
      <w:r>
        <w:rPr>
          <w:rFonts w:hint="eastAsia" w:ascii="宋体" w:hAnsi="宋体"/>
          <w:sz w:val="24"/>
          <w:lang w:val="zh-CN"/>
        </w:rPr>
        <w:t>天的，建设方有权解除合同，且设计人收取的设计费应返还</w:t>
      </w:r>
      <w:r>
        <w:rPr>
          <w:rFonts w:ascii="宋体" w:hAnsi="宋体"/>
          <w:sz w:val="24"/>
          <w:lang w:val="zh-CN"/>
        </w:rPr>
        <w:t>，</w:t>
      </w:r>
      <w:r>
        <w:rPr>
          <w:rFonts w:hint="eastAsia" w:ascii="宋体" w:hAnsi="宋体"/>
          <w:sz w:val="24"/>
          <w:lang w:val="zh-CN"/>
        </w:rPr>
        <w:t>并要求设计人进行赔偿（赔偿</w:t>
      </w:r>
      <w:r>
        <w:rPr>
          <w:rFonts w:ascii="宋体" w:hAnsi="宋体"/>
          <w:sz w:val="24"/>
          <w:lang w:val="zh-CN"/>
        </w:rPr>
        <w:t>金额</w:t>
      </w:r>
      <w:r>
        <w:rPr>
          <w:rFonts w:hint="eastAsia" w:ascii="宋体" w:hAnsi="宋体"/>
          <w:sz w:val="24"/>
          <w:lang w:val="zh-CN"/>
        </w:rPr>
        <w:t>以</w:t>
      </w:r>
      <w:r>
        <w:rPr>
          <w:rFonts w:ascii="宋体" w:hAnsi="宋体"/>
          <w:sz w:val="24"/>
          <w:lang w:val="zh-CN"/>
        </w:rPr>
        <w:t>双方协商</w:t>
      </w:r>
      <w:r>
        <w:rPr>
          <w:rFonts w:hint="eastAsia" w:ascii="宋体" w:hAnsi="宋体"/>
          <w:sz w:val="24"/>
          <w:lang w:val="zh-CN"/>
        </w:rPr>
        <w:t>为准</w:t>
      </w:r>
      <w:r>
        <w:rPr>
          <w:rFonts w:ascii="宋体" w:hAnsi="宋体"/>
          <w:sz w:val="24"/>
          <w:lang w:val="zh-CN"/>
        </w:rPr>
        <w:t>，</w:t>
      </w:r>
      <w:r>
        <w:rPr>
          <w:rFonts w:hint="eastAsia" w:ascii="宋体" w:hAnsi="宋体"/>
          <w:sz w:val="24"/>
          <w:lang w:val="zh-CN"/>
        </w:rPr>
        <w:t>其中</w:t>
      </w:r>
      <w:r>
        <w:rPr>
          <w:rFonts w:ascii="宋体" w:hAnsi="宋体"/>
          <w:sz w:val="24"/>
          <w:lang w:val="zh-CN"/>
        </w:rPr>
        <w:t>赔偿</w:t>
      </w:r>
      <w:r>
        <w:rPr>
          <w:rFonts w:hint="eastAsia" w:ascii="宋体" w:hAnsi="宋体"/>
          <w:sz w:val="24"/>
          <w:lang w:val="zh-CN"/>
        </w:rPr>
        <w:t>最大</w:t>
      </w:r>
      <w:r>
        <w:rPr>
          <w:rFonts w:ascii="宋体" w:hAnsi="宋体"/>
          <w:sz w:val="24"/>
          <w:lang w:val="zh-CN"/>
        </w:rPr>
        <w:t>金额不超过</w:t>
      </w:r>
      <w:r>
        <w:rPr>
          <w:rFonts w:hint="eastAsia" w:ascii="宋体" w:hAnsi="宋体"/>
          <w:sz w:val="24"/>
          <w:lang w:val="zh-CN"/>
        </w:rPr>
        <w:t>合同金额）。</w:t>
      </w:r>
    </w:p>
    <w:p w14:paraId="23394C26">
      <w:pPr>
        <w:widowControl/>
        <w:spacing w:line="440" w:lineRule="exact"/>
        <w:ind w:firstLine="480" w:firstLineChars="200"/>
        <w:rPr>
          <w:rFonts w:ascii="宋体" w:hAnsi="宋体"/>
          <w:bCs/>
          <w:sz w:val="24"/>
          <w:lang w:val="zh-CN"/>
        </w:rPr>
      </w:pPr>
      <w:r>
        <w:rPr>
          <w:rFonts w:hint="eastAsia" w:ascii="宋体" w:hAnsi="宋体"/>
          <w:bCs/>
          <w:sz w:val="24"/>
          <w:lang w:val="zh-CN"/>
        </w:rPr>
        <w:t>9</w:t>
      </w:r>
      <w:r>
        <w:rPr>
          <w:rFonts w:ascii="宋体" w:hAnsi="宋体"/>
          <w:bCs/>
          <w:sz w:val="24"/>
          <w:lang w:val="zh-CN"/>
        </w:rPr>
        <w:t>.2.5</w:t>
      </w:r>
      <w:r>
        <w:rPr>
          <w:rFonts w:hint="eastAsia" w:ascii="宋体" w:hAnsi="宋体"/>
          <w:bCs/>
          <w:sz w:val="24"/>
          <w:lang w:val="zh-CN"/>
        </w:rPr>
        <w:t>设计人对设计资料及文件出现的遗漏或错误负责修改或补充，并按照5</w:t>
      </w:r>
      <w:r>
        <w:rPr>
          <w:rFonts w:ascii="宋体" w:hAnsi="宋体"/>
          <w:bCs/>
          <w:sz w:val="24"/>
          <w:lang w:val="zh-CN"/>
        </w:rPr>
        <w:t>00</w:t>
      </w:r>
      <w:r>
        <w:rPr>
          <w:rFonts w:hint="eastAsia" w:ascii="宋体" w:hAnsi="宋体"/>
          <w:bCs/>
          <w:sz w:val="24"/>
          <w:lang w:val="zh-CN"/>
        </w:rPr>
        <w:t>元/项扣除设计费，累计计算。</w:t>
      </w:r>
    </w:p>
    <w:p w14:paraId="602ECB45">
      <w:pPr>
        <w:widowControl/>
        <w:spacing w:line="440" w:lineRule="exact"/>
        <w:ind w:firstLine="480" w:firstLineChars="200"/>
        <w:rPr>
          <w:rFonts w:ascii="宋体" w:hAnsi="宋体"/>
          <w:bCs/>
          <w:sz w:val="24"/>
          <w:lang w:val="zh-CN"/>
        </w:rPr>
      </w:pPr>
      <w:r>
        <w:rPr>
          <w:rFonts w:ascii="宋体" w:hAnsi="宋体"/>
          <w:bCs/>
          <w:sz w:val="24"/>
          <w:lang w:val="zh-CN"/>
        </w:rPr>
        <w:t>9.2.6</w:t>
      </w:r>
      <w:r>
        <w:rPr>
          <w:rFonts w:hint="eastAsia" w:ascii="宋体" w:hAnsi="宋体"/>
          <w:bCs/>
          <w:sz w:val="24"/>
          <w:lang w:val="zh-CN"/>
        </w:rPr>
        <w:t>设计人应按照招标人的《设</w:t>
      </w:r>
      <w:bookmarkStart w:id="61" w:name="StandardName"/>
      <w:r>
        <w:rPr>
          <w:rFonts w:hint="eastAsia" w:ascii="宋体" w:hAnsi="宋体"/>
          <w:bCs/>
          <w:sz w:val="24"/>
          <w:lang w:val="zh-CN"/>
        </w:rPr>
        <w:t>计变更审批制度</w:t>
      </w:r>
      <w:bookmarkEnd w:id="61"/>
      <w:r>
        <w:rPr>
          <w:rFonts w:hint="eastAsia" w:ascii="宋体" w:hAnsi="宋体"/>
          <w:bCs/>
          <w:sz w:val="24"/>
          <w:lang w:val="zh-CN"/>
        </w:rPr>
        <w:t>》中时效性要求提交设计变更资料，每延迟一天按照5</w:t>
      </w:r>
      <w:r>
        <w:rPr>
          <w:rFonts w:ascii="宋体" w:hAnsi="宋体"/>
          <w:bCs/>
          <w:sz w:val="24"/>
          <w:lang w:val="zh-CN"/>
        </w:rPr>
        <w:t>00</w:t>
      </w:r>
      <w:r>
        <w:rPr>
          <w:rFonts w:hint="eastAsia" w:ascii="宋体" w:hAnsi="宋体"/>
          <w:bCs/>
          <w:sz w:val="24"/>
          <w:lang w:val="zh-CN"/>
        </w:rPr>
        <w:t>元/项.天扣除设计费，累计计算。</w:t>
      </w:r>
    </w:p>
    <w:p w14:paraId="19C3024C">
      <w:pPr>
        <w:widowControl/>
        <w:spacing w:line="440" w:lineRule="exact"/>
        <w:ind w:firstLine="480" w:firstLineChars="200"/>
        <w:rPr>
          <w:rFonts w:ascii="宋体" w:hAnsi="宋体"/>
          <w:b/>
          <w:bCs/>
          <w:sz w:val="24"/>
          <w:lang w:val="zh-CN"/>
        </w:rPr>
      </w:pPr>
      <w:r>
        <w:rPr>
          <w:rFonts w:hint="eastAsia" w:ascii="宋体" w:hAnsi="宋体"/>
          <w:bCs/>
          <w:sz w:val="24"/>
          <w:lang w:val="zh-CN"/>
        </w:rPr>
        <w:t>9</w:t>
      </w:r>
      <w:r>
        <w:rPr>
          <w:rFonts w:ascii="宋体" w:hAnsi="宋体"/>
          <w:bCs/>
          <w:sz w:val="24"/>
          <w:lang w:val="zh-CN"/>
        </w:rPr>
        <w:t>.2.7</w:t>
      </w:r>
      <w:r>
        <w:rPr>
          <w:rFonts w:hint="eastAsia" w:ascii="宋体" w:hAnsi="宋体"/>
          <w:bCs/>
          <w:sz w:val="24"/>
          <w:lang w:val="zh-CN"/>
        </w:rPr>
        <w:t>设计人应按照建设方经济性要求进行多方案比较，提交最具经济性的设计资料。设计成果图交付后，招标人可以进行第三方经济性评估，若审减5%以上，则扣除审减部分的对应设计费及第三方评估费。</w:t>
      </w:r>
    </w:p>
    <w:p w14:paraId="006A5A50">
      <w:pPr>
        <w:widowControl/>
        <w:spacing w:line="440" w:lineRule="exact"/>
        <w:ind w:firstLine="480" w:firstLineChars="200"/>
        <w:rPr>
          <w:rFonts w:ascii="宋体" w:hAnsi="宋体"/>
          <w:sz w:val="24"/>
          <w:lang w:val="zh-CN"/>
        </w:rPr>
      </w:pPr>
      <w:r>
        <w:rPr>
          <w:rFonts w:ascii="宋体" w:hAnsi="宋体"/>
          <w:sz w:val="24"/>
          <w:lang w:val="zh-CN"/>
        </w:rPr>
        <w:t>9.2.8</w:t>
      </w:r>
      <w:r>
        <w:rPr>
          <w:rFonts w:hint="eastAsia" w:ascii="宋体" w:hAnsi="宋体"/>
          <w:sz w:val="24"/>
          <w:lang w:val="zh-CN"/>
        </w:rPr>
        <w:t>合同生效后，设计人要求终止或解除合同，设计人应承担相应的违约责任，返还建设方已支付的设计费，并向建设方支付合同金额30%的违约金</w:t>
      </w:r>
      <w:r>
        <w:rPr>
          <w:rFonts w:ascii="宋体" w:hAnsi="宋体"/>
          <w:sz w:val="24"/>
          <w:lang w:val="zh-CN"/>
        </w:rPr>
        <w:t>。</w:t>
      </w:r>
    </w:p>
    <w:p w14:paraId="3ABB964B">
      <w:pPr>
        <w:widowControl/>
        <w:spacing w:line="440" w:lineRule="exact"/>
        <w:ind w:firstLine="480" w:firstLineChars="200"/>
        <w:rPr>
          <w:rFonts w:ascii="宋体" w:hAnsi="宋体"/>
          <w:sz w:val="24"/>
          <w:lang w:val="zh-CN"/>
        </w:rPr>
      </w:pPr>
      <w:r>
        <w:rPr>
          <w:rFonts w:ascii="宋体" w:hAnsi="宋体"/>
          <w:sz w:val="24"/>
          <w:lang w:val="zh-CN"/>
        </w:rPr>
        <w:t>9.2.9</w:t>
      </w:r>
      <w:r>
        <w:rPr>
          <w:rFonts w:hint="eastAsia" w:ascii="宋体" w:hAnsi="宋体"/>
          <w:sz w:val="24"/>
          <w:lang w:val="zh-CN"/>
        </w:rPr>
        <w:t>设计人交付设计文件后，按规定参加有关上级主管部门的设计审查，并根据审查结论负责不超出原定范围的内容做必要调整补充，使其符合上级主管部门的设计审查要求。设计人按合同规定时限交付设计文件一年内项目开始施工，负责向建设方及施工单位进行设计交底、及时现场服务、处理有关设计问题和参加竣工验收。在一年内项目尚未开始施工，设计人仍负责上述工作，可按所需工作量向建设方适当收取咨询服务费，收费额由双方商定。若非建设方原因，包括但不限于政策变更等，导致项目在一年内未开始施工的，设计人仍应当负责有关设计问题及参加竣工验收并不得向建设方收取咨询服务费。</w:t>
      </w:r>
    </w:p>
    <w:p w14:paraId="7B3BF3EB">
      <w:pPr>
        <w:widowControl/>
        <w:spacing w:line="440" w:lineRule="exact"/>
        <w:ind w:firstLine="480" w:firstLineChars="200"/>
        <w:rPr>
          <w:rFonts w:ascii="宋体" w:hAnsi="宋体"/>
          <w:sz w:val="24"/>
          <w:lang w:val="zh-CN"/>
        </w:rPr>
      </w:pPr>
      <w:r>
        <w:rPr>
          <w:rFonts w:hint="eastAsia" w:ascii="宋体" w:hAnsi="宋体"/>
          <w:sz w:val="24"/>
          <w:lang w:val="zh-CN"/>
        </w:rPr>
        <w:t>9.2.</w:t>
      </w:r>
      <w:r>
        <w:rPr>
          <w:rFonts w:ascii="宋体" w:hAnsi="宋体"/>
          <w:sz w:val="24"/>
        </w:rPr>
        <w:t>10</w:t>
      </w:r>
      <w:r>
        <w:rPr>
          <w:rFonts w:hint="eastAsia" w:ascii="宋体" w:hAnsi="宋体"/>
          <w:sz w:val="24"/>
          <w:lang w:val="zh-CN"/>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建设方支付赔偿金，赔偿金由双方商定为实际损失的100%，所有违约金和赔偿金总和最高以本合同设计总费用为限。</w:t>
      </w:r>
    </w:p>
    <w:p w14:paraId="37608DBD">
      <w:pPr>
        <w:widowControl/>
        <w:spacing w:line="440" w:lineRule="exact"/>
        <w:ind w:firstLine="480" w:firstLineChars="200"/>
        <w:rPr>
          <w:rFonts w:ascii="宋体" w:hAnsi="宋体"/>
          <w:sz w:val="24"/>
        </w:rPr>
      </w:pPr>
      <w:r>
        <w:rPr>
          <w:rFonts w:ascii="宋体" w:hAnsi="宋体"/>
          <w:sz w:val="24"/>
          <w:lang w:val="zh-CN"/>
        </w:rPr>
        <w:t>9.2.11</w:t>
      </w:r>
      <w:r>
        <w:rPr>
          <w:rFonts w:hint="eastAsia" w:ascii="宋体" w:hAnsi="宋体"/>
          <w:sz w:val="24"/>
        </w:rPr>
        <w:t>设计人采用的主要技术标准是：按国家及重庆市现行技术标准进行设计。</w:t>
      </w:r>
    </w:p>
    <w:p w14:paraId="52E40595">
      <w:pPr>
        <w:widowControl/>
        <w:spacing w:line="440" w:lineRule="exact"/>
        <w:ind w:firstLine="480" w:firstLineChars="200"/>
        <w:rPr>
          <w:rFonts w:ascii="宋体" w:hAnsi="宋体"/>
          <w:sz w:val="24"/>
        </w:rPr>
      </w:pPr>
      <w:r>
        <w:rPr>
          <w:rFonts w:ascii="宋体" w:hAnsi="宋体"/>
          <w:sz w:val="24"/>
        </w:rPr>
        <w:t>9.2.12</w:t>
      </w:r>
      <w:r>
        <w:rPr>
          <w:rFonts w:hint="eastAsia" w:ascii="宋体" w:hAnsi="宋体"/>
          <w:sz w:val="24"/>
        </w:rPr>
        <w:t>设计合理使用年限为按国家相关规定执行,</w:t>
      </w:r>
      <w:r>
        <w:rPr>
          <w:rFonts w:hint="eastAsia" w:ascii="宋体" w:hAnsi="宋体"/>
        </w:rPr>
        <w:t xml:space="preserve"> </w:t>
      </w:r>
      <w:r>
        <w:rPr>
          <w:rFonts w:hint="eastAsia" w:ascii="宋体" w:hAnsi="宋体"/>
          <w:sz w:val="24"/>
        </w:rPr>
        <w:t>主体结构合理使用年限为50年，易于替换的结构构件合理使用年限为25年。</w:t>
      </w:r>
    </w:p>
    <w:p w14:paraId="4659776E">
      <w:pPr>
        <w:widowControl/>
        <w:spacing w:line="440" w:lineRule="exact"/>
        <w:ind w:firstLine="480" w:firstLineChars="200"/>
        <w:rPr>
          <w:rFonts w:ascii="宋体" w:hAnsi="宋体"/>
          <w:sz w:val="24"/>
        </w:rPr>
      </w:pPr>
      <w:r>
        <w:rPr>
          <w:rFonts w:ascii="宋体" w:hAnsi="宋体"/>
          <w:sz w:val="24"/>
        </w:rPr>
        <w:t>9.2.13</w:t>
      </w:r>
      <w:r>
        <w:rPr>
          <w:rFonts w:hint="eastAsia" w:ascii="宋体" w:hAnsi="宋体"/>
          <w:sz w:val="24"/>
        </w:rPr>
        <w:t>在本项目工程竣工时配合建设方接受审计并负责本合同项目的设计及审查联络工作。</w:t>
      </w:r>
    </w:p>
    <w:p w14:paraId="69B3D680">
      <w:pPr>
        <w:widowControl/>
        <w:spacing w:line="440" w:lineRule="exact"/>
        <w:ind w:firstLine="480" w:firstLineChars="200"/>
        <w:rPr>
          <w:rFonts w:ascii="宋体" w:hAnsi="宋体"/>
          <w:sz w:val="24"/>
        </w:rPr>
      </w:pPr>
      <w:r>
        <w:rPr>
          <w:rFonts w:ascii="宋体" w:hAnsi="宋体"/>
          <w:sz w:val="24"/>
        </w:rPr>
        <w:t>9.2.14</w:t>
      </w:r>
      <w:r>
        <w:rPr>
          <w:rFonts w:hint="eastAsia" w:ascii="宋体" w:hAnsi="宋体"/>
          <w:sz w:val="24"/>
        </w:rPr>
        <w:t>设计文件中选用的国家标准图、部标准图及地方标准图由设计人负责解决。</w:t>
      </w:r>
    </w:p>
    <w:p w14:paraId="17B6A532">
      <w:pPr>
        <w:widowControl/>
        <w:spacing w:line="440" w:lineRule="exact"/>
        <w:ind w:firstLine="480" w:firstLineChars="200"/>
        <w:rPr>
          <w:rFonts w:ascii="宋体" w:hAnsi="宋体"/>
          <w:sz w:val="24"/>
        </w:rPr>
      </w:pPr>
      <w:r>
        <w:rPr>
          <w:rFonts w:ascii="宋体" w:hAnsi="宋体"/>
          <w:sz w:val="24"/>
        </w:rPr>
        <w:t>9.2.15</w:t>
      </w:r>
      <w:r>
        <w:rPr>
          <w:rFonts w:hint="eastAsia" w:ascii="宋体" w:hAnsi="宋体"/>
          <w:sz w:val="24"/>
        </w:rPr>
        <w:t>设计人须积极配合建设方的日常管理工作，按建设方的要求将设计文件送达指定地点。</w:t>
      </w:r>
    </w:p>
    <w:p w14:paraId="6393DAF2">
      <w:pPr>
        <w:widowControl/>
        <w:spacing w:line="440" w:lineRule="exact"/>
        <w:ind w:firstLine="480" w:firstLineChars="200"/>
        <w:rPr>
          <w:rFonts w:ascii="宋体" w:hAnsi="宋体"/>
          <w:sz w:val="24"/>
        </w:rPr>
      </w:pPr>
      <w:r>
        <w:rPr>
          <w:rFonts w:ascii="宋体" w:hAnsi="宋体"/>
          <w:sz w:val="24"/>
        </w:rPr>
        <w:t>9.2.16</w:t>
      </w:r>
      <w:r>
        <w:rPr>
          <w:rFonts w:hint="eastAsia" w:ascii="宋体" w:hAnsi="宋体"/>
          <w:sz w:val="24"/>
        </w:rPr>
        <w:t>设计人须按照建设方的设计要求开展设计工作，否则建设方有权终止合同，并要求设计人赔偿建设方的所有损失。</w:t>
      </w:r>
    </w:p>
    <w:p w14:paraId="2F2CE838">
      <w:pPr>
        <w:widowControl/>
        <w:spacing w:line="440" w:lineRule="exact"/>
        <w:ind w:firstLine="480" w:firstLineChars="200"/>
        <w:rPr>
          <w:rFonts w:ascii="宋体" w:hAnsi="宋体"/>
          <w:sz w:val="24"/>
        </w:rPr>
      </w:pPr>
      <w:r>
        <w:rPr>
          <w:rFonts w:ascii="宋体" w:hAnsi="宋体"/>
          <w:sz w:val="24"/>
        </w:rPr>
        <w:t>9.2.17</w:t>
      </w:r>
      <w:r>
        <w:rPr>
          <w:rFonts w:hint="eastAsia" w:ascii="宋体" w:hAnsi="宋体"/>
          <w:sz w:val="24"/>
        </w:rPr>
        <w:t>设计人须积极配合建设方的报批政府职能部门的工作，因下述原因产生的设计费用由设计人自行承担，建设方不另行支付任何费用：</w:t>
      </w:r>
    </w:p>
    <w:p w14:paraId="5FCFF151">
      <w:pPr>
        <w:widowControl/>
        <w:spacing w:line="440" w:lineRule="exact"/>
        <w:ind w:firstLine="480" w:firstLineChars="200"/>
        <w:rPr>
          <w:rFonts w:ascii="宋体" w:hAnsi="宋体"/>
          <w:sz w:val="24"/>
        </w:rPr>
      </w:pPr>
      <w:r>
        <w:rPr>
          <w:rFonts w:hint="eastAsia" w:ascii="宋体" w:hAnsi="宋体"/>
          <w:sz w:val="24"/>
        </w:rPr>
        <w:t>a）建设方在确认设计成果时提出的修改或调整意见而产生设计费、资料费等；</w:t>
      </w:r>
    </w:p>
    <w:p w14:paraId="405267AD">
      <w:pPr>
        <w:widowControl/>
        <w:spacing w:line="440" w:lineRule="exact"/>
        <w:ind w:firstLine="480" w:firstLineChars="200"/>
        <w:rPr>
          <w:rFonts w:ascii="宋体" w:hAnsi="宋体"/>
          <w:sz w:val="24"/>
        </w:rPr>
      </w:pPr>
      <w:r>
        <w:rPr>
          <w:rFonts w:hint="eastAsia" w:ascii="宋体" w:hAnsi="宋体"/>
          <w:sz w:val="24"/>
        </w:rPr>
        <w:t>b）建设方在报建过程中相关主管职能部门提出的施工图设计修改或调整意见而产生的设计费、资料费等；</w:t>
      </w:r>
    </w:p>
    <w:p w14:paraId="24783B49">
      <w:pPr>
        <w:widowControl/>
        <w:spacing w:line="440" w:lineRule="exact"/>
        <w:ind w:firstLine="480" w:firstLineChars="200"/>
        <w:rPr>
          <w:rFonts w:ascii="宋体" w:hAnsi="宋体"/>
          <w:sz w:val="24"/>
          <w:lang w:val="zh-CN"/>
        </w:rPr>
      </w:pPr>
      <w:r>
        <w:rPr>
          <w:rFonts w:hint="eastAsia" w:ascii="宋体" w:hAnsi="宋体"/>
          <w:sz w:val="24"/>
        </w:rPr>
        <w:t>c）施工过程中设计变更而产生的设计费、资料费等。</w:t>
      </w:r>
    </w:p>
    <w:p w14:paraId="459DF264">
      <w:pPr>
        <w:spacing w:line="440" w:lineRule="exact"/>
        <w:ind w:firstLine="482" w:firstLineChars="200"/>
        <w:rPr>
          <w:rFonts w:ascii="宋体" w:hAnsi="宋体"/>
          <w:b/>
          <w:bCs/>
          <w:sz w:val="24"/>
        </w:rPr>
      </w:pPr>
      <w:r>
        <w:rPr>
          <w:rFonts w:ascii="宋体" w:hAnsi="宋体"/>
          <w:b/>
          <w:bCs/>
          <w:sz w:val="24"/>
        </w:rPr>
        <w:t>第十条  保密</w:t>
      </w:r>
    </w:p>
    <w:p w14:paraId="515315C6">
      <w:pPr>
        <w:widowControl/>
        <w:spacing w:line="440" w:lineRule="exact"/>
        <w:ind w:firstLine="480" w:firstLineChars="200"/>
        <w:rPr>
          <w:rFonts w:ascii="宋体" w:hAnsi="宋体"/>
          <w:sz w:val="24"/>
          <w:lang w:val="zh-CN"/>
        </w:rPr>
      </w:pPr>
      <w:r>
        <w:rPr>
          <w:rFonts w:ascii="宋体" w:hAnsi="宋体"/>
          <w:sz w:val="24"/>
          <w:lang w:val="zh-CN"/>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147D57ED">
      <w:pPr>
        <w:spacing w:line="440" w:lineRule="exact"/>
        <w:ind w:firstLine="482" w:firstLineChars="200"/>
        <w:rPr>
          <w:rFonts w:ascii="宋体" w:hAnsi="宋体"/>
          <w:b/>
          <w:bCs/>
          <w:sz w:val="24"/>
        </w:rPr>
      </w:pPr>
      <w:r>
        <w:rPr>
          <w:rFonts w:ascii="宋体" w:hAnsi="宋体"/>
          <w:b/>
          <w:bCs/>
          <w:sz w:val="24"/>
        </w:rPr>
        <w:t>第十</w:t>
      </w:r>
      <w:r>
        <w:rPr>
          <w:rFonts w:hint="eastAsia" w:ascii="宋体" w:hAnsi="宋体"/>
          <w:b/>
          <w:bCs/>
          <w:sz w:val="24"/>
        </w:rPr>
        <w:t>一</w:t>
      </w:r>
      <w:r>
        <w:rPr>
          <w:rFonts w:ascii="宋体" w:hAnsi="宋体"/>
          <w:b/>
          <w:bCs/>
          <w:sz w:val="24"/>
        </w:rPr>
        <w:t xml:space="preserve">条  </w:t>
      </w:r>
      <w:r>
        <w:rPr>
          <w:rFonts w:hint="eastAsia" w:ascii="宋体" w:hAnsi="宋体"/>
          <w:b/>
          <w:bCs/>
          <w:sz w:val="24"/>
        </w:rPr>
        <w:t>争议解决</w:t>
      </w:r>
    </w:p>
    <w:p w14:paraId="3A467237">
      <w:pPr>
        <w:widowControl/>
        <w:spacing w:line="440" w:lineRule="exact"/>
        <w:ind w:firstLine="480" w:firstLineChars="200"/>
        <w:rPr>
          <w:rFonts w:ascii="宋体" w:hAnsi="宋体"/>
          <w:sz w:val="24"/>
          <w:lang w:val="zh-CN"/>
        </w:rPr>
      </w:pPr>
      <w:r>
        <w:rPr>
          <w:rFonts w:ascii="宋体" w:hAnsi="宋体"/>
          <w:sz w:val="24"/>
          <w:lang w:val="zh-CN"/>
        </w:rPr>
        <w:t>本建设工程设计合同发生争议，建设方与设计人应及时协商解决。也可由</w:t>
      </w:r>
      <w:r>
        <w:rPr>
          <w:rFonts w:hint="eastAsia" w:ascii="宋体" w:hAnsi="宋体"/>
          <w:sz w:val="24"/>
          <w:lang w:val="zh-CN"/>
        </w:rPr>
        <w:t>项目建设地</w:t>
      </w:r>
      <w:r>
        <w:rPr>
          <w:rFonts w:ascii="宋体" w:hAnsi="宋体"/>
          <w:sz w:val="24"/>
          <w:lang w:val="zh-CN"/>
        </w:rPr>
        <w:t>建设行政主管部门调解，调解不成时，可向</w:t>
      </w:r>
      <w:r>
        <w:rPr>
          <w:rFonts w:hint="eastAsia" w:ascii="宋体" w:hAnsi="宋体"/>
          <w:sz w:val="24"/>
          <w:lang w:val="zh-CN"/>
        </w:rPr>
        <w:t>建设方所在地</w:t>
      </w:r>
      <w:r>
        <w:rPr>
          <w:rFonts w:ascii="宋体" w:hAnsi="宋体"/>
          <w:sz w:val="24"/>
          <w:lang w:val="zh-CN"/>
        </w:rPr>
        <w:t xml:space="preserve">人民法院起诉。  </w:t>
      </w:r>
    </w:p>
    <w:p w14:paraId="2C5B406D">
      <w:pPr>
        <w:spacing w:line="440" w:lineRule="exact"/>
        <w:ind w:firstLine="482" w:firstLineChars="200"/>
        <w:rPr>
          <w:rFonts w:ascii="宋体" w:hAnsi="宋体"/>
          <w:b/>
          <w:bCs/>
          <w:sz w:val="24"/>
        </w:rPr>
      </w:pPr>
      <w:r>
        <w:rPr>
          <w:rFonts w:ascii="宋体" w:hAnsi="宋体"/>
          <w:b/>
          <w:bCs/>
          <w:sz w:val="24"/>
        </w:rPr>
        <w:t>第十</w:t>
      </w:r>
      <w:r>
        <w:rPr>
          <w:rFonts w:hint="eastAsia" w:ascii="宋体" w:hAnsi="宋体"/>
          <w:b/>
          <w:bCs/>
          <w:sz w:val="24"/>
        </w:rPr>
        <w:t>二</w:t>
      </w:r>
      <w:r>
        <w:rPr>
          <w:rFonts w:ascii="宋体" w:hAnsi="宋体"/>
          <w:b/>
          <w:bCs/>
          <w:sz w:val="24"/>
        </w:rPr>
        <w:t>条  合同生效及其他</w:t>
      </w:r>
    </w:p>
    <w:p w14:paraId="7A9244A6">
      <w:pPr>
        <w:tabs>
          <w:tab w:val="left" w:pos="630"/>
        </w:tabs>
        <w:topLinePunct/>
        <w:spacing w:line="360" w:lineRule="auto"/>
        <w:ind w:firstLine="480" w:firstLineChars="200"/>
        <w:rPr>
          <w:rFonts w:ascii="宋体" w:hAnsi="宋体" w:cs="宋体"/>
          <w:sz w:val="24"/>
          <w:szCs w:val="24"/>
        </w:rPr>
      </w:pPr>
      <w:r>
        <w:rPr>
          <w:rFonts w:ascii="宋体" w:hAnsi="宋体"/>
          <w:sz w:val="24"/>
          <w:lang w:val="zh-CN"/>
        </w:rPr>
        <w:t>1</w:t>
      </w:r>
      <w:r>
        <w:rPr>
          <w:rFonts w:hint="eastAsia" w:ascii="宋体" w:hAnsi="宋体"/>
          <w:sz w:val="24"/>
          <w:lang w:val="zh-CN"/>
        </w:rPr>
        <w:t>2</w:t>
      </w:r>
      <w:r>
        <w:rPr>
          <w:rFonts w:ascii="宋体" w:hAnsi="宋体"/>
          <w:sz w:val="24"/>
          <w:lang w:val="zh-CN"/>
        </w:rPr>
        <w:t>.</w:t>
      </w:r>
      <w:r>
        <w:rPr>
          <w:rFonts w:hint="eastAsia" w:ascii="宋体" w:hAnsi="宋体"/>
          <w:sz w:val="24"/>
        </w:rPr>
        <w:t>1设计人为本合同项目的服务至竣工验收合格结束为止并</w:t>
      </w:r>
      <w:r>
        <w:rPr>
          <w:rFonts w:hint="eastAsia" w:ascii="宋体" w:hAnsi="宋体" w:cs="宋体"/>
          <w:sz w:val="24"/>
          <w:szCs w:val="24"/>
        </w:rPr>
        <w:t>遵守现行的国家、电力行业、企业标准、规范、规定以及相关文件要求。相关标准、规范、规定、要求发生冲突时，由甲方负责解释并确定。适用但并不仅限于下列标准：</w:t>
      </w:r>
    </w:p>
    <w:p w14:paraId="396339D6">
      <w:pPr>
        <w:widowControl/>
        <w:spacing w:line="440" w:lineRule="exact"/>
        <w:ind w:firstLine="480" w:firstLineChars="200"/>
        <w:rPr>
          <w:rFonts w:ascii="宋体" w:hAnsi="宋体"/>
          <w:sz w:val="24"/>
        </w:rPr>
      </w:pPr>
      <w:r>
        <w:rPr>
          <w:rFonts w:hint="eastAsia" w:ascii="宋体" w:hAnsi="宋体"/>
          <w:sz w:val="24"/>
        </w:rPr>
        <w:t>建筑工程施工质量验收统一标准（GB50300-2013）</w:t>
      </w:r>
    </w:p>
    <w:p w14:paraId="10BDD74A">
      <w:pPr>
        <w:widowControl/>
        <w:spacing w:line="440" w:lineRule="exact"/>
        <w:ind w:firstLine="480" w:firstLineChars="200"/>
        <w:rPr>
          <w:rFonts w:ascii="宋体" w:hAnsi="宋体"/>
          <w:sz w:val="24"/>
        </w:rPr>
      </w:pPr>
      <w:r>
        <w:rPr>
          <w:rFonts w:hint="eastAsia" w:ascii="宋体" w:hAnsi="宋体"/>
          <w:sz w:val="24"/>
        </w:rPr>
        <w:t>建筑电气工程施工质量验收规（GB 50303-2015）</w:t>
      </w:r>
    </w:p>
    <w:p w14:paraId="54D542D9">
      <w:pPr>
        <w:tabs>
          <w:tab w:val="left" w:pos="630"/>
        </w:tabs>
        <w:topLinePunct/>
        <w:spacing w:line="360" w:lineRule="auto"/>
        <w:ind w:firstLine="480" w:firstLineChars="200"/>
        <w:rPr>
          <w:rFonts w:ascii="宋体" w:hAnsi="宋体" w:cs="宋体"/>
          <w:sz w:val="24"/>
          <w:szCs w:val="24"/>
        </w:rPr>
      </w:pPr>
      <w:r>
        <w:rPr>
          <w:rFonts w:hint="eastAsia" w:ascii="宋体" w:hAnsi="宋体" w:cs="宋体"/>
          <w:sz w:val="24"/>
          <w:szCs w:val="24"/>
        </w:rPr>
        <w:t>110kV～750kV架空输电线路设计规范（GB 50545-2010）</w:t>
      </w:r>
    </w:p>
    <w:p w14:paraId="57B0B06E">
      <w:pPr>
        <w:tabs>
          <w:tab w:val="left" w:pos="630"/>
        </w:tabs>
        <w:topLinePunct/>
        <w:spacing w:line="360" w:lineRule="auto"/>
        <w:ind w:firstLine="480" w:firstLineChars="200"/>
        <w:rPr>
          <w:rFonts w:ascii="宋体" w:hAnsi="宋体" w:cs="宋体"/>
          <w:sz w:val="24"/>
          <w:szCs w:val="24"/>
        </w:rPr>
      </w:pPr>
      <w:r>
        <w:rPr>
          <w:rFonts w:hint="eastAsia" w:ascii="宋体" w:hAnsi="宋体" w:cs="宋体"/>
          <w:sz w:val="24"/>
          <w:szCs w:val="24"/>
        </w:rPr>
        <w:t>交流电气装置的过电压保护和绝缘配合（DL/T 620-1997）</w:t>
      </w:r>
    </w:p>
    <w:p w14:paraId="3B950146">
      <w:pPr>
        <w:tabs>
          <w:tab w:val="left" w:pos="630"/>
        </w:tabs>
        <w:topLinePunct/>
        <w:spacing w:line="360" w:lineRule="auto"/>
        <w:ind w:firstLine="480" w:firstLineChars="200"/>
        <w:rPr>
          <w:rFonts w:ascii="宋体" w:hAnsi="宋体" w:cs="宋体"/>
          <w:sz w:val="24"/>
          <w:szCs w:val="24"/>
        </w:rPr>
      </w:pPr>
      <w:r>
        <w:rPr>
          <w:rFonts w:hint="eastAsia" w:ascii="宋体" w:hAnsi="宋体" w:cs="宋体"/>
          <w:sz w:val="24"/>
          <w:szCs w:val="24"/>
        </w:rPr>
        <w:t>交流电气装置的过电压保护和绝缘配合设计规范（GB/T 50064-2014）</w:t>
      </w:r>
    </w:p>
    <w:p w14:paraId="5E816A4E">
      <w:pPr>
        <w:tabs>
          <w:tab w:val="left" w:pos="630"/>
        </w:tabs>
        <w:topLinePunct/>
        <w:spacing w:line="360" w:lineRule="auto"/>
        <w:ind w:firstLine="480" w:firstLineChars="200"/>
        <w:rPr>
          <w:rFonts w:ascii="宋体" w:hAnsi="宋体" w:cs="宋体"/>
          <w:sz w:val="24"/>
          <w:szCs w:val="24"/>
        </w:rPr>
      </w:pPr>
      <w:r>
        <w:rPr>
          <w:rFonts w:hint="eastAsia" w:ascii="宋体" w:hAnsi="宋体" w:cs="宋体"/>
          <w:sz w:val="24"/>
          <w:szCs w:val="24"/>
        </w:rPr>
        <w:t>国家电网公司十八项电网重大反事故措施（修订版）及编制说明</w:t>
      </w:r>
    </w:p>
    <w:p w14:paraId="3CD503F3">
      <w:pPr>
        <w:tabs>
          <w:tab w:val="left" w:pos="630"/>
        </w:tabs>
        <w:topLinePunct/>
        <w:spacing w:line="360" w:lineRule="auto"/>
        <w:ind w:firstLine="480" w:firstLineChars="200"/>
        <w:rPr>
          <w:rFonts w:ascii="宋体" w:hAnsi="宋体" w:cs="宋体"/>
          <w:sz w:val="24"/>
          <w:szCs w:val="24"/>
        </w:rPr>
      </w:pPr>
      <w:r>
        <w:rPr>
          <w:rFonts w:hint="eastAsia" w:ascii="宋体" w:hAnsi="宋体" w:cs="宋体"/>
          <w:sz w:val="24"/>
          <w:szCs w:val="24"/>
        </w:rPr>
        <w:t>电力工程电缆设计标准（GB 50217-2018）</w:t>
      </w:r>
    </w:p>
    <w:p w14:paraId="249D1CF8">
      <w:pPr>
        <w:tabs>
          <w:tab w:val="left" w:pos="630"/>
        </w:tabs>
        <w:topLinePunct/>
        <w:spacing w:line="360" w:lineRule="auto"/>
        <w:ind w:firstLine="480" w:firstLineChars="200"/>
        <w:rPr>
          <w:rFonts w:ascii="宋体" w:hAnsi="宋体" w:cs="宋体"/>
          <w:sz w:val="24"/>
          <w:szCs w:val="24"/>
        </w:rPr>
      </w:pPr>
      <w:r>
        <w:rPr>
          <w:rFonts w:hint="eastAsia" w:ascii="宋体" w:hAnsi="宋体" w:cs="宋体"/>
          <w:sz w:val="24"/>
          <w:szCs w:val="24"/>
        </w:rPr>
        <w:t>电气装置安装工程电缆线路施工验收规范(GB 50168-2006)</w:t>
      </w:r>
    </w:p>
    <w:p w14:paraId="16E035C0">
      <w:pPr>
        <w:tabs>
          <w:tab w:val="left" w:pos="630"/>
        </w:tabs>
        <w:topLinePunct/>
        <w:spacing w:line="360" w:lineRule="auto"/>
        <w:ind w:firstLine="480" w:firstLineChars="200"/>
        <w:rPr>
          <w:rFonts w:ascii="宋体" w:hAnsi="宋体" w:cs="宋体"/>
          <w:sz w:val="24"/>
          <w:szCs w:val="24"/>
        </w:rPr>
      </w:pPr>
      <w:r>
        <w:rPr>
          <w:rFonts w:hint="eastAsia" w:ascii="宋体" w:hAnsi="宋体" w:cs="宋体"/>
          <w:sz w:val="24"/>
          <w:szCs w:val="24"/>
        </w:rPr>
        <w:t>电缆线路标准化建设规范 Q/GDW23 102-04-002-2017</w:t>
      </w:r>
    </w:p>
    <w:p w14:paraId="5146503A">
      <w:pPr>
        <w:tabs>
          <w:tab w:val="left" w:pos="630"/>
        </w:tabs>
        <w:topLinePunct/>
        <w:spacing w:line="360" w:lineRule="auto"/>
        <w:ind w:firstLine="480" w:firstLineChars="200"/>
        <w:rPr>
          <w:rFonts w:ascii="宋体" w:hAnsi="宋体" w:cs="宋体"/>
          <w:sz w:val="24"/>
          <w:szCs w:val="24"/>
        </w:rPr>
      </w:pPr>
      <w:r>
        <w:rPr>
          <w:rFonts w:hint="eastAsia" w:ascii="宋体" w:hAnsi="宋体" w:cs="宋体"/>
          <w:sz w:val="24"/>
          <w:szCs w:val="24"/>
        </w:rPr>
        <w:t>钢结构设计标准(附条文说明[另册])（GB 50017-2017）</w:t>
      </w:r>
    </w:p>
    <w:p w14:paraId="13845116">
      <w:pPr>
        <w:tabs>
          <w:tab w:val="left" w:pos="630"/>
        </w:tabs>
        <w:topLinePunct/>
        <w:spacing w:line="360" w:lineRule="auto"/>
        <w:ind w:firstLine="480" w:firstLineChars="200"/>
        <w:rPr>
          <w:rFonts w:ascii="宋体" w:hAnsi="宋体" w:cs="宋体"/>
          <w:sz w:val="24"/>
          <w:szCs w:val="24"/>
        </w:rPr>
      </w:pPr>
      <w:r>
        <w:rPr>
          <w:rFonts w:hint="eastAsia" w:ascii="宋体" w:hAnsi="宋体" w:cs="宋体"/>
          <w:sz w:val="24"/>
          <w:szCs w:val="24"/>
        </w:rPr>
        <w:t>电气装置安装工程接地装置施工及验收规范（GB 50169-2006）</w:t>
      </w:r>
    </w:p>
    <w:p w14:paraId="0DF09F71">
      <w:pPr>
        <w:tabs>
          <w:tab w:val="left" w:pos="630"/>
        </w:tabs>
        <w:topLinePunct/>
        <w:spacing w:line="360" w:lineRule="auto"/>
        <w:ind w:firstLine="480" w:firstLineChars="200"/>
        <w:rPr>
          <w:rFonts w:ascii="宋体" w:hAnsi="宋体" w:cs="宋体"/>
          <w:sz w:val="24"/>
          <w:szCs w:val="24"/>
        </w:rPr>
      </w:pPr>
      <w:r>
        <w:rPr>
          <w:rFonts w:hint="eastAsia" w:ascii="宋体" w:hAnsi="宋体" w:cs="宋体"/>
          <w:sz w:val="24"/>
          <w:szCs w:val="24"/>
        </w:rPr>
        <w:t>电气装置安装工程电气设备交接试验标准（GB 50150-2016）</w:t>
      </w:r>
    </w:p>
    <w:p w14:paraId="451128D3">
      <w:pPr>
        <w:tabs>
          <w:tab w:val="left" w:pos="630"/>
        </w:tabs>
        <w:topLinePunct/>
        <w:spacing w:line="360" w:lineRule="auto"/>
        <w:ind w:firstLine="480" w:firstLineChars="200"/>
        <w:rPr>
          <w:rFonts w:ascii="宋体" w:hAnsi="宋体" w:cs="宋体"/>
          <w:sz w:val="24"/>
          <w:szCs w:val="24"/>
        </w:rPr>
      </w:pPr>
      <w:r>
        <w:rPr>
          <w:rFonts w:hint="eastAsia" w:ascii="宋体" w:hAnsi="宋体" w:cs="宋体"/>
          <w:sz w:val="24"/>
          <w:szCs w:val="24"/>
        </w:rPr>
        <w:t>电气装置安装工程高压电器施工及验收规范（GB 50147-2010）</w:t>
      </w:r>
    </w:p>
    <w:p w14:paraId="3D56343B">
      <w:pPr>
        <w:tabs>
          <w:tab w:val="left" w:pos="630"/>
        </w:tabs>
        <w:topLinePunct/>
        <w:spacing w:line="360" w:lineRule="auto"/>
        <w:ind w:firstLine="480" w:firstLineChars="200"/>
        <w:rPr>
          <w:rFonts w:ascii="宋体" w:hAnsi="宋体" w:cs="宋体"/>
          <w:sz w:val="24"/>
          <w:szCs w:val="24"/>
        </w:rPr>
      </w:pPr>
      <w:r>
        <w:rPr>
          <w:rFonts w:hint="eastAsia" w:ascii="宋体" w:hAnsi="宋体" w:cs="宋体"/>
          <w:sz w:val="24"/>
          <w:szCs w:val="24"/>
        </w:rPr>
        <w:t>电气装置安装工程电力变压器、油浸电抗器、互感器施工及验收规范（GB 50148-2010）</w:t>
      </w:r>
    </w:p>
    <w:p w14:paraId="3AF2240C">
      <w:pPr>
        <w:tabs>
          <w:tab w:val="left" w:pos="630"/>
        </w:tabs>
        <w:topLinePunct/>
        <w:spacing w:line="360" w:lineRule="auto"/>
        <w:ind w:firstLine="480" w:firstLineChars="200"/>
        <w:rPr>
          <w:rFonts w:ascii="宋体" w:hAnsi="宋体" w:cs="宋体"/>
          <w:sz w:val="24"/>
          <w:szCs w:val="24"/>
        </w:rPr>
      </w:pPr>
      <w:r>
        <w:rPr>
          <w:rFonts w:hint="eastAsia" w:ascii="宋体" w:hAnsi="宋体" w:cs="宋体"/>
          <w:sz w:val="24"/>
          <w:szCs w:val="24"/>
        </w:rPr>
        <w:t>电气装置安装工程母线装置施工及验收规范（GB 50149-2010）</w:t>
      </w:r>
    </w:p>
    <w:p w14:paraId="2E82AA84">
      <w:pPr>
        <w:tabs>
          <w:tab w:val="left" w:pos="630"/>
        </w:tabs>
        <w:topLinePunct/>
        <w:spacing w:line="360" w:lineRule="auto"/>
        <w:ind w:firstLine="480" w:firstLineChars="200"/>
        <w:rPr>
          <w:rFonts w:ascii="宋体" w:hAnsi="宋体" w:cs="宋体"/>
          <w:sz w:val="24"/>
          <w:szCs w:val="24"/>
        </w:rPr>
      </w:pPr>
      <w:r>
        <w:rPr>
          <w:rFonts w:hint="eastAsia" w:ascii="宋体" w:hAnsi="宋体" w:cs="宋体"/>
          <w:sz w:val="24"/>
          <w:szCs w:val="24"/>
        </w:rPr>
        <w:t>电气装置安装工程电气设备交接试验标准（GB 50150-2016）</w:t>
      </w:r>
    </w:p>
    <w:p w14:paraId="1FD780EE">
      <w:pPr>
        <w:tabs>
          <w:tab w:val="left" w:pos="630"/>
        </w:tabs>
        <w:topLinePunct/>
        <w:spacing w:line="360" w:lineRule="auto"/>
        <w:ind w:firstLine="480" w:firstLineChars="200"/>
        <w:rPr>
          <w:rFonts w:ascii="宋体" w:hAnsi="宋体" w:cs="宋体"/>
          <w:sz w:val="24"/>
          <w:szCs w:val="24"/>
        </w:rPr>
      </w:pPr>
      <w:r>
        <w:rPr>
          <w:rFonts w:hint="eastAsia" w:ascii="宋体" w:hAnsi="宋体" w:cs="宋体"/>
          <w:sz w:val="24"/>
          <w:szCs w:val="24"/>
        </w:rPr>
        <w:t>电气装置安装工程电缆线路施工及验收规范（GB 50168-1992）</w:t>
      </w:r>
    </w:p>
    <w:p w14:paraId="58F240A6">
      <w:pPr>
        <w:tabs>
          <w:tab w:val="left" w:pos="630"/>
        </w:tabs>
        <w:topLinePunct/>
        <w:spacing w:line="360" w:lineRule="auto"/>
        <w:ind w:firstLine="480" w:firstLineChars="200"/>
        <w:rPr>
          <w:rFonts w:ascii="宋体" w:hAnsi="宋体" w:cs="宋体"/>
          <w:sz w:val="24"/>
          <w:szCs w:val="24"/>
        </w:rPr>
      </w:pPr>
      <w:r>
        <w:rPr>
          <w:rFonts w:hint="eastAsia" w:ascii="宋体" w:hAnsi="宋体" w:cs="宋体"/>
          <w:sz w:val="24"/>
          <w:szCs w:val="24"/>
        </w:rPr>
        <w:t>电气装置安装工程接地装置施工及验收规范（GB 50169-1992）</w:t>
      </w:r>
    </w:p>
    <w:p w14:paraId="77611079">
      <w:pPr>
        <w:tabs>
          <w:tab w:val="left" w:pos="630"/>
        </w:tabs>
        <w:topLinePunct/>
        <w:spacing w:line="360" w:lineRule="auto"/>
        <w:ind w:firstLine="480" w:firstLineChars="200"/>
        <w:rPr>
          <w:rFonts w:ascii="宋体" w:hAnsi="宋体" w:cs="宋体"/>
          <w:sz w:val="24"/>
          <w:szCs w:val="24"/>
        </w:rPr>
      </w:pPr>
      <w:r>
        <w:rPr>
          <w:rFonts w:hint="eastAsia" w:ascii="宋体" w:hAnsi="宋体" w:cs="宋体"/>
          <w:sz w:val="24"/>
          <w:szCs w:val="24"/>
        </w:rPr>
        <w:t>电气装置安装工程盘、柜及二次回路结线施工及验收规范（GB 50171-1992）</w:t>
      </w:r>
    </w:p>
    <w:p w14:paraId="1B78F6E5">
      <w:pPr>
        <w:tabs>
          <w:tab w:val="left" w:pos="630"/>
        </w:tabs>
        <w:topLinePunct/>
        <w:spacing w:line="360" w:lineRule="auto"/>
        <w:ind w:firstLine="480" w:firstLineChars="200"/>
        <w:rPr>
          <w:rFonts w:ascii="宋体" w:hAnsi="宋体" w:cs="宋体"/>
          <w:sz w:val="24"/>
          <w:szCs w:val="24"/>
        </w:rPr>
      </w:pPr>
      <w:r>
        <w:rPr>
          <w:rFonts w:hint="eastAsia" w:ascii="宋体" w:hAnsi="宋体" w:cs="宋体"/>
          <w:sz w:val="24"/>
          <w:szCs w:val="24"/>
        </w:rPr>
        <w:t>电气装置安装工程电力变流设备施工及验收规范（GB 50255-1996）</w:t>
      </w:r>
    </w:p>
    <w:p w14:paraId="2708B365">
      <w:pPr>
        <w:tabs>
          <w:tab w:val="left" w:pos="630"/>
        </w:tabs>
        <w:topLinePunct/>
        <w:spacing w:line="360" w:lineRule="auto"/>
        <w:ind w:firstLine="480" w:firstLineChars="200"/>
        <w:rPr>
          <w:rFonts w:ascii="宋体" w:hAnsi="宋体" w:cs="宋体"/>
          <w:sz w:val="24"/>
          <w:szCs w:val="24"/>
        </w:rPr>
      </w:pPr>
      <w:r>
        <w:rPr>
          <w:rFonts w:hint="eastAsia" w:ascii="宋体" w:hAnsi="宋体" w:cs="宋体"/>
          <w:sz w:val="24"/>
          <w:szCs w:val="24"/>
        </w:rPr>
        <w:t>电气装置安装工程质量检验及评定规程（DL/T 5161.1-5161.17-2002）</w:t>
      </w:r>
    </w:p>
    <w:p w14:paraId="00F55274">
      <w:pPr>
        <w:tabs>
          <w:tab w:val="left" w:pos="630"/>
        </w:tabs>
        <w:topLinePunct/>
        <w:spacing w:line="360" w:lineRule="auto"/>
        <w:ind w:firstLine="480" w:firstLineChars="200"/>
        <w:rPr>
          <w:rFonts w:ascii="宋体" w:hAnsi="宋体" w:cs="宋体"/>
          <w:sz w:val="24"/>
          <w:szCs w:val="24"/>
        </w:rPr>
      </w:pPr>
      <w:r>
        <w:rPr>
          <w:rFonts w:hint="eastAsia" w:ascii="宋体" w:hAnsi="宋体" w:cs="宋体"/>
          <w:sz w:val="24"/>
          <w:szCs w:val="24"/>
        </w:rPr>
        <w:t>国家电网输变电工程典型设计</w:t>
      </w:r>
    </w:p>
    <w:p w14:paraId="7AC681B5">
      <w:pPr>
        <w:widowControl/>
        <w:spacing w:line="440" w:lineRule="exact"/>
        <w:ind w:firstLine="480" w:firstLineChars="200"/>
        <w:rPr>
          <w:rFonts w:ascii="宋体" w:hAnsi="宋体"/>
          <w:sz w:val="24"/>
          <w:lang w:val="zh-CN"/>
        </w:rPr>
      </w:pPr>
      <w:r>
        <w:rPr>
          <w:rFonts w:ascii="宋体" w:hAnsi="宋体"/>
          <w:sz w:val="24"/>
        </w:rPr>
        <w:t>12.2</w:t>
      </w:r>
      <w:r>
        <w:rPr>
          <w:rFonts w:ascii="宋体" w:hAnsi="宋体"/>
          <w:sz w:val="24"/>
          <w:lang w:val="zh-CN"/>
        </w:rPr>
        <w:t>本工程项目中，设计人不得指定建筑材料、设备的生产厂或供货商。建设方需要设计人配合建筑材料、设备的加工订货时，所需费用由建设方承担。</w:t>
      </w:r>
    </w:p>
    <w:p w14:paraId="33D86844">
      <w:pPr>
        <w:widowControl/>
        <w:spacing w:line="440" w:lineRule="exact"/>
        <w:ind w:firstLine="480" w:firstLineChars="200"/>
        <w:rPr>
          <w:rFonts w:ascii="宋体" w:hAnsi="宋体"/>
          <w:sz w:val="24"/>
          <w:lang w:val="zh-CN"/>
        </w:rPr>
      </w:pPr>
      <w:r>
        <w:rPr>
          <w:rFonts w:ascii="宋体" w:hAnsi="宋体"/>
          <w:sz w:val="24"/>
          <w:lang w:val="zh-CN"/>
        </w:rPr>
        <w:t>1</w:t>
      </w:r>
      <w:r>
        <w:rPr>
          <w:rFonts w:hint="eastAsia" w:ascii="宋体" w:hAnsi="宋体"/>
          <w:sz w:val="24"/>
          <w:lang w:val="zh-CN"/>
        </w:rPr>
        <w:t>2</w:t>
      </w:r>
      <w:r>
        <w:rPr>
          <w:rFonts w:ascii="宋体" w:hAnsi="宋体"/>
          <w:sz w:val="24"/>
          <w:lang w:val="zh-CN"/>
        </w:rPr>
        <w:t>.</w:t>
      </w:r>
      <w:r>
        <w:rPr>
          <w:rFonts w:hint="eastAsia" w:ascii="宋体" w:hAnsi="宋体"/>
          <w:sz w:val="24"/>
        </w:rPr>
        <w:t>3</w:t>
      </w:r>
      <w:r>
        <w:rPr>
          <w:rFonts w:ascii="宋体" w:hAnsi="宋体"/>
          <w:sz w:val="24"/>
          <w:lang w:val="zh-CN"/>
        </w:rPr>
        <w:t>建设方委托人设计承担本合同内容以外的工作服务，另行签订协议并付费用。</w:t>
      </w:r>
    </w:p>
    <w:p w14:paraId="11E3291D">
      <w:pPr>
        <w:widowControl/>
        <w:spacing w:line="440" w:lineRule="exact"/>
        <w:ind w:firstLine="480" w:firstLineChars="200"/>
        <w:rPr>
          <w:rFonts w:ascii="宋体" w:hAnsi="宋体"/>
          <w:sz w:val="24"/>
          <w:lang w:val="zh-CN"/>
        </w:rPr>
      </w:pPr>
      <w:r>
        <w:rPr>
          <w:rFonts w:ascii="宋体" w:hAnsi="宋体"/>
          <w:sz w:val="24"/>
          <w:lang w:val="zh-CN"/>
        </w:rPr>
        <w:t>1</w:t>
      </w:r>
      <w:r>
        <w:rPr>
          <w:rFonts w:hint="eastAsia" w:ascii="宋体" w:hAnsi="宋体"/>
          <w:sz w:val="24"/>
          <w:lang w:val="zh-CN"/>
        </w:rPr>
        <w:t>2.</w:t>
      </w:r>
      <w:r>
        <w:rPr>
          <w:rFonts w:ascii="宋体" w:hAnsi="宋体"/>
          <w:sz w:val="24"/>
          <w:lang w:val="zh-CN"/>
        </w:rPr>
        <w:t>4由于不可抗力因素致使合同无法履行时，双方应及时协商解决。</w:t>
      </w:r>
    </w:p>
    <w:p w14:paraId="6F773C5F">
      <w:pPr>
        <w:widowControl/>
        <w:spacing w:line="440" w:lineRule="exact"/>
        <w:ind w:firstLine="480" w:firstLineChars="200"/>
        <w:rPr>
          <w:rFonts w:ascii="宋体" w:hAnsi="宋体"/>
          <w:sz w:val="24"/>
          <w:lang w:val="zh-CN"/>
        </w:rPr>
      </w:pPr>
      <w:r>
        <w:rPr>
          <w:rFonts w:ascii="宋体" w:hAnsi="宋体"/>
          <w:sz w:val="24"/>
          <w:lang w:val="zh-CN"/>
        </w:rPr>
        <w:t>12.5</w:t>
      </w:r>
      <w:r>
        <w:rPr>
          <w:rFonts w:hint="eastAsia" w:ascii="宋体" w:hAnsi="宋体"/>
          <w:sz w:val="24"/>
          <w:lang w:val="zh-CN"/>
        </w:rPr>
        <w:t>设计人应按以下信息向建设方开具增值税专用发票：</w:t>
      </w:r>
    </w:p>
    <w:p w14:paraId="0C6E67E4">
      <w:pPr>
        <w:widowControl/>
        <w:spacing w:line="440" w:lineRule="exact"/>
        <w:ind w:firstLine="480" w:firstLineChars="200"/>
        <w:rPr>
          <w:rFonts w:ascii="宋体" w:hAnsi="宋体"/>
          <w:sz w:val="24"/>
          <w:lang w:val="zh-CN"/>
        </w:rPr>
      </w:pPr>
      <w:r>
        <w:rPr>
          <w:rFonts w:hint="eastAsia" w:ascii="宋体" w:hAnsi="宋体"/>
          <w:sz w:val="24"/>
          <w:lang w:val="zh-CN"/>
        </w:rPr>
        <w:t>单位名称： 重庆国际复合材料股份有限公司长寿分公司</w:t>
      </w:r>
    </w:p>
    <w:p w14:paraId="5E3D04E2">
      <w:pPr>
        <w:widowControl/>
        <w:spacing w:line="440" w:lineRule="exact"/>
        <w:ind w:firstLine="480" w:firstLineChars="200"/>
        <w:rPr>
          <w:rFonts w:ascii="宋体" w:hAnsi="宋体"/>
          <w:sz w:val="24"/>
          <w:lang w:val="zh-CN"/>
        </w:rPr>
      </w:pPr>
      <w:r>
        <w:rPr>
          <w:rFonts w:hint="eastAsia" w:ascii="宋体" w:hAnsi="宋体"/>
          <w:sz w:val="24"/>
          <w:lang w:val="zh-CN"/>
        </w:rPr>
        <w:t>纳税人识别号：91500115781577477H</w:t>
      </w:r>
    </w:p>
    <w:p w14:paraId="1B28B027">
      <w:pPr>
        <w:widowControl/>
        <w:spacing w:line="440" w:lineRule="exact"/>
        <w:ind w:firstLine="480" w:firstLineChars="200"/>
        <w:rPr>
          <w:rFonts w:ascii="宋体" w:hAnsi="宋体"/>
          <w:sz w:val="24"/>
          <w:lang w:val="zh-CN"/>
        </w:rPr>
      </w:pPr>
      <w:r>
        <w:rPr>
          <w:rFonts w:hint="eastAsia" w:ascii="宋体" w:hAnsi="宋体"/>
          <w:sz w:val="24"/>
          <w:lang w:val="zh-CN"/>
        </w:rPr>
        <w:t>单位地址： 重庆市长寿区晏家工业园</w:t>
      </w:r>
    </w:p>
    <w:p w14:paraId="75688483">
      <w:pPr>
        <w:widowControl/>
        <w:spacing w:line="440" w:lineRule="exact"/>
        <w:ind w:firstLine="480" w:firstLineChars="200"/>
        <w:rPr>
          <w:rFonts w:ascii="宋体" w:hAnsi="宋体"/>
          <w:sz w:val="24"/>
          <w:lang w:val="zh-CN"/>
        </w:rPr>
      </w:pPr>
      <w:r>
        <w:rPr>
          <w:rFonts w:hint="eastAsia" w:ascii="宋体" w:hAnsi="宋体"/>
          <w:sz w:val="24"/>
          <w:lang w:val="zh-CN"/>
        </w:rPr>
        <w:t>联系电话：023-68157845</w:t>
      </w:r>
    </w:p>
    <w:p w14:paraId="35A50B85">
      <w:pPr>
        <w:widowControl/>
        <w:spacing w:line="440" w:lineRule="exact"/>
        <w:ind w:firstLine="480" w:firstLineChars="200"/>
        <w:rPr>
          <w:rFonts w:ascii="宋体" w:hAnsi="宋体"/>
          <w:sz w:val="24"/>
          <w:lang w:val="zh-CN"/>
        </w:rPr>
      </w:pPr>
      <w:r>
        <w:rPr>
          <w:rFonts w:hint="eastAsia" w:ascii="宋体" w:hAnsi="宋体"/>
          <w:sz w:val="24"/>
          <w:lang w:val="zh-CN"/>
        </w:rPr>
        <w:t>开户行：中国银行重庆晏家支行</w:t>
      </w:r>
    </w:p>
    <w:p w14:paraId="07CD2CB8">
      <w:pPr>
        <w:widowControl/>
        <w:spacing w:line="440" w:lineRule="exact"/>
        <w:ind w:firstLine="480" w:firstLineChars="200"/>
        <w:rPr>
          <w:rFonts w:ascii="宋体" w:hAnsi="宋体"/>
          <w:sz w:val="24"/>
          <w:lang w:val="zh-CN"/>
        </w:rPr>
      </w:pPr>
      <w:r>
        <w:rPr>
          <w:rFonts w:hint="eastAsia" w:ascii="宋体" w:hAnsi="宋体"/>
          <w:sz w:val="24"/>
          <w:lang w:val="zh-CN"/>
        </w:rPr>
        <w:t>账号：108808685536</w:t>
      </w:r>
    </w:p>
    <w:p w14:paraId="298C22AB">
      <w:pPr>
        <w:widowControl/>
        <w:spacing w:line="440" w:lineRule="exact"/>
        <w:ind w:firstLine="480" w:firstLineChars="200"/>
        <w:rPr>
          <w:rFonts w:ascii="宋体" w:hAnsi="宋体"/>
          <w:sz w:val="24"/>
          <w:lang w:val="zh-CN"/>
        </w:rPr>
      </w:pPr>
      <w:r>
        <w:rPr>
          <w:rFonts w:ascii="宋体" w:hAnsi="宋体"/>
          <w:sz w:val="24"/>
          <w:lang w:val="zh-CN"/>
        </w:rPr>
        <w:t>1</w:t>
      </w:r>
      <w:r>
        <w:rPr>
          <w:rFonts w:hint="eastAsia" w:ascii="宋体" w:hAnsi="宋体"/>
          <w:sz w:val="24"/>
          <w:lang w:val="zh-CN"/>
        </w:rPr>
        <w:t>2</w:t>
      </w:r>
      <w:r>
        <w:rPr>
          <w:rFonts w:ascii="宋体" w:hAnsi="宋体"/>
          <w:sz w:val="24"/>
          <w:lang w:val="zh-CN"/>
        </w:rPr>
        <w:t>.</w:t>
      </w:r>
      <w:r>
        <w:rPr>
          <w:rFonts w:hint="eastAsia" w:ascii="宋体" w:hAnsi="宋体"/>
          <w:sz w:val="24"/>
        </w:rPr>
        <w:t>6本合同经双方法定代表人或法定代表人授权人签字并加盖单位公章后生效</w:t>
      </w:r>
      <w:r>
        <w:rPr>
          <w:rFonts w:ascii="宋体" w:hAnsi="宋体"/>
          <w:sz w:val="24"/>
          <w:lang w:val="zh-CN"/>
        </w:rPr>
        <w:t>，一式</w:t>
      </w:r>
      <w:r>
        <w:rPr>
          <w:rFonts w:ascii="宋体" w:hAnsi="宋体"/>
          <w:sz w:val="24"/>
          <w:u w:val="single"/>
          <w:lang w:val="zh-CN"/>
        </w:rPr>
        <w:t xml:space="preserve"> </w:t>
      </w:r>
      <w:r>
        <w:rPr>
          <w:rFonts w:hint="eastAsia" w:ascii="宋体" w:hAnsi="宋体"/>
          <w:sz w:val="24"/>
          <w:u w:val="single"/>
          <w:lang w:val="zh-CN"/>
        </w:rPr>
        <w:t>捌</w:t>
      </w:r>
      <w:r>
        <w:rPr>
          <w:rFonts w:ascii="宋体" w:hAnsi="宋体"/>
          <w:sz w:val="24"/>
          <w:u w:val="single"/>
          <w:lang w:val="zh-CN"/>
        </w:rPr>
        <w:t xml:space="preserve"> </w:t>
      </w:r>
      <w:r>
        <w:rPr>
          <w:rFonts w:ascii="宋体" w:hAnsi="宋体"/>
          <w:sz w:val="24"/>
          <w:lang w:val="zh-CN"/>
        </w:rPr>
        <w:t>份，建设方</w:t>
      </w:r>
      <w:r>
        <w:rPr>
          <w:rFonts w:ascii="宋体" w:hAnsi="宋体"/>
          <w:sz w:val="24"/>
          <w:u w:val="single"/>
          <w:lang w:val="zh-CN"/>
        </w:rPr>
        <w:t xml:space="preserve"> </w:t>
      </w:r>
      <w:r>
        <w:rPr>
          <w:rFonts w:hint="eastAsia" w:ascii="宋体" w:hAnsi="宋体"/>
          <w:sz w:val="24"/>
          <w:u w:val="single"/>
          <w:lang w:val="zh-CN"/>
        </w:rPr>
        <w:t>伍</w:t>
      </w:r>
      <w:r>
        <w:rPr>
          <w:rFonts w:ascii="宋体" w:hAnsi="宋体"/>
          <w:sz w:val="24"/>
          <w:u w:val="single"/>
          <w:lang w:val="zh-CN"/>
        </w:rPr>
        <w:t xml:space="preserve"> </w:t>
      </w:r>
      <w:r>
        <w:rPr>
          <w:rFonts w:ascii="宋体" w:hAnsi="宋体"/>
          <w:sz w:val="24"/>
          <w:lang w:val="zh-CN"/>
        </w:rPr>
        <w:t>份，设计人</w:t>
      </w:r>
      <w:r>
        <w:rPr>
          <w:rFonts w:ascii="宋体" w:hAnsi="宋体"/>
          <w:sz w:val="24"/>
          <w:u w:val="single"/>
          <w:lang w:val="zh-CN"/>
        </w:rPr>
        <w:t xml:space="preserve">  </w:t>
      </w:r>
      <w:r>
        <w:rPr>
          <w:rFonts w:hint="eastAsia" w:ascii="宋体" w:hAnsi="宋体"/>
          <w:sz w:val="24"/>
          <w:u w:val="single"/>
          <w:lang w:val="zh-CN"/>
        </w:rPr>
        <w:t>叁</w:t>
      </w:r>
      <w:r>
        <w:rPr>
          <w:rFonts w:ascii="宋体" w:hAnsi="宋体"/>
          <w:sz w:val="24"/>
          <w:u w:val="single"/>
          <w:lang w:val="zh-CN"/>
        </w:rPr>
        <w:t xml:space="preserve"> </w:t>
      </w:r>
      <w:r>
        <w:rPr>
          <w:rFonts w:ascii="宋体" w:hAnsi="宋体"/>
          <w:sz w:val="24"/>
          <w:lang w:val="zh-CN"/>
        </w:rPr>
        <w:t>份。</w:t>
      </w:r>
    </w:p>
    <w:p w14:paraId="019A394E">
      <w:pPr>
        <w:widowControl/>
        <w:spacing w:line="440" w:lineRule="exact"/>
        <w:ind w:firstLine="480" w:firstLineChars="200"/>
        <w:rPr>
          <w:rFonts w:ascii="宋体" w:hAnsi="宋体"/>
          <w:sz w:val="24"/>
          <w:lang w:val="zh-CN"/>
        </w:rPr>
      </w:pPr>
      <w:r>
        <w:rPr>
          <w:rFonts w:ascii="宋体" w:hAnsi="宋体"/>
          <w:sz w:val="24"/>
          <w:lang w:val="zh-CN"/>
        </w:rPr>
        <w:t>1</w:t>
      </w:r>
      <w:r>
        <w:rPr>
          <w:rFonts w:hint="eastAsia" w:ascii="宋体" w:hAnsi="宋体"/>
          <w:sz w:val="24"/>
          <w:lang w:val="zh-CN"/>
        </w:rPr>
        <w:t>2</w:t>
      </w:r>
      <w:r>
        <w:rPr>
          <w:rFonts w:ascii="宋体" w:hAnsi="宋体"/>
          <w:sz w:val="24"/>
          <w:lang w:val="zh-CN"/>
        </w:rPr>
        <w:t>.</w:t>
      </w:r>
      <w:r>
        <w:rPr>
          <w:rFonts w:hint="eastAsia" w:ascii="宋体" w:hAnsi="宋体"/>
          <w:sz w:val="24"/>
        </w:rPr>
        <w:t>7</w:t>
      </w:r>
      <w:r>
        <w:rPr>
          <w:rFonts w:ascii="宋体" w:hAnsi="宋体"/>
          <w:sz w:val="24"/>
          <w:lang w:val="zh-CN"/>
        </w:rPr>
        <w:t>双方认可的来往传真、电报、会议纪要等，均为合同的组成部分，与本合同具有同等法律效力。</w:t>
      </w:r>
    </w:p>
    <w:p w14:paraId="2C209D95">
      <w:pPr>
        <w:widowControl/>
        <w:spacing w:line="440" w:lineRule="exact"/>
        <w:ind w:firstLine="480" w:firstLineChars="200"/>
        <w:rPr>
          <w:rFonts w:ascii="宋体" w:hAnsi="宋体"/>
          <w:sz w:val="24"/>
          <w:lang w:val="zh-CN"/>
        </w:rPr>
      </w:pPr>
      <w:r>
        <w:rPr>
          <w:rFonts w:ascii="宋体" w:hAnsi="宋体"/>
          <w:sz w:val="24"/>
          <w:lang w:val="zh-CN"/>
        </w:rPr>
        <w:t>1</w:t>
      </w:r>
      <w:r>
        <w:rPr>
          <w:rFonts w:hint="eastAsia" w:ascii="宋体" w:hAnsi="宋体"/>
          <w:sz w:val="24"/>
          <w:lang w:val="zh-CN"/>
        </w:rPr>
        <w:t>2</w:t>
      </w:r>
      <w:r>
        <w:rPr>
          <w:rFonts w:ascii="宋体" w:hAnsi="宋体"/>
          <w:sz w:val="24"/>
          <w:lang w:val="zh-CN"/>
        </w:rPr>
        <w:t>.</w:t>
      </w:r>
      <w:r>
        <w:rPr>
          <w:rFonts w:hint="eastAsia" w:ascii="宋体" w:hAnsi="宋体"/>
          <w:sz w:val="24"/>
        </w:rPr>
        <w:t>8</w:t>
      </w:r>
      <w:r>
        <w:rPr>
          <w:rFonts w:ascii="宋体" w:hAnsi="宋体"/>
          <w:sz w:val="24"/>
          <w:lang w:val="zh-CN"/>
        </w:rPr>
        <w:t>未尽事宜，经双方协商一致，签订补充协议，补充协议与本合同具有同等效力。</w:t>
      </w:r>
    </w:p>
    <w:tbl>
      <w:tblPr>
        <w:tblStyle w:val="13"/>
        <w:tblW w:w="0" w:type="auto"/>
        <w:tblInd w:w="0" w:type="dxa"/>
        <w:tblLayout w:type="fixed"/>
        <w:tblCellMar>
          <w:top w:w="0" w:type="dxa"/>
          <w:left w:w="108" w:type="dxa"/>
          <w:bottom w:w="0" w:type="dxa"/>
          <w:right w:w="108" w:type="dxa"/>
        </w:tblCellMar>
      </w:tblPr>
      <w:tblGrid>
        <w:gridCol w:w="4418"/>
        <w:gridCol w:w="4489"/>
      </w:tblGrid>
      <w:tr w14:paraId="77DF359E">
        <w:tblPrEx>
          <w:tblCellMar>
            <w:top w:w="0" w:type="dxa"/>
            <w:left w:w="108" w:type="dxa"/>
            <w:bottom w:w="0" w:type="dxa"/>
            <w:right w:w="108" w:type="dxa"/>
          </w:tblCellMar>
        </w:tblPrEx>
        <w:trPr>
          <w:trHeight w:val="1448" w:hRule="atLeast"/>
        </w:trPr>
        <w:tc>
          <w:tcPr>
            <w:tcW w:w="4418" w:type="dxa"/>
          </w:tcPr>
          <w:p w14:paraId="1EBB9A06">
            <w:pPr>
              <w:spacing w:line="440" w:lineRule="exact"/>
              <w:rPr>
                <w:rFonts w:ascii="宋体" w:hAnsi="宋体"/>
                <w:sz w:val="24"/>
              </w:rPr>
            </w:pPr>
          </w:p>
          <w:p w14:paraId="536D9D27">
            <w:pPr>
              <w:spacing w:line="440" w:lineRule="exact"/>
              <w:ind w:left="1260" w:hanging="1260" w:hangingChars="525"/>
              <w:rPr>
                <w:rFonts w:ascii="宋体" w:hAnsi="宋体"/>
                <w:sz w:val="24"/>
              </w:rPr>
            </w:pPr>
            <w:r>
              <w:rPr>
                <w:rFonts w:ascii="宋体" w:hAnsi="宋体"/>
                <w:sz w:val="24"/>
              </w:rPr>
              <w:t>建设方名称</w:t>
            </w:r>
            <w:r>
              <w:rPr>
                <w:rFonts w:hint="eastAsia" w:ascii="宋体" w:hAnsi="宋体"/>
                <w:sz w:val="24"/>
              </w:rPr>
              <w:t>：</w:t>
            </w:r>
            <w:r>
              <w:rPr>
                <w:rFonts w:ascii="宋体" w:hAnsi="宋体"/>
                <w:sz w:val="24"/>
              </w:rPr>
              <w:t>（章）</w:t>
            </w:r>
          </w:p>
          <w:p w14:paraId="0CF754EB">
            <w:pPr>
              <w:spacing w:line="440" w:lineRule="exact"/>
              <w:ind w:left="1260" w:hanging="1260" w:hangingChars="525"/>
              <w:rPr>
                <w:rFonts w:ascii="宋体" w:hAnsi="宋体"/>
                <w:sz w:val="24"/>
              </w:rPr>
            </w:pPr>
            <w:r>
              <w:rPr>
                <w:rFonts w:hint="eastAsia" w:ascii="宋体" w:hAnsi="宋体"/>
                <w:sz w:val="24"/>
              </w:rPr>
              <w:t>重庆</w:t>
            </w:r>
            <w:r>
              <w:rPr>
                <w:rFonts w:hint="eastAsia" w:ascii="宋体" w:hAnsi="宋体"/>
                <w:sz w:val="24"/>
                <w:lang w:val="en-US" w:eastAsia="zh-CN"/>
              </w:rPr>
              <w:t>天泽新</w:t>
            </w:r>
            <w:r>
              <w:rPr>
                <w:rFonts w:hint="eastAsia" w:ascii="宋体" w:hAnsi="宋体"/>
                <w:sz w:val="24"/>
              </w:rPr>
              <w:t>材料有限公司</w:t>
            </w:r>
          </w:p>
        </w:tc>
        <w:tc>
          <w:tcPr>
            <w:tcW w:w="4489" w:type="dxa"/>
          </w:tcPr>
          <w:p w14:paraId="7C30AAAC">
            <w:pPr>
              <w:spacing w:line="440" w:lineRule="exact"/>
              <w:rPr>
                <w:rFonts w:ascii="宋体" w:hAnsi="宋体"/>
                <w:sz w:val="24"/>
              </w:rPr>
            </w:pPr>
          </w:p>
          <w:p w14:paraId="713412E4">
            <w:pPr>
              <w:spacing w:line="440" w:lineRule="exact"/>
              <w:rPr>
                <w:rFonts w:ascii="宋体" w:hAnsi="宋体"/>
                <w:sz w:val="24"/>
              </w:rPr>
            </w:pPr>
            <w:r>
              <w:rPr>
                <w:rFonts w:ascii="宋体" w:hAnsi="宋体"/>
                <w:sz w:val="24"/>
              </w:rPr>
              <w:t>设计人名称：（章）</w:t>
            </w:r>
          </w:p>
          <w:p w14:paraId="22EDD1D8">
            <w:pPr>
              <w:spacing w:line="440" w:lineRule="exact"/>
              <w:rPr>
                <w:rFonts w:ascii="宋体" w:hAnsi="宋体"/>
                <w:sz w:val="24"/>
              </w:rPr>
            </w:pPr>
          </w:p>
        </w:tc>
      </w:tr>
      <w:tr w14:paraId="370E43F4">
        <w:tblPrEx>
          <w:tblCellMar>
            <w:top w:w="0" w:type="dxa"/>
            <w:left w:w="108" w:type="dxa"/>
            <w:bottom w:w="0" w:type="dxa"/>
            <w:right w:w="108" w:type="dxa"/>
          </w:tblCellMar>
        </w:tblPrEx>
        <w:trPr>
          <w:trHeight w:val="583" w:hRule="atLeast"/>
        </w:trPr>
        <w:tc>
          <w:tcPr>
            <w:tcW w:w="4418" w:type="dxa"/>
          </w:tcPr>
          <w:p w14:paraId="645B9EC5">
            <w:pPr>
              <w:spacing w:line="440" w:lineRule="exact"/>
              <w:rPr>
                <w:rFonts w:ascii="宋体" w:hAnsi="宋体"/>
                <w:sz w:val="24"/>
              </w:rPr>
            </w:pPr>
            <w:r>
              <w:rPr>
                <w:rFonts w:ascii="宋体" w:hAnsi="宋体"/>
                <w:sz w:val="24"/>
              </w:rPr>
              <w:t>法定代表人：</w:t>
            </w:r>
          </w:p>
        </w:tc>
        <w:tc>
          <w:tcPr>
            <w:tcW w:w="4489" w:type="dxa"/>
          </w:tcPr>
          <w:p w14:paraId="52C1C963">
            <w:pPr>
              <w:spacing w:line="440" w:lineRule="exact"/>
              <w:rPr>
                <w:rFonts w:ascii="宋体" w:hAnsi="宋体"/>
                <w:sz w:val="24"/>
              </w:rPr>
            </w:pPr>
            <w:r>
              <w:rPr>
                <w:rFonts w:ascii="宋体" w:hAnsi="宋体"/>
                <w:sz w:val="24"/>
              </w:rPr>
              <w:t>法定代表人：</w:t>
            </w:r>
          </w:p>
        </w:tc>
      </w:tr>
      <w:tr w14:paraId="2DBBAFD5">
        <w:tblPrEx>
          <w:tblCellMar>
            <w:top w:w="0" w:type="dxa"/>
            <w:left w:w="108" w:type="dxa"/>
            <w:bottom w:w="0" w:type="dxa"/>
            <w:right w:w="108" w:type="dxa"/>
          </w:tblCellMar>
        </w:tblPrEx>
        <w:trPr>
          <w:trHeight w:val="612" w:hRule="atLeast"/>
        </w:trPr>
        <w:tc>
          <w:tcPr>
            <w:tcW w:w="4418" w:type="dxa"/>
          </w:tcPr>
          <w:p w14:paraId="47561244">
            <w:pPr>
              <w:spacing w:line="440" w:lineRule="exact"/>
              <w:rPr>
                <w:rFonts w:ascii="宋体" w:hAnsi="宋体"/>
                <w:sz w:val="24"/>
              </w:rPr>
            </w:pPr>
            <w:r>
              <w:rPr>
                <w:rFonts w:ascii="宋体" w:hAnsi="宋体"/>
                <w:sz w:val="24"/>
              </w:rPr>
              <w:t>委托代理人：</w:t>
            </w:r>
          </w:p>
        </w:tc>
        <w:tc>
          <w:tcPr>
            <w:tcW w:w="4489" w:type="dxa"/>
          </w:tcPr>
          <w:p w14:paraId="4809A643">
            <w:pPr>
              <w:spacing w:line="440" w:lineRule="exact"/>
              <w:rPr>
                <w:rFonts w:ascii="宋体" w:hAnsi="宋体"/>
                <w:sz w:val="24"/>
              </w:rPr>
            </w:pPr>
            <w:r>
              <w:rPr>
                <w:rFonts w:ascii="宋体" w:hAnsi="宋体"/>
                <w:sz w:val="24"/>
              </w:rPr>
              <w:t>委托代理人：</w:t>
            </w:r>
          </w:p>
        </w:tc>
      </w:tr>
      <w:tr w14:paraId="3675E018">
        <w:tblPrEx>
          <w:tblCellMar>
            <w:top w:w="0" w:type="dxa"/>
            <w:left w:w="108" w:type="dxa"/>
            <w:bottom w:w="0" w:type="dxa"/>
            <w:right w:w="108" w:type="dxa"/>
          </w:tblCellMar>
        </w:tblPrEx>
        <w:tc>
          <w:tcPr>
            <w:tcW w:w="4418" w:type="dxa"/>
          </w:tcPr>
          <w:p w14:paraId="09747796">
            <w:pPr>
              <w:spacing w:line="440" w:lineRule="exact"/>
              <w:rPr>
                <w:rFonts w:ascii="宋体" w:hAnsi="宋体"/>
                <w:sz w:val="24"/>
              </w:rPr>
            </w:pPr>
            <w:r>
              <w:rPr>
                <w:rFonts w:ascii="宋体" w:hAnsi="宋体"/>
                <w:sz w:val="24"/>
              </w:rPr>
              <w:t>住    所：</w:t>
            </w:r>
          </w:p>
        </w:tc>
        <w:tc>
          <w:tcPr>
            <w:tcW w:w="4489" w:type="dxa"/>
          </w:tcPr>
          <w:p w14:paraId="63D76253">
            <w:pPr>
              <w:spacing w:line="440" w:lineRule="exact"/>
              <w:rPr>
                <w:rFonts w:ascii="宋体" w:hAnsi="宋体"/>
                <w:sz w:val="24"/>
              </w:rPr>
            </w:pPr>
            <w:r>
              <w:rPr>
                <w:rFonts w:ascii="宋体" w:hAnsi="宋体"/>
                <w:sz w:val="24"/>
              </w:rPr>
              <w:t xml:space="preserve">住    所： </w:t>
            </w:r>
          </w:p>
        </w:tc>
      </w:tr>
      <w:tr w14:paraId="3388FE49">
        <w:tblPrEx>
          <w:tblCellMar>
            <w:top w:w="0" w:type="dxa"/>
            <w:left w:w="108" w:type="dxa"/>
            <w:bottom w:w="0" w:type="dxa"/>
            <w:right w:w="108" w:type="dxa"/>
          </w:tblCellMar>
        </w:tblPrEx>
        <w:tc>
          <w:tcPr>
            <w:tcW w:w="4418" w:type="dxa"/>
          </w:tcPr>
          <w:p w14:paraId="682E57D7">
            <w:pPr>
              <w:spacing w:line="440" w:lineRule="exact"/>
              <w:rPr>
                <w:rFonts w:ascii="宋体" w:hAnsi="宋体"/>
                <w:sz w:val="24"/>
              </w:rPr>
            </w:pPr>
            <w:r>
              <w:rPr>
                <w:rFonts w:ascii="宋体" w:hAnsi="宋体"/>
                <w:sz w:val="24"/>
              </w:rPr>
              <w:t>邮政编码：</w:t>
            </w:r>
          </w:p>
        </w:tc>
        <w:tc>
          <w:tcPr>
            <w:tcW w:w="4489" w:type="dxa"/>
          </w:tcPr>
          <w:p w14:paraId="16C87E87">
            <w:pPr>
              <w:spacing w:line="440" w:lineRule="exact"/>
              <w:rPr>
                <w:rFonts w:ascii="宋体" w:hAnsi="宋体"/>
                <w:sz w:val="24"/>
              </w:rPr>
            </w:pPr>
            <w:r>
              <w:rPr>
                <w:rFonts w:ascii="宋体" w:hAnsi="宋体"/>
                <w:sz w:val="24"/>
              </w:rPr>
              <w:t xml:space="preserve">邮政编码： </w:t>
            </w:r>
          </w:p>
        </w:tc>
      </w:tr>
      <w:tr w14:paraId="74F60F97">
        <w:tblPrEx>
          <w:tblCellMar>
            <w:top w:w="0" w:type="dxa"/>
            <w:left w:w="108" w:type="dxa"/>
            <w:bottom w:w="0" w:type="dxa"/>
            <w:right w:w="108" w:type="dxa"/>
          </w:tblCellMar>
        </w:tblPrEx>
        <w:tc>
          <w:tcPr>
            <w:tcW w:w="4418" w:type="dxa"/>
          </w:tcPr>
          <w:p w14:paraId="2772D75D">
            <w:pPr>
              <w:spacing w:line="440" w:lineRule="exact"/>
              <w:rPr>
                <w:rFonts w:ascii="宋体" w:hAnsi="宋体"/>
                <w:sz w:val="24"/>
              </w:rPr>
            </w:pPr>
            <w:r>
              <w:rPr>
                <w:rFonts w:ascii="宋体" w:hAnsi="宋体"/>
                <w:sz w:val="24"/>
              </w:rPr>
              <w:t>电    话：</w:t>
            </w:r>
          </w:p>
        </w:tc>
        <w:tc>
          <w:tcPr>
            <w:tcW w:w="4489" w:type="dxa"/>
          </w:tcPr>
          <w:p w14:paraId="33B53A4A">
            <w:pPr>
              <w:spacing w:line="440" w:lineRule="exact"/>
              <w:rPr>
                <w:rFonts w:ascii="宋体" w:hAnsi="宋体"/>
                <w:sz w:val="24"/>
              </w:rPr>
            </w:pPr>
            <w:r>
              <w:rPr>
                <w:rFonts w:ascii="宋体" w:hAnsi="宋体"/>
                <w:sz w:val="24"/>
              </w:rPr>
              <w:t xml:space="preserve">电    话： </w:t>
            </w:r>
          </w:p>
        </w:tc>
      </w:tr>
      <w:tr w14:paraId="7BDCAC78">
        <w:tblPrEx>
          <w:tblCellMar>
            <w:top w:w="0" w:type="dxa"/>
            <w:left w:w="108" w:type="dxa"/>
            <w:bottom w:w="0" w:type="dxa"/>
            <w:right w:w="108" w:type="dxa"/>
          </w:tblCellMar>
        </w:tblPrEx>
        <w:tc>
          <w:tcPr>
            <w:tcW w:w="4418" w:type="dxa"/>
          </w:tcPr>
          <w:p w14:paraId="2C0A0AD5">
            <w:pPr>
              <w:spacing w:line="440" w:lineRule="exact"/>
              <w:rPr>
                <w:rFonts w:ascii="宋体" w:hAnsi="宋体"/>
                <w:sz w:val="24"/>
              </w:rPr>
            </w:pPr>
            <w:r>
              <w:rPr>
                <w:rFonts w:ascii="宋体" w:hAnsi="宋体"/>
                <w:sz w:val="24"/>
              </w:rPr>
              <w:t>传    真：</w:t>
            </w:r>
          </w:p>
        </w:tc>
        <w:tc>
          <w:tcPr>
            <w:tcW w:w="4489" w:type="dxa"/>
          </w:tcPr>
          <w:p w14:paraId="0B81510A">
            <w:pPr>
              <w:spacing w:line="440" w:lineRule="exact"/>
              <w:rPr>
                <w:rFonts w:ascii="宋体" w:hAnsi="宋体"/>
                <w:sz w:val="24"/>
              </w:rPr>
            </w:pPr>
            <w:r>
              <w:rPr>
                <w:rFonts w:ascii="宋体" w:hAnsi="宋体"/>
                <w:sz w:val="24"/>
              </w:rPr>
              <w:t>传    真：</w:t>
            </w:r>
          </w:p>
        </w:tc>
      </w:tr>
      <w:tr w14:paraId="394D12BA">
        <w:tblPrEx>
          <w:tblCellMar>
            <w:top w:w="0" w:type="dxa"/>
            <w:left w:w="108" w:type="dxa"/>
            <w:bottom w:w="0" w:type="dxa"/>
            <w:right w:w="108" w:type="dxa"/>
          </w:tblCellMar>
        </w:tblPrEx>
        <w:tc>
          <w:tcPr>
            <w:tcW w:w="4418" w:type="dxa"/>
          </w:tcPr>
          <w:p w14:paraId="1633CEFC">
            <w:pPr>
              <w:spacing w:line="440" w:lineRule="exact"/>
              <w:rPr>
                <w:rFonts w:ascii="宋体" w:hAnsi="宋体"/>
                <w:sz w:val="24"/>
              </w:rPr>
            </w:pPr>
            <w:r>
              <w:rPr>
                <w:rFonts w:ascii="宋体" w:hAnsi="宋体"/>
                <w:sz w:val="24"/>
              </w:rPr>
              <w:t>开户行：</w:t>
            </w:r>
          </w:p>
        </w:tc>
        <w:tc>
          <w:tcPr>
            <w:tcW w:w="4489" w:type="dxa"/>
          </w:tcPr>
          <w:p w14:paraId="22A3E18E">
            <w:pPr>
              <w:spacing w:line="440" w:lineRule="exact"/>
              <w:rPr>
                <w:rFonts w:ascii="宋体" w:hAnsi="宋体"/>
                <w:sz w:val="24"/>
              </w:rPr>
            </w:pPr>
            <w:r>
              <w:rPr>
                <w:rFonts w:ascii="宋体" w:hAnsi="宋体"/>
                <w:sz w:val="24"/>
              </w:rPr>
              <w:t>开户行：</w:t>
            </w:r>
            <w:r>
              <w:rPr>
                <w:rFonts w:ascii="宋体" w:hAnsi="宋体"/>
                <w:sz w:val="21"/>
                <w:szCs w:val="21"/>
              </w:rPr>
              <w:t xml:space="preserve"> </w:t>
            </w:r>
          </w:p>
        </w:tc>
      </w:tr>
      <w:tr w14:paraId="7DAD0886">
        <w:tblPrEx>
          <w:tblCellMar>
            <w:top w:w="0" w:type="dxa"/>
            <w:left w:w="108" w:type="dxa"/>
            <w:bottom w:w="0" w:type="dxa"/>
            <w:right w:w="108" w:type="dxa"/>
          </w:tblCellMar>
        </w:tblPrEx>
        <w:tc>
          <w:tcPr>
            <w:tcW w:w="4418" w:type="dxa"/>
          </w:tcPr>
          <w:p w14:paraId="46505C58">
            <w:pPr>
              <w:spacing w:line="440" w:lineRule="exact"/>
              <w:rPr>
                <w:rFonts w:ascii="宋体" w:hAnsi="宋体"/>
                <w:sz w:val="24"/>
                <w:szCs w:val="24"/>
              </w:rPr>
            </w:pPr>
            <w:r>
              <w:rPr>
                <w:rFonts w:ascii="宋体" w:hAnsi="宋体"/>
                <w:sz w:val="24"/>
                <w:szCs w:val="24"/>
              </w:rPr>
              <w:t>账   号：</w:t>
            </w:r>
          </w:p>
        </w:tc>
        <w:tc>
          <w:tcPr>
            <w:tcW w:w="4489" w:type="dxa"/>
          </w:tcPr>
          <w:p w14:paraId="37EDD250">
            <w:pPr>
              <w:spacing w:line="440" w:lineRule="exact"/>
              <w:rPr>
                <w:rFonts w:ascii="宋体" w:hAnsi="宋体"/>
                <w:sz w:val="24"/>
                <w:szCs w:val="24"/>
              </w:rPr>
            </w:pPr>
            <w:r>
              <w:rPr>
                <w:rFonts w:ascii="宋体" w:hAnsi="宋体"/>
                <w:sz w:val="24"/>
                <w:szCs w:val="24"/>
              </w:rPr>
              <w:t xml:space="preserve">帐    号： </w:t>
            </w:r>
          </w:p>
        </w:tc>
      </w:tr>
    </w:tbl>
    <w:p w14:paraId="6C3006D5">
      <w:pPr>
        <w:spacing w:line="440" w:lineRule="exact"/>
        <w:rPr>
          <w:rFonts w:ascii="宋体" w:hAnsi="宋体"/>
          <w:sz w:val="24"/>
        </w:rPr>
      </w:pPr>
      <w:r>
        <w:rPr>
          <w:rFonts w:ascii="宋体" w:hAnsi="宋体"/>
          <w:sz w:val="24"/>
        </w:rPr>
        <w:t>纳税人识别号：</w:t>
      </w:r>
    </w:p>
    <w:p w14:paraId="4CE48995">
      <w:pPr>
        <w:spacing w:line="440" w:lineRule="exact"/>
        <w:rPr>
          <w:rFonts w:ascii="宋体" w:hAnsi="宋体"/>
          <w:sz w:val="24"/>
        </w:rPr>
      </w:pPr>
      <w:r>
        <w:rPr>
          <w:rFonts w:hint="eastAsia" w:ascii="宋体" w:hAnsi="宋体"/>
          <w:sz w:val="24"/>
        </w:rPr>
        <w:t>日   期：                            日   期：</w:t>
      </w:r>
    </w:p>
    <w:p w14:paraId="7C1EA708">
      <w:pPr>
        <w:widowControl/>
        <w:spacing w:line="580" w:lineRule="exact"/>
        <w:jc w:val="center"/>
        <w:outlineLvl w:val="2"/>
        <w:rPr>
          <w:rFonts w:ascii="宋体" w:hAnsi="宋体" w:cs="仿宋"/>
          <w:b/>
          <w:bCs/>
          <w:kern w:val="0"/>
          <w:sz w:val="44"/>
          <w:szCs w:val="44"/>
        </w:rPr>
      </w:pPr>
      <w:r>
        <w:rPr>
          <w:rFonts w:ascii="宋体" w:hAnsi="宋体"/>
        </w:rPr>
        <w:br w:type="page"/>
      </w:r>
      <w:r>
        <w:rPr>
          <w:rFonts w:hint="eastAsia" w:ascii="宋体" w:hAnsi="宋体" w:cs="仿宋"/>
          <w:b/>
          <w:bCs/>
          <w:kern w:val="0"/>
          <w:sz w:val="44"/>
          <w:szCs w:val="44"/>
        </w:rPr>
        <w:t>廉洁协议</w:t>
      </w:r>
    </w:p>
    <w:p w14:paraId="1F5479E7">
      <w:pPr>
        <w:widowControl/>
        <w:spacing w:line="440" w:lineRule="exact"/>
        <w:ind w:firstLine="480" w:firstLineChars="200"/>
        <w:rPr>
          <w:rFonts w:ascii="宋体" w:hAnsi="宋体"/>
          <w:sz w:val="24"/>
          <w:lang w:val="zh-CN"/>
        </w:rPr>
      </w:pPr>
      <w:r>
        <w:rPr>
          <w:rFonts w:hint="eastAsia" w:ascii="宋体" w:hAnsi="宋体"/>
          <w:sz w:val="24"/>
          <w:lang w:val="zh-CN"/>
        </w:rPr>
        <w:t>发包人（发包人）：重庆</w:t>
      </w:r>
      <w:r>
        <w:rPr>
          <w:rFonts w:hint="eastAsia" w:ascii="宋体" w:hAnsi="宋体"/>
          <w:sz w:val="24"/>
          <w:lang w:val="en-US" w:eastAsia="zh-CN"/>
        </w:rPr>
        <w:t>天泽新</w:t>
      </w:r>
      <w:r>
        <w:rPr>
          <w:rFonts w:hint="eastAsia" w:ascii="宋体" w:hAnsi="宋体"/>
          <w:sz w:val="24"/>
          <w:lang w:val="zh-CN"/>
        </w:rPr>
        <w:t>材料有限公司</w:t>
      </w:r>
    </w:p>
    <w:p w14:paraId="6531EC26">
      <w:pPr>
        <w:widowControl/>
        <w:spacing w:line="440" w:lineRule="exact"/>
        <w:ind w:firstLine="480" w:firstLineChars="200"/>
        <w:rPr>
          <w:rFonts w:ascii="宋体" w:hAnsi="宋体"/>
          <w:sz w:val="24"/>
          <w:lang w:val="zh-CN"/>
        </w:rPr>
      </w:pPr>
      <w:r>
        <w:rPr>
          <w:rFonts w:hint="eastAsia" w:ascii="宋体" w:hAnsi="宋体"/>
          <w:sz w:val="24"/>
          <w:lang w:val="zh-CN"/>
        </w:rPr>
        <w:t xml:space="preserve">设计人（设计人）： </w:t>
      </w:r>
    </w:p>
    <w:p w14:paraId="0652874B">
      <w:pPr>
        <w:widowControl/>
        <w:spacing w:line="440" w:lineRule="exact"/>
        <w:ind w:firstLine="480" w:firstLineChars="200"/>
        <w:rPr>
          <w:rFonts w:ascii="宋体" w:hAnsi="宋体"/>
          <w:sz w:val="24"/>
          <w:lang w:val="zh-CN"/>
        </w:rPr>
      </w:pPr>
      <w:r>
        <w:rPr>
          <w:rFonts w:hint="eastAsia" w:ascii="宋体" w:hAnsi="宋体"/>
          <w:sz w:val="24"/>
          <w:lang w:val="zh-CN"/>
        </w:rPr>
        <w:t>为促进承发包双方廉洁高效合作，促使承发包双方工作人员廉洁从业，不断推动廉洁建设工作，按照《中华人民共和国民法典》和国家其他有关法律法规、廉洁规定，经承发包双方协商一致，自愿签订以下廉洁协议。</w:t>
      </w:r>
    </w:p>
    <w:p w14:paraId="64480EF0">
      <w:pPr>
        <w:widowControl/>
        <w:spacing w:line="440" w:lineRule="exact"/>
        <w:ind w:firstLine="480" w:firstLineChars="200"/>
        <w:rPr>
          <w:rFonts w:ascii="宋体" w:hAnsi="宋体"/>
          <w:sz w:val="24"/>
          <w:lang w:val="zh-CN"/>
        </w:rPr>
      </w:pPr>
      <w:r>
        <w:rPr>
          <w:rFonts w:hint="eastAsia" w:ascii="宋体" w:hAnsi="宋体"/>
          <w:sz w:val="24"/>
          <w:lang w:val="zh-CN"/>
        </w:rPr>
        <w:t>第一条：承发包双方的权利和义务</w:t>
      </w:r>
    </w:p>
    <w:p w14:paraId="296EEB12">
      <w:pPr>
        <w:widowControl/>
        <w:spacing w:line="440" w:lineRule="exact"/>
        <w:ind w:firstLine="480" w:firstLineChars="200"/>
        <w:rPr>
          <w:rFonts w:ascii="宋体" w:hAnsi="宋体"/>
          <w:sz w:val="24"/>
          <w:lang w:val="zh-CN"/>
        </w:rPr>
      </w:pPr>
      <w:r>
        <w:rPr>
          <w:rFonts w:hint="eastAsia" w:ascii="宋体" w:hAnsi="宋体"/>
          <w:sz w:val="24"/>
          <w:lang w:val="zh-CN"/>
        </w:rPr>
        <w:t>（一）严格遵守国家有关法律法规及廉洁建设各项规定。</w:t>
      </w:r>
    </w:p>
    <w:p w14:paraId="333CBB95">
      <w:pPr>
        <w:widowControl/>
        <w:spacing w:line="440" w:lineRule="exact"/>
        <w:ind w:firstLine="480" w:firstLineChars="200"/>
        <w:rPr>
          <w:rFonts w:ascii="宋体" w:hAnsi="宋体"/>
          <w:sz w:val="24"/>
          <w:lang w:val="zh-CN"/>
        </w:rPr>
      </w:pPr>
      <w:r>
        <w:rPr>
          <w:rFonts w:hint="eastAsia" w:ascii="宋体" w:hAnsi="宋体"/>
          <w:sz w:val="24"/>
          <w:lang w:val="zh-CN"/>
        </w:rPr>
        <w:t>（二）严格履行《中华人民共和国反不正当竞争法》、《关于禁止商业贿赂行为的暂行规定》各项约定，杜绝违约行为的发生。</w:t>
      </w:r>
    </w:p>
    <w:p w14:paraId="24C0CAAD">
      <w:pPr>
        <w:widowControl/>
        <w:spacing w:line="440" w:lineRule="exact"/>
        <w:ind w:firstLine="480" w:firstLineChars="200"/>
        <w:rPr>
          <w:rFonts w:ascii="宋体" w:hAnsi="宋体"/>
          <w:sz w:val="24"/>
          <w:lang w:val="zh-CN"/>
        </w:rPr>
      </w:pPr>
      <w:r>
        <w:rPr>
          <w:rFonts w:hint="eastAsia" w:ascii="宋体" w:hAnsi="宋体"/>
          <w:sz w:val="24"/>
          <w:lang w:val="zh-CN"/>
        </w:rPr>
        <w:t>（三）双方的业务活动坚持公开、公平、公正、诚信的原则（除法律认定的商业秘密和合同文件另有规定之外），严禁违反法律法规及规章制度。</w:t>
      </w:r>
    </w:p>
    <w:p w14:paraId="00885E17">
      <w:pPr>
        <w:widowControl/>
        <w:spacing w:line="440" w:lineRule="exact"/>
        <w:ind w:firstLine="480" w:firstLineChars="200"/>
        <w:rPr>
          <w:rFonts w:ascii="宋体" w:hAnsi="宋体"/>
          <w:sz w:val="24"/>
          <w:lang w:val="zh-CN"/>
        </w:rPr>
      </w:pPr>
      <w:r>
        <w:rPr>
          <w:rFonts w:hint="eastAsia" w:ascii="宋体" w:hAnsi="宋体"/>
          <w:sz w:val="24"/>
          <w:lang w:val="zh-CN"/>
        </w:rPr>
        <w:t>（四）建立健全企业廉洁建设各项制度，开展廉洁建设宣传教育，加强对本方工作人员的监督检查。</w:t>
      </w:r>
    </w:p>
    <w:p w14:paraId="72B32D00">
      <w:pPr>
        <w:widowControl/>
        <w:spacing w:line="440" w:lineRule="exact"/>
        <w:ind w:firstLine="480" w:firstLineChars="200"/>
        <w:rPr>
          <w:rFonts w:ascii="宋体" w:hAnsi="宋体"/>
          <w:sz w:val="24"/>
          <w:lang w:val="zh-CN"/>
        </w:rPr>
      </w:pPr>
      <w:r>
        <w:rPr>
          <w:rFonts w:hint="eastAsia" w:ascii="宋体" w:hAnsi="宋体"/>
          <w:sz w:val="24"/>
          <w:lang w:val="zh-CN"/>
        </w:rPr>
        <w:t>（五）发现对方在业务活动中有违反廉洁规定和本协议约定的行为时，有及时提醒和督促对方纠正的权利和义务。</w:t>
      </w:r>
    </w:p>
    <w:p w14:paraId="2D0C1647">
      <w:pPr>
        <w:widowControl/>
        <w:spacing w:line="440" w:lineRule="exact"/>
        <w:ind w:firstLine="480" w:firstLineChars="200"/>
        <w:rPr>
          <w:rFonts w:ascii="宋体" w:hAnsi="宋体"/>
          <w:sz w:val="24"/>
          <w:lang w:val="zh-CN"/>
        </w:rPr>
      </w:pPr>
      <w:r>
        <w:rPr>
          <w:rFonts w:hint="eastAsia" w:ascii="宋体" w:hAnsi="宋体"/>
          <w:sz w:val="24"/>
          <w:lang w:val="zh-CN"/>
        </w:rPr>
        <w:t>（六）发现对方在业务活动中有违反廉洁规定和本协议约定的行为时，有权向对方主管部门或有关机构检举、揭发。</w:t>
      </w:r>
    </w:p>
    <w:p w14:paraId="337848CC">
      <w:pPr>
        <w:widowControl/>
        <w:spacing w:line="440" w:lineRule="exact"/>
        <w:ind w:firstLine="480" w:firstLineChars="200"/>
        <w:rPr>
          <w:rFonts w:ascii="宋体" w:hAnsi="宋体"/>
          <w:sz w:val="24"/>
          <w:lang w:val="zh-CN"/>
        </w:rPr>
      </w:pPr>
      <w:r>
        <w:rPr>
          <w:rFonts w:hint="eastAsia" w:ascii="宋体" w:hAnsi="宋体"/>
          <w:sz w:val="24"/>
          <w:lang w:val="zh-CN"/>
        </w:rPr>
        <w:t>（七）经济合同变更时廉洁协议内容也应做相应调整，并履行有关手续。</w:t>
      </w:r>
    </w:p>
    <w:p w14:paraId="52AB27EC">
      <w:pPr>
        <w:widowControl/>
        <w:spacing w:line="440" w:lineRule="exact"/>
        <w:ind w:firstLine="480" w:firstLineChars="200"/>
        <w:rPr>
          <w:rFonts w:ascii="宋体" w:hAnsi="宋体"/>
          <w:sz w:val="24"/>
          <w:lang w:val="zh-CN"/>
        </w:rPr>
      </w:pPr>
      <w:r>
        <w:rPr>
          <w:rFonts w:hint="eastAsia" w:ascii="宋体" w:hAnsi="宋体"/>
          <w:sz w:val="24"/>
          <w:lang w:val="zh-CN"/>
        </w:rPr>
        <w:t>第二条：发包人在廉洁建设方面的义务</w:t>
      </w:r>
    </w:p>
    <w:p w14:paraId="367E4003">
      <w:pPr>
        <w:widowControl/>
        <w:spacing w:line="440" w:lineRule="exact"/>
        <w:ind w:firstLine="480" w:firstLineChars="200"/>
        <w:rPr>
          <w:rFonts w:ascii="宋体" w:hAnsi="宋体"/>
          <w:sz w:val="24"/>
          <w:lang w:val="zh-CN"/>
        </w:rPr>
      </w:pPr>
      <w:r>
        <w:rPr>
          <w:rFonts w:hint="eastAsia" w:ascii="宋体" w:hAnsi="宋体"/>
          <w:sz w:val="24"/>
          <w:lang w:val="zh-CN"/>
        </w:rPr>
        <w:t xml:space="preserve">（一）发包人及其工作人员不得干扰协作企业正常的生产经营活动，不得以任何理由要挟设计人从事不属于设计人义务的工作。 </w:t>
      </w:r>
    </w:p>
    <w:p w14:paraId="034B6431">
      <w:pPr>
        <w:widowControl/>
        <w:spacing w:line="440" w:lineRule="exact"/>
        <w:ind w:firstLine="480" w:firstLineChars="200"/>
        <w:rPr>
          <w:rFonts w:ascii="宋体" w:hAnsi="宋体"/>
          <w:sz w:val="24"/>
          <w:lang w:val="zh-CN"/>
        </w:rPr>
      </w:pPr>
      <w:r>
        <w:rPr>
          <w:rFonts w:hint="eastAsia" w:ascii="宋体" w:hAnsi="宋体"/>
          <w:sz w:val="24"/>
          <w:lang w:val="zh-CN"/>
        </w:rPr>
        <w:t>（二）发包人及其工作人员不得索要或接受设计人的礼金、佣金、回扣、有价证券、支付凭证、贵重物品等财物。</w:t>
      </w:r>
    </w:p>
    <w:p w14:paraId="1737E6B0">
      <w:pPr>
        <w:widowControl/>
        <w:spacing w:line="440" w:lineRule="exact"/>
        <w:ind w:firstLine="480" w:firstLineChars="200"/>
        <w:rPr>
          <w:rFonts w:ascii="宋体" w:hAnsi="宋体"/>
          <w:sz w:val="24"/>
          <w:lang w:val="zh-CN"/>
        </w:rPr>
      </w:pPr>
      <w:r>
        <w:rPr>
          <w:rFonts w:hint="eastAsia" w:ascii="宋体" w:hAnsi="宋体"/>
          <w:sz w:val="24"/>
          <w:lang w:val="zh-CN"/>
        </w:rPr>
        <w:t>（三）发包人及其工作人员不得在设计人报销应由发包人或个人支付的任何费用。</w:t>
      </w:r>
    </w:p>
    <w:p w14:paraId="787EF838">
      <w:pPr>
        <w:widowControl/>
        <w:spacing w:line="440" w:lineRule="exact"/>
        <w:ind w:firstLine="480" w:firstLineChars="200"/>
        <w:rPr>
          <w:rFonts w:ascii="宋体" w:hAnsi="宋体"/>
          <w:sz w:val="24"/>
          <w:lang w:val="zh-CN"/>
        </w:rPr>
      </w:pPr>
      <w:r>
        <w:rPr>
          <w:rFonts w:hint="eastAsia" w:ascii="宋体" w:hAnsi="宋体"/>
          <w:sz w:val="24"/>
          <w:lang w:val="zh-CN"/>
        </w:rPr>
        <w:t>（四）发包人工作人员不得参加设计人提供的宴请、娱乐活动、高档消费；不得要求设计人提供交通工具、通讯工具、高档办公用品等。</w:t>
      </w:r>
    </w:p>
    <w:p w14:paraId="5DBE6F52">
      <w:pPr>
        <w:widowControl/>
        <w:spacing w:line="440" w:lineRule="exact"/>
        <w:ind w:firstLine="480" w:firstLineChars="200"/>
        <w:rPr>
          <w:rFonts w:ascii="宋体" w:hAnsi="宋体"/>
          <w:sz w:val="24"/>
          <w:lang w:val="zh-CN"/>
        </w:rPr>
      </w:pPr>
      <w:r>
        <w:rPr>
          <w:rFonts w:hint="eastAsia" w:ascii="宋体" w:hAnsi="宋体"/>
          <w:sz w:val="24"/>
          <w:lang w:val="zh-CN"/>
        </w:rPr>
        <w:t>（五）发包人及其工作人员不得要求或者接受设计人为其住房装修、婚丧嫁娶、配偶、子女、亲友出国（境）旅游等违反规定的相关活动提供方便。</w:t>
      </w:r>
    </w:p>
    <w:p w14:paraId="05EEFD38">
      <w:pPr>
        <w:widowControl/>
        <w:spacing w:line="440" w:lineRule="exact"/>
        <w:ind w:firstLine="480" w:firstLineChars="200"/>
        <w:rPr>
          <w:rFonts w:ascii="宋体" w:hAnsi="宋体"/>
          <w:sz w:val="24"/>
          <w:lang w:val="zh-CN"/>
        </w:rPr>
      </w:pPr>
      <w:r>
        <w:rPr>
          <w:rFonts w:hint="eastAsia" w:ascii="宋体" w:hAnsi="宋体"/>
          <w:sz w:val="24"/>
          <w:lang w:val="zh-CN"/>
        </w:rPr>
        <w:t>（六）发包人及其工作人员不得要求设计人为其配偶、子女及有利害关系的人员安排工作或劳务；不得违反规定从事与设计人施工项目有关的材料设备供应、工程分包等经济活动。</w:t>
      </w:r>
    </w:p>
    <w:p w14:paraId="34D70CD9">
      <w:pPr>
        <w:widowControl/>
        <w:spacing w:line="440" w:lineRule="exact"/>
        <w:ind w:firstLine="480" w:firstLineChars="200"/>
        <w:rPr>
          <w:rFonts w:ascii="宋体" w:hAnsi="宋体"/>
          <w:sz w:val="24"/>
          <w:lang w:val="zh-CN"/>
        </w:rPr>
      </w:pPr>
      <w:r>
        <w:rPr>
          <w:rFonts w:hint="eastAsia" w:ascii="宋体" w:hAnsi="宋体"/>
          <w:sz w:val="24"/>
          <w:lang w:val="zh-CN"/>
        </w:rPr>
        <w:t>第三条：设计人在廉洁建设方面义务</w:t>
      </w:r>
    </w:p>
    <w:p w14:paraId="34038AF4">
      <w:pPr>
        <w:widowControl/>
        <w:spacing w:line="440" w:lineRule="exact"/>
        <w:ind w:firstLine="480" w:firstLineChars="200"/>
        <w:rPr>
          <w:rFonts w:ascii="宋体" w:hAnsi="宋体"/>
          <w:sz w:val="24"/>
          <w:lang w:val="zh-CN"/>
        </w:rPr>
      </w:pPr>
      <w:r>
        <w:rPr>
          <w:rFonts w:hint="eastAsia" w:ascii="宋体" w:hAnsi="宋体"/>
          <w:sz w:val="24"/>
          <w:lang w:val="zh-CN"/>
        </w:rPr>
        <w:t>（一）设计人不准以任何形式向发包人及其工作人员馈赠礼金、佣金、回扣、有价证券、支付凭证、贵重物品等财物；</w:t>
      </w:r>
    </w:p>
    <w:p w14:paraId="7BC7C5DC">
      <w:pPr>
        <w:widowControl/>
        <w:spacing w:line="440" w:lineRule="exact"/>
        <w:ind w:firstLine="480" w:firstLineChars="200"/>
        <w:rPr>
          <w:rFonts w:ascii="宋体" w:hAnsi="宋体"/>
          <w:sz w:val="24"/>
          <w:lang w:val="zh-CN"/>
        </w:rPr>
      </w:pPr>
      <w:r>
        <w:rPr>
          <w:rFonts w:hint="eastAsia" w:ascii="宋体" w:hAnsi="宋体"/>
          <w:sz w:val="24"/>
          <w:lang w:val="zh-CN"/>
        </w:rPr>
        <w:t>（二）设计人不准以任何名义为发包人及其工作人员报销应由发包人或个人支付的任何费用。</w:t>
      </w:r>
    </w:p>
    <w:p w14:paraId="1D557993">
      <w:pPr>
        <w:widowControl/>
        <w:spacing w:line="440" w:lineRule="exact"/>
        <w:ind w:firstLine="480" w:firstLineChars="200"/>
        <w:rPr>
          <w:rFonts w:ascii="宋体" w:hAnsi="宋体"/>
          <w:sz w:val="24"/>
          <w:lang w:val="zh-CN"/>
        </w:rPr>
      </w:pPr>
      <w:r>
        <w:rPr>
          <w:rFonts w:hint="eastAsia" w:ascii="宋体" w:hAnsi="宋体"/>
          <w:sz w:val="24"/>
          <w:lang w:val="zh-CN"/>
        </w:rPr>
        <w:t>（三）设计人不准以任何理由邀请发包人工作人员参加有影响合作业务的宴请及娱乐活动；不准为其提供通讯工具、交通工具、高档办公用品等。</w:t>
      </w:r>
    </w:p>
    <w:p w14:paraId="22EEBDE4">
      <w:pPr>
        <w:widowControl/>
        <w:spacing w:line="440" w:lineRule="exact"/>
        <w:ind w:firstLine="480" w:firstLineChars="200"/>
        <w:rPr>
          <w:rFonts w:ascii="宋体" w:hAnsi="宋体"/>
          <w:sz w:val="24"/>
          <w:lang w:val="zh-CN"/>
        </w:rPr>
      </w:pPr>
      <w:r>
        <w:rPr>
          <w:rFonts w:hint="eastAsia" w:ascii="宋体" w:hAnsi="宋体"/>
          <w:sz w:val="24"/>
          <w:lang w:val="zh-CN"/>
        </w:rPr>
        <w:t>（四）设计人不准为发包人工作人员在住房装修、婚丧嫁娶、配偶、子女、亲友出国（境）旅游提供方便；不准为发包人工作人员的配偶、子女及有利害关系的人员安排工作或劳务。</w:t>
      </w:r>
    </w:p>
    <w:p w14:paraId="3C6171C7">
      <w:pPr>
        <w:widowControl/>
        <w:spacing w:line="440" w:lineRule="exact"/>
        <w:ind w:firstLine="480" w:firstLineChars="200"/>
        <w:rPr>
          <w:rFonts w:ascii="宋体" w:hAnsi="宋体"/>
          <w:sz w:val="24"/>
          <w:lang w:val="zh-CN"/>
        </w:rPr>
      </w:pPr>
      <w:r>
        <w:rPr>
          <w:rFonts w:hint="eastAsia" w:ascii="宋体" w:hAnsi="宋体"/>
          <w:sz w:val="24"/>
          <w:lang w:val="zh-CN"/>
        </w:rPr>
        <w:t>（五）设计人及其工作人员不准与监管单位串通，违反有关规定和程序，损害发包人利益。</w:t>
      </w:r>
    </w:p>
    <w:p w14:paraId="109A3AA5">
      <w:pPr>
        <w:widowControl/>
        <w:spacing w:line="440" w:lineRule="exact"/>
        <w:ind w:firstLine="480" w:firstLineChars="200"/>
        <w:rPr>
          <w:rFonts w:ascii="宋体" w:hAnsi="宋体"/>
          <w:sz w:val="24"/>
          <w:lang w:val="zh-CN"/>
        </w:rPr>
      </w:pPr>
      <w:r>
        <w:rPr>
          <w:rFonts w:hint="eastAsia" w:ascii="宋体" w:hAnsi="宋体"/>
          <w:sz w:val="24"/>
          <w:lang w:val="zh-CN"/>
        </w:rPr>
        <w:t>（六）不得有其他违反法律法规行为。</w:t>
      </w:r>
    </w:p>
    <w:p w14:paraId="1F97C37B">
      <w:pPr>
        <w:widowControl/>
        <w:spacing w:line="440" w:lineRule="exact"/>
        <w:ind w:firstLine="480" w:firstLineChars="200"/>
        <w:rPr>
          <w:rFonts w:ascii="宋体" w:hAnsi="宋体"/>
          <w:sz w:val="24"/>
          <w:lang w:val="zh-CN"/>
        </w:rPr>
      </w:pPr>
      <w:r>
        <w:rPr>
          <w:rFonts w:hint="eastAsia" w:ascii="宋体" w:hAnsi="宋体"/>
          <w:sz w:val="24"/>
          <w:lang w:val="zh-CN"/>
        </w:rPr>
        <w:t>第四条：违约责任</w:t>
      </w:r>
    </w:p>
    <w:p w14:paraId="7CBF389D">
      <w:pPr>
        <w:widowControl/>
        <w:spacing w:line="440" w:lineRule="exact"/>
        <w:ind w:firstLine="480" w:firstLineChars="200"/>
        <w:rPr>
          <w:rFonts w:ascii="宋体" w:hAnsi="宋体"/>
          <w:sz w:val="24"/>
          <w:lang w:val="zh-CN"/>
        </w:rPr>
      </w:pPr>
      <w:r>
        <w:rPr>
          <w:rFonts w:hint="eastAsia" w:ascii="宋体" w:hAnsi="宋体"/>
          <w:sz w:val="24"/>
          <w:lang w:val="zh-CN"/>
        </w:rPr>
        <w:t>（一）设计人违反本《廉洁协议》规定义务的，须向发包人承担经济合同总额3%的经济违约责任。</w:t>
      </w:r>
    </w:p>
    <w:p w14:paraId="53BCEAA5">
      <w:pPr>
        <w:widowControl/>
        <w:spacing w:line="440" w:lineRule="exact"/>
        <w:ind w:firstLine="480" w:firstLineChars="200"/>
        <w:rPr>
          <w:rFonts w:ascii="宋体" w:hAnsi="宋体"/>
          <w:sz w:val="24"/>
          <w:lang w:val="zh-CN"/>
        </w:rPr>
      </w:pPr>
      <w:r>
        <w:rPr>
          <w:rFonts w:hint="eastAsia" w:ascii="宋体" w:hAnsi="宋体"/>
          <w:sz w:val="24"/>
          <w:lang w:val="zh-CN"/>
        </w:rPr>
        <w:t>（二）设计人发生多次违反廉洁协议约定内容，发包人有权将设计人列入黑名单，禁止3-5年内进入发包人作业市场；给发包人造成经济损失、社会影响较大的，发包人有权终止履行经济合同。</w:t>
      </w:r>
    </w:p>
    <w:p w14:paraId="29538723">
      <w:pPr>
        <w:widowControl/>
        <w:spacing w:line="440" w:lineRule="exact"/>
        <w:ind w:firstLine="480" w:firstLineChars="200"/>
        <w:rPr>
          <w:rFonts w:ascii="宋体" w:hAnsi="宋体"/>
          <w:sz w:val="24"/>
          <w:lang w:val="zh-CN"/>
        </w:rPr>
      </w:pPr>
      <w:r>
        <w:rPr>
          <w:rFonts w:hint="eastAsia" w:ascii="宋体" w:hAnsi="宋体"/>
          <w:sz w:val="24"/>
          <w:lang w:val="zh-CN"/>
        </w:rPr>
        <w:t>（三）发包人若违反本《廉洁协议》有关规定的，对违法违纪人员，由发包人主管部门依据有关规定查处。</w:t>
      </w:r>
    </w:p>
    <w:p w14:paraId="54E6604E">
      <w:pPr>
        <w:widowControl/>
        <w:spacing w:line="440" w:lineRule="exact"/>
        <w:ind w:firstLine="480" w:firstLineChars="200"/>
        <w:rPr>
          <w:rFonts w:ascii="宋体" w:hAnsi="宋体"/>
          <w:sz w:val="24"/>
          <w:lang w:val="zh-CN"/>
        </w:rPr>
      </w:pPr>
      <w:r>
        <w:rPr>
          <w:rFonts w:hint="eastAsia" w:ascii="宋体" w:hAnsi="宋体"/>
          <w:sz w:val="24"/>
          <w:lang w:val="zh-CN"/>
        </w:rPr>
        <w:t>第五条：检查方式</w:t>
      </w:r>
    </w:p>
    <w:p w14:paraId="78D4B105">
      <w:pPr>
        <w:widowControl/>
        <w:spacing w:line="440" w:lineRule="exact"/>
        <w:ind w:firstLine="480" w:firstLineChars="200"/>
        <w:rPr>
          <w:rFonts w:ascii="宋体" w:hAnsi="宋体"/>
          <w:sz w:val="24"/>
          <w:lang w:val="zh-CN"/>
        </w:rPr>
      </w:pPr>
      <w:r>
        <w:rPr>
          <w:rFonts w:hint="eastAsia" w:ascii="宋体" w:hAnsi="宋体"/>
          <w:sz w:val="24"/>
          <w:lang w:val="zh-CN"/>
        </w:rPr>
        <w:t>本协议的履约情况由承发包双方共同派员监督，检查方式为座谈、问卷调查、查看资料或由双方约定的其他方式等。检查时间、次数、方式、检查结论等由双方协商确定。</w:t>
      </w:r>
    </w:p>
    <w:p w14:paraId="2B47CAB6">
      <w:pPr>
        <w:widowControl/>
        <w:spacing w:line="440" w:lineRule="exact"/>
        <w:ind w:firstLine="480" w:firstLineChars="200"/>
        <w:rPr>
          <w:rFonts w:ascii="宋体" w:hAnsi="宋体"/>
          <w:sz w:val="24"/>
          <w:lang w:val="zh-CN"/>
        </w:rPr>
      </w:pPr>
      <w:r>
        <w:rPr>
          <w:rFonts w:hint="eastAsia" w:ascii="宋体" w:hAnsi="宋体"/>
          <w:sz w:val="24"/>
          <w:lang w:val="zh-CN"/>
        </w:rPr>
        <w:t>第六条：本协议有效期同经济合同期限。</w:t>
      </w:r>
    </w:p>
    <w:p w14:paraId="6FBA7874">
      <w:pPr>
        <w:widowControl/>
        <w:spacing w:line="440" w:lineRule="exact"/>
        <w:ind w:firstLine="480" w:firstLineChars="200"/>
        <w:rPr>
          <w:rFonts w:ascii="宋体" w:hAnsi="宋体"/>
          <w:sz w:val="24"/>
          <w:lang w:val="zh-CN"/>
        </w:rPr>
      </w:pPr>
      <w:r>
        <w:rPr>
          <w:rFonts w:hint="eastAsia" w:ascii="宋体" w:hAnsi="宋体"/>
          <w:sz w:val="24"/>
          <w:lang w:val="zh-CN"/>
        </w:rPr>
        <w:t>第七条：本协议为经济合同附件，与主合同具有同等法律效力，承发包双方签署后生效。</w:t>
      </w:r>
    </w:p>
    <w:p w14:paraId="570131BD">
      <w:pPr>
        <w:widowControl/>
        <w:spacing w:line="440" w:lineRule="exact"/>
        <w:ind w:firstLine="480" w:firstLineChars="200"/>
        <w:rPr>
          <w:rFonts w:ascii="宋体" w:hAnsi="宋体"/>
          <w:sz w:val="24"/>
          <w:lang w:val="zh-CN"/>
        </w:rPr>
      </w:pPr>
      <w:r>
        <w:rPr>
          <w:rFonts w:hint="eastAsia" w:ascii="宋体" w:hAnsi="宋体"/>
          <w:sz w:val="24"/>
          <w:lang w:val="zh-CN"/>
        </w:rPr>
        <w:t>第八条：承发包双方提供真实有效的举报联系方式。</w:t>
      </w:r>
    </w:p>
    <w:p w14:paraId="33A4659A">
      <w:pPr>
        <w:widowControl/>
        <w:spacing w:line="440" w:lineRule="exact"/>
        <w:ind w:firstLine="480" w:firstLineChars="200"/>
        <w:rPr>
          <w:rFonts w:ascii="宋体" w:hAnsi="宋体"/>
          <w:sz w:val="24"/>
          <w:lang w:val="zh-CN"/>
        </w:rPr>
      </w:pPr>
      <w:r>
        <w:rPr>
          <w:rFonts w:hint="eastAsia" w:ascii="宋体" w:hAnsi="宋体"/>
          <w:sz w:val="24"/>
          <w:lang w:val="zh-CN"/>
        </w:rPr>
        <w:t>设计人向发包人举报的联系方式：</w:t>
      </w:r>
    </w:p>
    <w:p w14:paraId="0F4D0315">
      <w:pPr>
        <w:widowControl/>
        <w:spacing w:line="440" w:lineRule="exact"/>
        <w:ind w:firstLine="480" w:firstLineChars="200"/>
        <w:rPr>
          <w:rFonts w:ascii="宋体" w:hAnsi="宋体"/>
          <w:sz w:val="24"/>
          <w:lang w:val="zh-CN"/>
        </w:rPr>
      </w:pPr>
      <w:r>
        <w:rPr>
          <w:rFonts w:hint="eastAsia" w:ascii="宋体" w:hAnsi="宋体"/>
          <w:sz w:val="24"/>
          <w:lang w:val="zh-CN"/>
        </w:rPr>
        <w:t>邮寄地址：重庆国际复合材料股份有限公司纪委办，邮编：400082</w:t>
      </w:r>
    </w:p>
    <w:p w14:paraId="77C3ABF4">
      <w:pPr>
        <w:widowControl/>
        <w:spacing w:line="440" w:lineRule="exact"/>
        <w:ind w:firstLine="480" w:firstLineChars="200"/>
        <w:rPr>
          <w:rFonts w:ascii="宋体" w:hAnsi="宋体"/>
          <w:sz w:val="24"/>
          <w:lang w:val="zh-CN"/>
        </w:rPr>
      </w:pPr>
      <w:r>
        <w:rPr>
          <w:rFonts w:hint="eastAsia" w:ascii="宋体" w:hAnsi="宋体"/>
          <w:sz w:val="24"/>
          <w:lang w:val="zh-CN"/>
        </w:rPr>
        <w:t>举报电话：023-68157555</w:t>
      </w:r>
    </w:p>
    <w:p w14:paraId="6F1B5B99">
      <w:pPr>
        <w:widowControl/>
        <w:spacing w:line="440" w:lineRule="exact"/>
        <w:ind w:firstLine="480" w:firstLineChars="200"/>
        <w:rPr>
          <w:rFonts w:ascii="宋体" w:hAnsi="宋体"/>
          <w:sz w:val="24"/>
          <w:lang w:val="zh-CN"/>
        </w:rPr>
      </w:pPr>
      <w:r>
        <w:rPr>
          <w:rFonts w:hint="eastAsia" w:ascii="宋体" w:hAnsi="宋体"/>
          <w:sz w:val="24"/>
          <w:lang w:val="zh-CN"/>
        </w:rPr>
        <w:t>举报邮箱：</w:t>
      </w:r>
      <w:r>
        <w:fldChar w:fldCharType="begin"/>
      </w:r>
      <w:r>
        <w:instrText xml:space="preserve"> HYPERLINK "mailto:cqbxjw@cpicfiber.com" </w:instrText>
      </w:r>
      <w:r>
        <w:fldChar w:fldCharType="separate"/>
      </w:r>
      <w:r>
        <w:rPr>
          <w:rFonts w:hint="eastAsia" w:ascii="宋体" w:hAnsi="宋体"/>
          <w:sz w:val="24"/>
          <w:lang w:val="zh-CN"/>
        </w:rPr>
        <w:t>cqbxjw@cpicfiber.com</w:t>
      </w:r>
      <w:r>
        <w:rPr>
          <w:rFonts w:hint="eastAsia" w:ascii="宋体" w:hAnsi="宋体"/>
          <w:sz w:val="24"/>
          <w:lang w:val="zh-CN"/>
        </w:rPr>
        <w:fldChar w:fldCharType="end"/>
      </w:r>
    </w:p>
    <w:p w14:paraId="43391197">
      <w:pPr>
        <w:widowControl/>
        <w:spacing w:line="440" w:lineRule="exact"/>
        <w:ind w:firstLine="480" w:firstLineChars="200"/>
        <w:rPr>
          <w:rFonts w:ascii="宋体" w:hAnsi="宋体"/>
          <w:sz w:val="24"/>
          <w:lang w:val="zh-CN"/>
        </w:rPr>
      </w:pPr>
      <w:r>
        <w:rPr>
          <w:rFonts w:hint="eastAsia" w:ascii="宋体" w:hAnsi="宋体"/>
          <w:sz w:val="24"/>
          <w:lang w:val="zh-CN"/>
        </w:rPr>
        <w:t>发包人向设计人举报的联系方式：</w:t>
      </w:r>
    </w:p>
    <w:p w14:paraId="220F7F7A">
      <w:pPr>
        <w:widowControl/>
        <w:spacing w:line="440" w:lineRule="exact"/>
        <w:ind w:firstLine="480" w:firstLineChars="200"/>
        <w:rPr>
          <w:rFonts w:ascii="宋体" w:hAnsi="宋体"/>
          <w:sz w:val="24"/>
          <w:lang w:val="zh-CN"/>
        </w:rPr>
      </w:pPr>
      <w:r>
        <w:rPr>
          <w:rFonts w:hint="eastAsia" w:ascii="宋体" w:hAnsi="宋体"/>
          <w:sz w:val="24"/>
          <w:lang w:val="zh-CN"/>
        </w:rPr>
        <w:t xml:space="preserve">邮寄地址： </w:t>
      </w:r>
      <w:r>
        <w:rPr>
          <w:rFonts w:ascii="宋体" w:hAnsi="宋体"/>
          <w:sz w:val="24"/>
          <w:lang w:val="zh-CN"/>
        </w:rPr>
        <w:t xml:space="preserve">                   </w:t>
      </w:r>
      <w:r>
        <w:rPr>
          <w:rFonts w:hint="eastAsia" w:ascii="宋体" w:hAnsi="宋体"/>
          <w:sz w:val="24"/>
          <w:lang w:val="zh-CN"/>
        </w:rPr>
        <w:t>邮编：</w:t>
      </w:r>
      <w:r>
        <w:rPr>
          <w:rFonts w:ascii="宋体" w:hAnsi="宋体"/>
          <w:sz w:val="24"/>
          <w:lang w:val="zh-CN"/>
        </w:rPr>
        <w:t xml:space="preserve"> </w:t>
      </w:r>
    </w:p>
    <w:p w14:paraId="1949CFAF">
      <w:pPr>
        <w:widowControl/>
        <w:spacing w:line="440" w:lineRule="exact"/>
        <w:ind w:firstLine="480" w:firstLineChars="200"/>
        <w:rPr>
          <w:rFonts w:ascii="宋体" w:hAnsi="宋体"/>
          <w:sz w:val="24"/>
          <w:lang w:val="zh-CN"/>
        </w:rPr>
      </w:pPr>
      <w:r>
        <w:rPr>
          <w:rFonts w:hint="eastAsia" w:ascii="宋体" w:hAnsi="宋体"/>
          <w:sz w:val="24"/>
          <w:lang w:val="zh-CN"/>
        </w:rPr>
        <w:t xml:space="preserve">举报电话： </w:t>
      </w:r>
      <w:r>
        <w:rPr>
          <w:rFonts w:ascii="宋体" w:hAnsi="宋体"/>
          <w:sz w:val="24"/>
          <w:lang w:val="zh-CN"/>
        </w:rPr>
        <w:t xml:space="preserve"> </w:t>
      </w:r>
    </w:p>
    <w:p w14:paraId="48B796D4">
      <w:pPr>
        <w:widowControl/>
        <w:spacing w:line="440" w:lineRule="exact"/>
        <w:ind w:firstLine="480" w:firstLineChars="200"/>
        <w:rPr>
          <w:rFonts w:ascii="宋体" w:hAnsi="宋体"/>
          <w:sz w:val="24"/>
          <w:lang w:val="zh-CN"/>
        </w:rPr>
      </w:pPr>
      <w:r>
        <w:rPr>
          <w:rFonts w:hint="eastAsia" w:ascii="宋体" w:hAnsi="宋体"/>
          <w:sz w:val="24"/>
          <w:lang w:val="zh-CN"/>
        </w:rPr>
        <w:t>举报邮箱：</w:t>
      </w:r>
      <w:r>
        <w:rPr>
          <w:rFonts w:ascii="宋体" w:hAnsi="宋体"/>
          <w:sz w:val="24"/>
          <w:lang w:val="zh-CN"/>
        </w:rPr>
        <w:t xml:space="preserve"> </w:t>
      </w:r>
    </w:p>
    <w:p w14:paraId="0E4660A8">
      <w:pPr>
        <w:widowControl/>
        <w:spacing w:line="440" w:lineRule="exact"/>
        <w:rPr>
          <w:rFonts w:ascii="宋体" w:hAnsi="宋体"/>
          <w:sz w:val="24"/>
          <w:lang w:val="zh-CN"/>
        </w:rPr>
      </w:pPr>
      <w:r>
        <w:rPr>
          <w:rFonts w:hint="eastAsia" w:ascii="宋体" w:hAnsi="宋体"/>
          <w:sz w:val="24"/>
          <w:lang w:val="zh-CN"/>
        </w:rPr>
        <w:t>发包人单位：重庆</w:t>
      </w:r>
      <w:r>
        <w:rPr>
          <w:rFonts w:hint="eastAsia" w:ascii="宋体" w:hAnsi="宋体"/>
          <w:sz w:val="24"/>
          <w:lang w:val="en-US" w:eastAsia="zh-CN"/>
        </w:rPr>
        <w:t>天泽新</w:t>
      </w:r>
      <w:r>
        <w:rPr>
          <w:rFonts w:hint="eastAsia" w:ascii="宋体" w:hAnsi="宋体"/>
          <w:sz w:val="24"/>
          <w:lang w:val="zh-CN"/>
        </w:rPr>
        <w:t xml:space="preserve">材料有限公司  设计人单位：                           </w:t>
      </w:r>
    </w:p>
    <w:p w14:paraId="51F9A320">
      <w:pPr>
        <w:widowControl/>
        <w:spacing w:line="440" w:lineRule="exact"/>
        <w:rPr>
          <w:rFonts w:ascii="宋体" w:hAnsi="宋体"/>
          <w:sz w:val="24"/>
          <w:lang w:val="zh-CN"/>
        </w:rPr>
      </w:pPr>
    </w:p>
    <w:p w14:paraId="1D8DFE5D">
      <w:pPr>
        <w:widowControl/>
        <w:spacing w:line="440" w:lineRule="exact"/>
        <w:rPr>
          <w:rFonts w:ascii="宋体" w:hAnsi="宋体"/>
          <w:sz w:val="24"/>
          <w:lang w:val="zh-CN"/>
        </w:rPr>
      </w:pPr>
      <w:r>
        <w:rPr>
          <w:rFonts w:hint="eastAsia" w:ascii="宋体" w:hAnsi="宋体"/>
          <w:sz w:val="24"/>
          <w:lang w:val="zh-CN"/>
        </w:rPr>
        <w:t xml:space="preserve">法 定 代 表 人  ：                      </w:t>
      </w:r>
      <w:r>
        <w:rPr>
          <w:rFonts w:ascii="宋体" w:hAnsi="宋体"/>
          <w:sz w:val="24"/>
          <w:lang w:val="zh-CN"/>
        </w:rPr>
        <w:t xml:space="preserve"> </w:t>
      </w:r>
      <w:r>
        <w:rPr>
          <w:rFonts w:hint="eastAsia" w:ascii="宋体" w:hAnsi="宋体"/>
          <w:sz w:val="24"/>
          <w:lang w:val="zh-CN"/>
        </w:rPr>
        <w:t xml:space="preserve"> 法 定 代 表 人： </w:t>
      </w:r>
    </w:p>
    <w:p w14:paraId="79FD208C">
      <w:pPr>
        <w:widowControl/>
        <w:spacing w:line="440" w:lineRule="exact"/>
        <w:rPr>
          <w:rFonts w:ascii="宋体" w:hAnsi="宋体"/>
          <w:sz w:val="24"/>
          <w:lang w:val="zh-CN"/>
        </w:rPr>
      </w:pPr>
      <w:r>
        <w:rPr>
          <w:rFonts w:hint="eastAsia" w:ascii="宋体" w:hAnsi="宋体"/>
          <w:sz w:val="24"/>
          <w:lang w:val="zh-CN"/>
        </w:rPr>
        <w:t xml:space="preserve">（或受权代理人）签字：                  </w:t>
      </w:r>
      <w:r>
        <w:rPr>
          <w:rFonts w:ascii="宋体" w:hAnsi="宋体"/>
          <w:sz w:val="24"/>
          <w:lang w:val="zh-CN"/>
        </w:rPr>
        <w:t xml:space="preserve"> </w:t>
      </w:r>
      <w:r>
        <w:rPr>
          <w:rFonts w:hint="eastAsia" w:ascii="宋体" w:hAnsi="宋体"/>
          <w:sz w:val="24"/>
          <w:lang w:val="zh-CN"/>
        </w:rPr>
        <w:t>（或受权代理人）签字：</w:t>
      </w:r>
    </w:p>
    <w:p w14:paraId="2AAEA6E4">
      <w:pPr>
        <w:widowControl/>
        <w:spacing w:line="440" w:lineRule="exact"/>
        <w:ind w:firstLine="480" w:firstLineChars="200"/>
        <w:rPr>
          <w:rFonts w:ascii="宋体" w:hAnsi="宋体"/>
          <w:sz w:val="24"/>
          <w:lang w:val="zh-CN"/>
        </w:rPr>
      </w:pPr>
    </w:p>
    <w:p w14:paraId="5AFDDA3E">
      <w:pPr>
        <w:widowControl/>
        <w:spacing w:line="440" w:lineRule="exact"/>
        <w:rPr>
          <w:rFonts w:ascii="宋体" w:hAnsi="宋体"/>
          <w:sz w:val="24"/>
          <w:lang w:val="zh-CN"/>
        </w:rPr>
      </w:pPr>
      <w:r>
        <w:rPr>
          <w:rFonts w:hint="eastAsia" w:ascii="宋体" w:hAnsi="宋体"/>
          <w:sz w:val="24"/>
          <w:lang w:val="zh-CN"/>
        </w:rPr>
        <w:t xml:space="preserve">单位地址： </w:t>
      </w:r>
      <w:r>
        <w:rPr>
          <w:rFonts w:ascii="宋体" w:hAnsi="宋体"/>
          <w:sz w:val="24"/>
          <w:lang w:val="zh-CN"/>
        </w:rPr>
        <w:t xml:space="preserve">                           </w:t>
      </w:r>
      <w:r>
        <w:rPr>
          <w:rFonts w:hint="eastAsia" w:ascii="宋体" w:hAnsi="宋体"/>
          <w:sz w:val="24"/>
          <w:lang w:val="zh-CN"/>
        </w:rPr>
        <w:t xml:space="preserve"> </w:t>
      </w:r>
      <w:r>
        <w:rPr>
          <w:rFonts w:ascii="宋体" w:hAnsi="宋体"/>
          <w:sz w:val="24"/>
          <w:lang w:val="zh-CN"/>
        </w:rPr>
        <w:t xml:space="preserve"> </w:t>
      </w:r>
      <w:r>
        <w:rPr>
          <w:rFonts w:hint="eastAsia" w:ascii="宋体" w:hAnsi="宋体"/>
          <w:sz w:val="24"/>
          <w:lang w:val="zh-CN"/>
        </w:rPr>
        <w:t xml:space="preserve"> 单位地址：</w:t>
      </w:r>
    </w:p>
    <w:p w14:paraId="7EC88078">
      <w:pPr>
        <w:spacing w:line="360" w:lineRule="auto"/>
        <w:ind w:left="2" w:firstLine="1606" w:firstLineChars="500"/>
        <w:jc w:val="left"/>
        <w:rPr>
          <w:rFonts w:ascii="宋体" w:hAnsi="宋体" w:cs="仿宋"/>
          <w:b/>
          <w:kern w:val="0"/>
          <w:sz w:val="32"/>
          <w:szCs w:val="32"/>
        </w:rPr>
      </w:pPr>
    </w:p>
    <w:p w14:paraId="6B74D272">
      <w:pPr>
        <w:pStyle w:val="12"/>
        <w:numPr>
          <w:ilvl w:val="0"/>
          <w:numId w:val="0"/>
        </w:numPr>
        <w:ind w:left="420"/>
        <w:rPr>
          <w:rFonts w:ascii="宋体" w:eastAsia="宋体"/>
          <w:color w:val="auto"/>
        </w:rPr>
      </w:pPr>
    </w:p>
    <w:p w14:paraId="1D2226FC">
      <w:pPr>
        <w:rPr>
          <w:rFonts w:ascii="宋体" w:hAnsi="宋体"/>
        </w:rPr>
      </w:pPr>
    </w:p>
    <w:sectPr>
      <w:headerReference r:id="rId5" w:type="default"/>
      <w:footerReference r:id="rId6" w:type="default"/>
      <w:pgSz w:w="11906" w:h="16838"/>
      <w:pgMar w:top="1440" w:right="1416"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EB921">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E3E70E">
                          <w:pPr>
                            <w:pStyle w:val="8"/>
                          </w:pPr>
                          <w:r>
                            <w:fldChar w:fldCharType="begin"/>
                          </w:r>
                          <w:r>
                            <w:instrText xml:space="preserve">PAGE   \* MERGEFORMAT</w:instrText>
                          </w:r>
                          <w:r>
                            <w:fldChar w:fldCharType="separate"/>
                          </w:r>
                          <w:r>
                            <w:rPr>
                              <w:lang w:val="zh-CN"/>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2EE3E70E">
                    <w:pPr>
                      <w:pStyle w:val="8"/>
                    </w:pPr>
                    <w:r>
                      <w:fldChar w:fldCharType="begin"/>
                    </w:r>
                    <w:r>
                      <w:instrText xml:space="preserve">PAGE   \* MERGEFORMAT</w:instrText>
                    </w:r>
                    <w:r>
                      <w:fldChar w:fldCharType="separate"/>
                    </w:r>
                    <w:r>
                      <w:rPr>
                        <w:lang w:val="zh-CN"/>
                      </w:rPr>
                      <w:t>6</w:t>
                    </w:r>
                    <w:r>
                      <w:fldChar w:fldCharType="end"/>
                    </w:r>
                  </w:p>
                </w:txbxContent>
              </v:textbox>
            </v:shape>
          </w:pict>
        </mc:Fallback>
      </mc:AlternateContent>
    </w:r>
  </w:p>
  <w:p w14:paraId="732E679E">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24B88">
    <w:pPr>
      <w:pStyle w:val="9"/>
    </w:pPr>
    <w:r>
      <w:t>重庆</w:t>
    </w:r>
    <w:r>
      <w:rPr>
        <w:rFonts w:hint="eastAsia"/>
        <w:lang w:val="en-US" w:eastAsia="zh-CN"/>
      </w:rPr>
      <w:t>天泽新</w:t>
    </w:r>
    <w:r>
      <w:t>材料有限公司</w:t>
    </w:r>
    <w:r>
      <w:rPr>
        <w:rFonts w:hint="eastAsia"/>
      </w:rPr>
      <w:t xml:space="preserve"> </w:t>
    </w:r>
    <w:r>
      <w:t xml:space="preserve">                                                 </w:t>
    </w:r>
    <w:r>
      <w:rPr>
        <w:rFonts w:hint="eastAsia"/>
      </w:rPr>
      <w:t>询比价文件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572F0"/>
    <w:multiLevelType w:val="singleLevel"/>
    <w:tmpl w:val="944572F0"/>
    <w:lvl w:ilvl="0" w:tentative="0">
      <w:start w:val="1"/>
      <w:numFmt w:val="decimal"/>
      <w:suff w:val="nothing"/>
      <w:lvlText w:val="（%1）"/>
      <w:lvlJc w:val="left"/>
    </w:lvl>
  </w:abstractNum>
  <w:abstractNum w:abstractNumId="1">
    <w:nsid w:val="2A792DB7"/>
    <w:multiLevelType w:val="multilevel"/>
    <w:tmpl w:val="2A792DB7"/>
    <w:lvl w:ilvl="0" w:tentative="0">
      <w:start w:val="5"/>
      <w:numFmt w:val="japaneseCounting"/>
      <w:pStyle w:val="12"/>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11F0290"/>
    <w:multiLevelType w:val="multilevel"/>
    <w:tmpl w:val="711F0290"/>
    <w:lvl w:ilvl="0" w:tentative="0">
      <w:start w:val="1"/>
      <w:numFmt w:val="decimal"/>
      <w:pStyle w:val="19"/>
      <w:lvlText w:val="%1、"/>
      <w:lvlJc w:val="left"/>
      <w:pPr>
        <w:tabs>
          <w:tab w:val="left" w:pos="4330"/>
        </w:tabs>
        <w:ind w:left="433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4BBA6147"/>
    <w:rsid w:val="00044A08"/>
    <w:rsid w:val="00126D4E"/>
    <w:rsid w:val="00244EFC"/>
    <w:rsid w:val="002A3443"/>
    <w:rsid w:val="002E10EE"/>
    <w:rsid w:val="002F6776"/>
    <w:rsid w:val="00302F07"/>
    <w:rsid w:val="00305F7A"/>
    <w:rsid w:val="003610D4"/>
    <w:rsid w:val="0037684F"/>
    <w:rsid w:val="00381C3E"/>
    <w:rsid w:val="003E13E2"/>
    <w:rsid w:val="00404D6D"/>
    <w:rsid w:val="004105BC"/>
    <w:rsid w:val="00506DAB"/>
    <w:rsid w:val="005073CF"/>
    <w:rsid w:val="00507C68"/>
    <w:rsid w:val="00576681"/>
    <w:rsid w:val="005B0C1A"/>
    <w:rsid w:val="00696284"/>
    <w:rsid w:val="006B1A43"/>
    <w:rsid w:val="0070593C"/>
    <w:rsid w:val="00730CF6"/>
    <w:rsid w:val="00747250"/>
    <w:rsid w:val="00770C0A"/>
    <w:rsid w:val="0078465A"/>
    <w:rsid w:val="00792DD5"/>
    <w:rsid w:val="007E4CEE"/>
    <w:rsid w:val="008154A6"/>
    <w:rsid w:val="008A2BAB"/>
    <w:rsid w:val="008C2B00"/>
    <w:rsid w:val="008D07E3"/>
    <w:rsid w:val="008E4146"/>
    <w:rsid w:val="009416AB"/>
    <w:rsid w:val="009954AA"/>
    <w:rsid w:val="009A36D0"/>
    <w:rsid w:val="009E163F"/>
    <w:rsid w:val="00A0164B"/>
    <w:rsid w:val="00A07B7E"/>
    <w:rsid w:val="00A87372"/>
    <w:rsid w:val="00B17D35"/>
    <w:rsid w:val="00BE0B95"/>
    <w:rsid w:val="00BF1092"/>
    <w:rsid w:val="00BF38FC"/>
    <w:rsid w:val="00C61F26"/>
    <w:rsid w:val="00C70F42"/>
    <w:rsid w:val="00C962DC"/>
    <w:rsid w:val="00D95216"/>
    <w:rsid w:val="00DA20DE"/>
    <w:rsid w:val="00DB3D77"/>
    <w:rsid w:val="00EA572D"/>
    <w:rsid w:val="00F24518"/>
    <w:rsid w:val="00F262E9"/>
    <w:rsid w:val="00F37F66"/>
    <w:rsid w:val="00F46D6D"/>
    <w:rsid w:val="00F53200"/>
    <w:rsid w:val="025F4E50"/>
    <w:rsid w:val="0960679B"/>
    <w:rsid w:val="0B773172"/>
    <w:rsid w:val="23446E33"/>
    <w:rsid w:val="2737036B"/>
    <w:rsid w:val="29657E37"/>
    <w:rsid w:val="30AE6D62"/>
    <w:rsid w:val="46B70F8B"/>
    <w:rsid w:val="4BBA6147"/>
    <w:rsid w:val="50D11BAD"/>
    <w:rsid w:val="51D442B0"/>
    <w:rsid w:val="53CC402B"/>
    <w:rsid w:val="606E1633"/>
    <w:rsid w:val="6A8D7037"/>
    <w:rsid w:val="6E1F1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jc w:val="both"/>
    </w:pPr>
    <w:rPr>
      <w:rFonts w:ascii="Times New Roman" w:hAnsi="Times New Roman" w:eastAsia="宋体" w:cs="Times New Roman"/>
      <w:kern w:val="2"/>
      <w:sz w:val="36"/>
      <w:szCs w:val="36"/>
      <w:lang w:val="en-US" w:eastAsia="zh-CN" w:bidi="ar-SA"/>
    </w:rPr>
  </w:style>
  <w:style w:type="paragraph" w:styleId="3">
    <w:name w:val="heading 1"/>
    <w:next w:val="1"/>
    <w:autoRedefine/>
    <w:qFormat/>
    <w:uiPriority w:val="0"/>
    <w:pPr>
      <w:keepNext/>
      <w:keepLines/>
      <w:widowControl w:val="0"/>
      <w:spacing w:before="240" w:beforeLines="100" w:after="360" w:afterLines="150" w:line="276" w:lineRule="auto"/>
      <w:jc w:val="center"/>
      <w:outlineLvl w:val="0"/>
    </w:pPr>
    <w:rPr>
      <w:rFonts w:ascii="宋体" w:hAnsi="宋体" w:eastAsia="宋体" w:cs="Times New Roman"/>
      <w:b/>
      <w:bCs/>
      <w:color w:val="000000"/>
      <w:kern w:val="44"/>
      <w:sz w:val="32"/>
      <w:szCs w:val="24"/>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pPr>
  </w:style>
  <w:style w:type="paragraph" w:styleId="5">
    <w:name w:val="Body Text"/>
    <w:basedOn w:val="1"/>
    <w:next w:val="1"/>
    <w:autoRedefine/>
    <w:unhideWhenUsed/>
    <w:qFormat/>
    <w:uiPriority w:val="99"/>
    <w:pPr>
      <w:spacing w:after="120"/>
    </w:pPr>
  </w:style>
  <w:style w:type="paragraph" w:styleId="6">
    <w:name w:val="annotation text"/>
    <w:autoRedefine/>
    <w:unhideWhenUsed/>
    <w:qFormat/>
    <w:uiPriority w:val="99"/>
    <w:pPr>
      <w:widowControl w:val="0"/>
      <w:spacing w:line="276" w:lineRule="auto"/>
    </w:pPr>
    <w:rPr>
      <w:rFonts w:ascii="Times New Roman" w:hAnsi="Times New Roman" w:eastAsia="宋体" w:cs="Times New Roman"/>
      <w:kern w:val="2"/>
      <w:sz w:val="36"/>
      <w:szCs w:val="36"/>
      <w:lang w:val="en-US" w:eastAsia="zh-CN" w:bidi="ar-SA"/>
    </w:rPr>
  </w:style>
  <w:style w:type="paragraph" w:styleId="7">
    <w:name w:val="Body Text Indent"/>
    <w:autoRedefine/>
    <w:qFormat/>
    <w:uiPriority w:val="99"/>
    <w:pPr>
      <w:widowControl w:val="0"/>
      <w:spacing w:line="360" w:lineRule="auto"/>
      <w:ind w:firstLine="560" w:firstLineChars="200"/>
      <w:jc w:val="both"/>
    </w:pPr>
    <w:rPr>
      <w:rFonts w:ascii="黑体" w:hAnsi="宋体" w:eastAsia="黑体" w:cs="Times New Roman"/>
      <w:color w:val="000000"/>
      <w:kern w:val="2"/>
      <w:sz w:val="36"/>
      <w:szCs w:val="32"/>
      <w:lang w:val="en-US" w:eastAsia="zh-CN" w:bidi="ar-SA"/>
    </w:rPr>
  </w:style>
  <w:style w:type="paragraph" w:styleId="8">
    <w:name w:val="footer"/>
    <w:autoRedefine/>
    <w:unhideWhenUsed/>
    <w:qFormat/>
    <w:uiPriority w:val="99"/>
    <w:pPr>
      <w:widowControl w:val="0"/>
      <w:tabs>
        <w:tab w:val="center" w:pos="4153"/>
        <w:tab w:val="right" w:pos="8306"/>
      </w:tabs>
      <w:snapToGrid w:val="0"/>
      <w:spacing w:line="276" w:lineRule="auto"/>
    </w:pPr>
    <w:rPr>
      <w:rFonts w:ascii="Times New Roman" w:hAnsi="Times New Roman" w:eastAsia="宋体" w:cs="Times New Roman"/>
      <w:kern w:val="2"/>
      <w:sz w:val="18"/>
      <w:szCs w:val="18"/>
      <w:lang w:val="en-US" w:eastAsia="zh-CN" w:bidi="ar-SA"/>
    </w:rPr>
  </w:style>
  <w:style w:type="paragraph" w:styleId="9">
    <w:name w:val="header"/>
    <w:autoRedefine/>
    <w:unhideWhenUsed/>
    <w:qFormat/>
    <w:uiPriority w:val="99"/>
    <w:pPr>
      <w:widowControl w:val="0"/>
      <w:pBdr>
        <w:bottom w:val="single" w:color="auto" w:sz="6" w:space="1"/>
      </w:pBdr>
      <w:tabs>
        <w:tab w:val="center" w:pos="4153"/>
        <w:tab w:val="right" w:pos="8306"/>
      </w:tabs>
      <w:snapToGrid w:val="0"/>
      <w:spacing w:line="276" w:lineRule="auto"/>
      <w:jc w:val="center"/>
    </w:pPr>
    <w:rPr>
      <w:rFonts w:ascii="Times New Roman" w:hAnsi="Times New Roman" w:eastAsia="宋体" w:cs="Times New Roman"/>
      <w:kern w:val="2"/>
      <w:sz w:val="18"/>
      <w:szCs w:val="18"/>
      <w:lang w:val="en-US" w:eastAsia="zh-CN" w:bidi="ar-SA"/>
    </w:rPr>
  </w:style>
  <w:style w:type="paragraph" w:styleId="10">
    <w:name w:val="toc 1"/>
    <w:next w:val="1"/>
    <w:autoRedefine/>
    <w:unhideWhenUsed/>
    <w:qFormat/>
    <w:uiPriority w:val="39"/>
    <w:pPr>
      <w:spacing w:after="100" w:line="259" w:lineRule="auto"/>
    </w:pPr>
    <w:rPr>
      <w:rFonts w:ascii="等线" w:hAnsi="等线" w:eastAsia="等线" w:cs="Times New Roman"/>
      <w:sz w:val="22"/>
      <w:szCs w:val="22"/>
      <w:lang w:val="en-US" w:eastAsia="zh-CN" w:bidi="ar-SA"/>
    </w:rPr>
  </w:style>
  <w:style w:type="paragraph" w:styleId="11">
    <w:name w:val="Normal (Web)"/>
    <w:autoRedefine/>
    <w:unhideWhenUsed/>
    <w:qFormat/>
    <w:uiPriority w:val="99"/>
    <w:pPr>
      <w:widowControl w:val="0"/>
      <w:spacing w:beforeAutospacing="1" w:afterAutospacing="1" w:line="276" w:lineRule="auto"/>
    </w:pPr>
    <w:rPr>
      <w:rFonts w:ascii="Times New Roman" w:hAnsi="Times New Roman" w:eastAsia="宋体" w:cs="Times New Roman"/>
      <w:sz w:val="24"/>
      <w:szCs w:val="36"/>
      <w:lang w:val="en-US" w:eastAsia="zh-CN" w:bidi="ar-SA"/>
    </w:rPr>
  </w:style>
  <w:style w:type="paragraph" w:styleId="12">
    <w:name w:val="Body Text First Indent 2"/>
    <w:autoRedefine/>
    <w:qFormat/>
    <w:uiPriority w:val="0"/>
    <w:pPr>
      <w:widowControl w:val="0"/>
      <w:numPr>
        <w:ilvl w:val="0"/>
        <w:numId w:val="1"/>
      </w:numPr>
      <w:spacing w:before="100" w:beforeAutospacing="1" w:after="100" w:afterAutospacing="1" w:line="276" w:lineRule="auto"/>
      <w:ind w:firstLine="0"/>
      <w:jc w:val="both"/>
    </w:pPr>
    <w:rPr>
      <w:rFonts w:ascii="黑体" w:hAnsi="宋体" w:eastAsia="黑体" w:cs="Times New Roman"/>
      <w:color w:val="000000"/>
      <w:kern w:val="2"/>
      <w:sz w:val="21"/>
      <w:szCs w:val="24"/>
      <w:lang w:val="en-US" w:eastAsia="zh-CN" w:bidi="ar-SA"/>
    </w:rPr>
  </w:style>
  <w:style w:type="table" w:styleId="14">
    <w:name w:val="Table Grid"/>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6">
    <w:name w:val="Hyperlink"/>
    <w:autoRedefine/>
    <w:unhideWhenUsed/>
    <w:qFormat/>
    <w:uiPriority w:val="99"/>
    <w:rPr>
      <w:color w:val="0000FF"/>
      <w:u w:val="single"/>
    </w:rPr>
  </w:style>
  <w:style w:type="paragraph" w:customStyle="1" w:styleId="17">
    <w:name w:val="TOC 标题1"/>
    <w:next w:val="1"/>
    <w:autoRedefine/>
    <w:unhideWhenUsed/>
    <w:qFormat/>
    <w:uiPriority w:val="39"/>
    <w:pPr>
      <w:keepNext/>
      <w:keepLines/>
      <w:spacing w:before="240" w:beforeLines="100" w:after="360" w:afterLines="150" w:line="259" w:lineRule="auto"/>
      <w:jc w:val="center"/>
    </w:pPr>
    <w:rPr>
      <w:rFonts w:ascii="等线 Light" w:hAnsi="等线 Light" w:eastAsia="等线 Light" w:cs="Times New Roman"/>
      <w:color w:val="2F5496"/>
      <w:sz w:val="32"/>
      <w:szCs w:val="32"/>
      <w:lang w:val="en-US" w:eastAsia="zh-CN" w:bidi="ar-SA"/>
    </w:rPr>
  </w:style>
  <w:style w:type="paragraph" w:styleId="18">
    <w:name w:val="List Paragraph"/>
    <w:autoRedefine/>
    <w:qFormat/>
    <w:uiPriority w:val="99"/>
    <w:pPr>
      <w:widowControl w:val="0"/>
      <w:spacing w:line="276" w:lineRule="auto"/>
      <w:ind w:firstLine="420" w:firstLineChars="200"/>
      <w:jc w:val="both"/>
    </w:pPr>
    <w:rPr>
      <w:rFonts w:ascii="Times New Roman" w:hAnsi="Times New Roman" w:eastAsia="宋体" w:cs="Times New Roman"/>
      <w:kern w:val="2"/>
      <w:sz w:val="36"/>
      <w:szCs w:val="36"/>
      <w:lang w:val="en-US" w:eastAsia="zh-CN" w:bidi="ar-SA"/>
    </w:rPr>
  </w:style>
  <w:style w:type="paragraph" w:customStyle="1" w:styleId="19">
    <w:name w:val="正文（首行缩进） Char"/>
    <w:autoRedefine/>
    <w:qFormat/>
    <w:uiPriority w:val="0"/>
    <w:pPr>
      <w:widowControl w:val="0"/>
      <w:numPr>
        <w:ilvl w:val="0"/>
        <w:numId w:val="2"/>
      </w:numPr>
      <w:spacing w:line="360" w:lineRule="auto"/>
      <w:jc w:val="both"/>
    </w:pPr>
    <w:rPr>
      <w:rFonts w:ascii="宋体" w:hAnsi="宋体" w:eastAsia="宋体" w:cs="Times New Roman"/>
      <w:color w:val="000000"/>
      <w:kern w:val="2"/>
      <w:sz w:val="24"/>
      <w:szCs w:val="36"/>
      <w:lang w:val="en-US" w:eastAsia="zh-CN" w:bidi="ar-SA"/>
    </w:rPr>
  </w:style>
  <w:style w:type="paragraph" w:customStyle="1" w:styleId="20">
    <w:name w:val="p0"/>
    <w:basedOn w:val="1"/>
    <w:autoRedefine/>
    <w:qFormat/>
    <w:uiPriority w:val="99"/>
    <w:pPr>
      <w:widowControl/>
    </w:pPr>
    <w:rPr>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4315</Words>
  <Characters>4809</Characters>
  <Lines>114</Lines>
  <Paragraphs>32</Paragraphs>
  <TotalTime>4</TotalTime>
  <ScaleCrop>false</ScaleCrop>
  <LinksUpToDate>false</LinksUpToDate>
  <CharactersWithSpaces>5310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2024-10-08T05:22:00Z</dcterms:created>
  <dc:creator>Tab</dc:creator>
  <cp:lastModifiedBy>envy.</cp:lastModifiedBy>
  <dcterms:modified xsi:type="dcterms:W3CDTF">2025-03-06T08:14:10Z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55D2C42C906041A5B52612C657904DF7_13</vt:lpwstr>
  </property>
  <property fmtid="{D5CDD505-2E9C-101B-9397-08002B2CF9AE}" pid="4" name="KSOTemplateDocerSaveRecord">
    <vt:lpwstr>eyJoZGlkIjoiMjIzODU5ZGRkYTVkODQ4NTI2Nzc3N2I3NjAyMGUzMTQiLCJ1c2VySWQiOiI0NTQ4MDg0MDgifQ==</vt:lpwstr>
  </property>
</Properties>
</file>