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1A7D">
      <w:pPr>
        <w:jc w:val="left"/>
        <w:rPr>
          <w:rFonts w:hint="eastAsia" w:ascii="宋体" w:hAnsi="宋体" w:cs="宋体"/>
          <w:b/>
          <w:sz w:val="36"/>
          <w:szCs w:val="36"/>
        </w:rPr>
      </w:pPr>
      <w:bookmarkStart w:id="0" w:name="_Toc417895952"/>
      <w:bookmarkStart w:id="1" w:name="_Toc416703361"/>
      <w:bookmarkStart w:id="2" w:name="_Toc417896502"/>
      <w:bookmarkStart w:id="3" w:name="_Toc417896685"/>
      <w:bookmarkStart w:id="4" w:name="_Toc416702955"/>
      <w:r>
        <w:rPr>
          <w:rFonts w:hint="eastAsia" w:ascii="宋体" w:hAnsi="宋体" w:cs="宋体"/>
          <w:b/>
          <w:sz w:val="36"/>
          <w:szCs w:val="36"/>
        </w:rPr>
        <w:t>项目名称：大渡口厂区天然气管道新建及改造项目</w:t>
      </w:r>
    </w:p>
    <w:p w14:paraId="665BDF01">
      <w:pPr>
        <w:ind w:left="1807" w:hanging="1807" w:hangingChars="500"/>
        <w:rPr>
          <w:rFonts w:ascii="宋体" w:hAnsi="宋体" w:cs="宋体"/>
          <w:b/>
          <w:sz w:val="36"/>
          <w:szCs w:val="36"/>
        </w:rPr>
      </w:pPr>
      <w:r>
        <w:rPr>
          <w:rFonts w:hint="eastAsia" w:ascii="宋体" w:hAnsi="宋体" w:cs="宋体"/>
          <w:b/>
          <w:sz w:val="36"/>
          <w:szCs w:val="36"/>
        </w:rPr>
        <w:t>采购编号：SJSGK-C-2025-02</w:t>
      </w:r>
    </w:p>
    <w:bookmarkEnd w:id="0"/>
    <w:bookmarkEnd w:id="1"/>
    <w:bookmarkEnd w:id="2"/>
    <w:bookmarkEnd w:id="3"/>
    <w:bookmarkEnd w:id="4"/>
    <w:p w14:paraId="636ED34A">
      <w:pPr>
        <w:rPr>
          <w:rFonts w:ascii="宋体" w:hAnsi="宋体"/>
        </w:rPr>
      </w:pPr>
    </w:p>
    <w:p w14:paraId="41B242A4">
      <w:pPr>
        <w:spacing w:line="360" w:lineRule="auto"/>
        <w:jc w:val="center"/>
        <w:rPr>
          <w:rFonts w:ascii="宋体" w:hAnsi="宋体"/>
          <w:b/>
          <w:bCs/>
          <w:sz w:val="128"/>
          <w:szCs w:val="128"/>
        </w:rPr>
      </w:pPr>
    </w:p>
    <w:p w14:paraId="11B3065F">
      <w:pPr>
        <w:spacing w:line="360" w:lineRule="auto"/>
        <w:jc w:val="center"/>
        <w:rPr>
          <w:rFonts w:ascii="宋体" w:hAnsi="宋体"/>
          <w:b/>
          <w:bCs/>
          <w:sz w:val="96"/>
          <w:szCs w:val="120"/>
        </w:rPr>
      </w:pPr>
      <w:r>
        <w:rPr>
          <w:rFonts w:hint="eastAsia" w:ascii="宋体" w:hAnsi="宋体"/>
          <w:b/>
          <w:bCs/>
          <w:sz w:val="96"/>
          <w:szCs w:val="120"/>
        </w:rPr>
        <w:t>竞争性谈判文件</w:t>
      </w:r>
    </w:p>
    <w:p w14:paraId="7F4DE31A">
      <w:pPr>
        <w:rPr>
          <w:rFonts w:ascii="宋体" w:hAnsi="宋体"/>
          <w:b/>
          <w:bCs/>
          <w:szCs w:val="21"/>
        </w:rPr>
      </w:pPr>
    </w:p>
    <w:p w14:paraId="221BB54A">
      <w:pPr>
        <w:rPr>
          <w:rFonts w:ascii="宋体" w:hAnsi="宋体"/>
          <w:b/>
          <w:bCs/>
          <w:szCs w:val="21"/>
        </w:rPr>
      </w:pPr>
    </w:p>
    <w:p w14:paraId="16B2DD4D">
      <w:pPr>
        <w:rPr>
          <w:rFonts w:ascii="宋体" w:hAnsi="宋体"/>
          <w:b/>
          <w:bCs/>
          <w:szCs w:val="21"/>
        </w:rPr>
      </w:pPr>
    </w:p>
    <w:p w14:paraId="753873DC">
      <w:pPr>
        <w:rPr>
          <w:rFonts w:ascii="宋体" w:hAnsi="宋体"/>
          <w:b/>
          <w:bCs/>
          <w:szCs w:val="21"/>
        </w:rPr>
      </w:pPr>
    </w:p>
    <w:p w14:paraId="222D1E6B">
      <w:pPr>
        <w:rPr>
          <w:rFonts w:ascii="宋体" w:hAnsi="宋体"/>
          <w:b/>
          <w:bCs/>
          <w:szCs w:val="21"/>
        </w:rPr>
      </w:pPr>
    </w:p>
    <w:p w14:paraId="48808561">
      <w:pPr>
        <w:rPr>
          <w:rFonts w:ascii="宋体" w:hAnsi="宋体"/>
          <w:b/>
          <w:bCs/>
          <w:szCs w:val="21"/>
        </w:rPr>
      </w:pPr>
    </w:p>
    <w:p w14:paraId="4D5C7941">
      <w:pPr>
        <w:rPr>
          <w:rFonts w:ascii="宋体" w:hAnsi="宋体"/>
          <w:b/>
          <w:bCs/>
          <w:szCs w:val="21"/>
        </w:rPr>
      </w:pPr>
    </w:p>
    <w:p w14:paraId="52C3D0ED">
      <w:pPr>
        <w:rPr>
          <w:rFonts w:ascii="宋体" w:hAnsi="宋体"/>
          <w:b/>
          <w:bCs/>
          <w:szCs w:val="21"/>
        </w:rPr>
      </w:pPr>
    </w:p>
    <w:p w14:paraId="6A74F7B3">
      <w:pPr>
        <w:rPr>
          <w:rFonts w:ascii="宋体" w:hAnsi="宋体"/>
          <w:b/>
          <w:bCs/>
          <w:szCs w:val="21"/>
        </w:rPr>
      </w:pPr>
    </w:p>
    <w:p w14:paraId="214ADDF1">
      <w:pPr>
        <w:rPr>
          <w:rFonts w:ascii="宋体" w:hAnsi="宋体"/>
          <w:b/>
          <w:bCs/>
          <w:szCs w:val="21"/>
        </w:rPr>
      </w:pPr>
    </w:p>
    <w:p w14:paraId="126EFB31">
      <w:pPr>
        <w:rPr>
          <w:rFonts w:ascii="宋体" w:hAnsi="宋体"/>
          <w:b/>
          <w:bCs/>
          <w:szCs w:val="21"/>
        </w:rPr>
      </w:pPr>
    </w:p>
    <w:tbl>
      <w:tblPr>
        <w:tblStyle w:val="21"/>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0A80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34257BC6">
            <w:pPr>
              <w:rPr>
                <w:rFonts w:ascii="宋体" w:hAnsi="宋体"/>
                <w:b/>
                <w:bCs/>
                <w:kern w:val="0"/>
                <w:sz w:val="20"/>
                <w:szCs w:val="21"/>
              </w:rPr>
            </w:pPr>
          </w:p>
        </w:tc>
        <w:tc>
          <w:tcPr>
            <w:tcW w:w="6146" w:type="dxa"/>
          </w:tcPr>
          <w:p w14:paraId="3A78FA6C">
            <w:pPr>
              <w:rPr>
                <w:rFonts w:ascii="宋体" w:hAnsi="宋体"/>
                <w:b/>
                <w:bCs/>
                <w:kern w:val="0"/>
                <w:sz w:val="40"/>
                <w:szCs w:val="40"/>
              </w:rPr>
            </w:pPr>
          </w:p>
        </w:tc>
      </w:tr>
    </w:tbl>
    <w:p w14:paraId="3A7C4A96">
      <w:pPr>
        <w:autoSpaceDE w:val="0"/>
        <w:autoSpaceDN w:val="0"/>
        <w:adjustRightInd w:val="0"/>
        <w:snapToGrid w:val="0"/>
        <w:spacing w:line="360" w:lineRule="auto"/>
        <w:jc w:val="left"/>
        <w:rPr>
          <w:rFonts w:ascii="宋体" w:hAnsi="宋体" w:cs="宋体"/>
          <w:b/>
          <w:bCs/>
          <w:sz w:val="36"/>
          <w:szCs w:val="36"/>
        </w:rPr>
      </w:pPr>
      <w:bookmarkStart w:id="5" w:name="_Toc230773922"/>
    </w:p>
    <w:p w14:paraId="6DBC1E28">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182C788A">
      <w:pPr>
        <w:autoSpaceDE w:val="0"/>
        <w:autoSpaceDN w:val="0"/>
        <w:adjustRightInd w:val="0"/>
        <w:snapToGrid w:val="0"/>
        <w:spacing w:line="360" w:lineRule="auto"/>
        <w:jc w:val="center"/>
        <w:rPr>
          <w:rFonts w:ascii="宋体" w:hAnsi="宋体" w:cs="宋体"/>
          <w:kern w:val="0"/>
          <w:sz w:val="20"/>
          <w:szCs w:val="20"/>
        </w:rPr>
      </w:pPr>
    </w:p>
    <w:p w14:paraId="13955B60">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w:t>
      </w:r>
      <w:r>
        <w:rPr>
          <w:rFonts w:hint="eastAsia" w:ascii="宋体" w:hAnsi="宋体" w:cs="宋体"/>
          <w:b/>
          <w:w w:val="95"/>
          <w:kern w:val="0"/>
          <w:sz w:val="32"/>
          <w:szCs w:val="32"/>
          <w:lang w:val="en-US" w:eastAsia="zh-CN"/>
        </w:rPr>
        <w:t>五</w:t>
      </w:r>
      <w:r>
        <w:rPr>
          <w:rFonts w:hint="eastAsia" w:ascii="宋体" w:hAnsi="宋体" w:cs="宋体"/>
          <w:b/>
          <w:w w:val="95"/>
          <w:kern w:val="0"/>
          <w:sz w:val="32"/>
          <w:szCs w:val="32"/>
        </w:rPr>
        <w:t>年</w:t>
      </w:r>
      <w:r>
        <w:rPr>
          <w:rFonts w:hint="eastAsia" w:ascii="宋体" w:hAnsi="宋体" w:cs="宋体"/>
          <w:b/>
          <w:w w:val="95"/>
          <w:kern w:val="0"/>
          <w:sz w:val="32"/>
          <w:szCs w:val="32"/>
          <w:lang w:val="en-US" w:eastAsia="zh-CN"/>
        </w:rPr>
        <w:t>一</w:t>
      </w:r>
      <w:r>
        <w:rPr>
          <w:rFonts w:hint="eastAsia" w:ascii="宋体" w:hAnsi="宋体" w:cs="宋体"/>
          <w:b/>
          <w:w w:val="95"/>
          <w:kern w:val="0"/>
          <w:sz w:val="32"/>
          <w:szCs w:val="32"/>
        </w:rPr>
        <w:t>月</w:t>
      </w:r>
    </w:p>
    <w:p w14:paraId="62A5D9A7">
      <w:pPr>
        <w:pStyle w:val="5"/>
      </w:pPr>
    </w:p>
    <w:p w14:paraId="6CF79F72">
      <w:pPr>
        <w:ind w:firstLine="1600" w:firstLineChars="500"/>
        <w:rPr>
          <w:rFonts w:hint="eastAsia"/>
          <w:sz w:val="32"/>
          <w:szCs w:val="32"/>
          <w:lang w:val="en-US" w:eastAsia="zh-CN"/>
        </w:rPr>
      </w:pPr>
      <w:r>
        <w:rPr>
          <w:rFonts w:hint="eastAsia"/>
          <w:sz w:val="32"/>
          <w:szCs w:val="32"/>
          <w:lang w:val="en-US" w:eastAsia="zh-CN"/>
        </w:rPr>
        <w:t>技术编制：             技术审批：</w:t>
      </w:r>
    </w:p>
    <w:p w14:paraId="6A67EA4B">
      <w:pPr>
        <w:pStyle w:val="2"/>
        <w:rPr>
          <w:rFonts w:hint="eastAsia"/>
          <w:sz w:val="32"/>
          <w:szCs w:val="32"/>
          <w:lang w:val="en-US" w:eastAsia="zh-CN"/>
        </w:rPr>
      </w:pPr>
    </w:p>
    <w:p w14:paraId="6778D821">
      <w:pPr>
        <w:ind w:firstLine="1600" w:firstLineChars="500"/>
        <w:rPr>
          <w:rFonts w:hint="default"/>
          <w:lang w:val="en-US" w:eastAsia="zh-CN"/>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sz w:val="32"/>
          <w:szCs w:val="32"/>
          <w:lang w:val="en-US" w:eastAsia="zh-CN"/>
        </w:rPr>
        <w:t>商务编制：             商务审批：</w:t>
      </w:r>
    </w:p>
    <w:p w14:paraId="51B6F626">
      <w:pPr>
        <w:pStyle w:val="61"/>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73154B22">
      <w:pPr>
        <w:pStyle w:val="16"/>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4BB5F733">
      <w:pPr>
        <w:pStyle w:val="16"/>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55E96C0D">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6D229F93">
      <w:pPr>
        <w:spacing w:line="520" w:lineRule="exact"/>
        <w:rPr>
          <w:rFonts w:hint="eastAsia"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535DFE74">
      <w:pPr>
        <w:pStyle w:val="5"/>
        <w:rPr>
          <w:rFonts w:hint="default" w:eastAsia="宋体"/>
          <w:lang w:val="en-US" w:eastAsia="zh-CN"/>
        </w:rPr>
      </w:pPr>
      <w:r>
        <w:rPr>
          <w:rFonts w:hint="eastAsia" w:ascii="宋体" w:hAnsi="宋体"/>
          <w:b/>
          <w:sz w:val="28"/>
          <w:szCs w:val="28"/>
          <w:lang w:val="en-US" w:eastAsia="zh-CN"/>
        </w:rPr>
        <w:t>第五章 合同模板</w:t>
      </w:r>
      <w:r>
        <w:rPr>
          <w:rFonts w:ascii="宋体" w:hAnsi="宋体"/>
          <w:b/>
          <w:sz w:val="28"/>
          <w:szCs w:val="28"/>
        </w:rPr>
        <w:ptab w:relativeTo="margin" w:alignment="right" w:leader="dot"/>
      </w:r>
      <w:r>
        <w:rPr>
          <w:rFonts w:hint="eastAsia" w:ascii="宋体" w:hAnsi="宋体"/>
          <w:b/>
          <w:sz w:val="28"/>
          <w:szCs w:val="28"/>
          <w:lang w:val="en-US" w:eastAsia="zh-CN"/>
        </w:rPr>
        <w:t>32</w:t>
      </w:r>
    </w:p>
    <w:p w14:paraId="3680098C">
      <w:pPr>
        <w:rPr>
          <w:rFonts w:ascii="宋体" w:hAnsi="宋体"/>
          <w:b/>
          <w:sz w:val="28"/>
          <w:szCs w:val="28"/>
        </w:rPr>
      </w:pPr>
    </w:p>
    <w:p w14:paraId="35A3507E">
      <w:pPr>
        <w:rPr>
          <w:rFonts w:ascii="宋体" w:hAnsi="宋体"/>
          <w:b/>
          <w:sz w:val="28"/>
          <w:szCs w:val="28"/>
        </w:rPr>
      </w:pPr>
    </w:p>
    <w:p w14:paraId="6A6481BE">
      <w:pPr>
        <w:widowControl/>
        <w:jc w:val="left"/>
        <w:rPr>
          <w:rFonts w:ascii="宋体" w:hAnsi="宋体"/>
          <w:b/>
          <w:sz w:val="28"/>
          <w:szCs w:val="28"/>
        </w:rPr>
      </w:pPr>
      <w:r>
        <w:rPr>
          <w:rFonts w:ascii="宋体" w:hAnsi="宋体"/>
          <w:b/>
          <w:sz w:val="28"/>
          <w:szCs w:val="28"/>
        </w:rPr>
        <w:br w:type="page"/>
      </w:r>
    </w:p>
    <w:bookmarkEnd w:id="5"/>
    <w:p w14:paraId="19A72622">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359DD016">
      <w:pPr>
        <w:jc w:val="center"/>
        <w:rPr>
          <w:rFonts w:ascii="宋体" w:hAnsi="宋体"/>
          <w:color w:val="000000"/>
          <w:sz w:val="32"/>
          <w:szCs w:val="32"/>
        </w:rPr>
      </w:pPr>
      <w:bookmarkStart w:id="6" w:name="_Toc440556695"/>
      <w:bookmarkStart w:id="7" w:name="_Toc415675120"/>
      <w:bookmarkStart w:id="8" w:name="OLE_LINK4"/>
      <w:bookmarkStart w:id="9" w:name="_Toc415675642"/>
      <w:bookmarkStart w:id="10" w:name="OLE_LINK7"/>
      <w:bookmarkStart w:id="11" w:name="OLE_LINK1"/>
      <w:r>
        <w:rPr>
          <w:rFonts w:hint="eastAsia" w:ascii="宋体" w:hAnsi="宋体" w:cs="宋体"/>
          <w:b/>
          <w:sz w:val="32"/>
          <w:szCs w:val="32"/>
          <w:u w:val="single"/>
        </w:rPr>
        <w:t>大渡口厂区天然气管道新建及改造项目</w:t>
      </w:r>
      <w:r>
        <w:rPr>
          <w:rFonts w:hint="eastAsia" w:ascii="宋体" w:hAnsi="宋体" w:cs="宋体"/>
          <w:b/>
          <w:sz w:val="32"/>
          <w:szCs w:val="32"/>
        </w:rPr>
        <w:t>采购</w:t>
      </w:r>
    </w:p>
    <w:p w14:paraId="4671ED53">
      <w:pPr>
        <w:spacing w:line="360" w:lineRule="auto"/>
        <w:jc w:val="left"/>
        <w:outlineLvl w:val="0"/>
        <w:rPr>
          <w:rFonts w:ascii="宋体" w:hAnsi="宋体"/>
          <w:b/>
          <w:snapToGrid w:val="0"/>
          <w:kern w:val="0"/>
          <w:sz w:val="28"/>
          <w:szCs w:val="28"/>
        </w:rPr>
      </w:pPr>
      <w:bookmarkStart w:id="12" w:name="_Toc16466"/>
      <w:bookmarkStart w:id="13" w:name="_Toc27508"/>
      <w:bookmarkStart w:id="14" w:name="_Toc5554"/>
      <w:bookmarkStart w:id="15" w:name="_Toc4962"/>
      <w:bookmarkStart w:id="16" w:name="_Toc30279"/>
      <w:bookmarkStart w:id="17" w:name="_Toc10497"/>
      <w:bookmarkStart w:id="18" w:name="_Toc844"/>
      <w:bookmarkStart w:id="19" w:name="_Toc29382"/>
      <w:bookmarkStart w:id="20" w:name="_Toc14729"/>
      <w:bookmarkStart w:id="21" w:name="_Toc26356"/>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6FCD012B">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rPr>
        <w:t>大渡口厂区天然气管道新建及改造项目采购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szCs w:val="21"/>
          <w:u w:val="single"/>
        </w:rPr>
        <w:t>大渡口厂区天然气管道新建及改造项目</w:t>
      </w:r>
      <w:r>
        <w:rPr>
          <w:rFonts w:hint="eastAsia" w:ascii="宋体" w:hAnsi="宋体" w:cs="宋体"/>
          <w:kern w:val="0"/>
          <w:szCs w:val="21"/>
        </w:rPr>
        <w:t>进行公开竞争性谈判，特邀有兴趣的潜在单位参与竞争性谈判。</w:t>
      </w:r>
    </w:p>
    <w:p w14:paraId="6EED35CC">
      <w:pPr>
        <w:spacing w:line="440" w:lineRule="exact"/>
        <w:jc w:val="left"/>
        <w:outlineLvl w:val="0"/>
        <w:rPr>
          <w:rFonts w:ascii="宋体" w:hAnsi="宋体"/>
          <w:b/>
          <w:snapToGrid w:val="0"/>
          <w:kern w:val="0"/>
          <w:szCs w:val="21"/>
        </w:rPr>
      </w:pPr>
      <w:bookmarkStart w:id="22" w:name="_Toc24224"/>
      <w:bookmarkStart w:id="23" w:name="_Toc18911"/>
      <w:bookmarkStart w:id="24" w:name="_Toc16188"/>
      <w:bookmarkStart w:id="25" w:name="_Toc8077"/>
      <w:bookmarkStart w:id="26" w:name="_Toc29348"/>
      <w:bookmarkStart w:id="27" w:name="_Toc19590"/>
      <w:bookmarkStart w:id="28" w:name="_Toc31685"/>
      <w:bookmarkStart w:id="29" w:name="_Toc20027"/>
      <w:bookmarkStart w:id="30" w:name="_Toc6552"/>
      <w:bookmarkStart w:id="31" w:name="_Toc17916"/>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0A63EC71">
      <w:pPr>
        <w:widowControl/>
        <w:tabs>
          <w:tab w:val="left" w:pos="8208"/>
          <w:tab w:val="left" w:pos="9072"/>
        </w:tabs>
        <w:suppressAutoHyphens/>
        <w:spacing w:line="440" w:lineRule="exact"/>
        <w:rPr>
          <w:rFonts w:ascii="宋体" w:hAnsi="宋体" w:cs="宋体"/>
          <w:bCs/>
          <w:kern w:val="0"/>
          <w:szCs w:val="21"/>
          <w:u w:val="single"/>
        </w:rPr>
      </w:pPr>
      <w:r>
        <w:rPr>
          <w:rFonts w:hint="eastAsia" w:ascii="宋体" w:hAnsi="宋体" w:cs="宋体"/>
          <w:kern w:val="0"/>
          <w:szCs w:val="21"/>
        </w:rPr>
        <w:t>2.1 项目名称：</w:t>
      </w:r>
      <w:r>
        <w:rPr>
          <w:rFonts w:hint="eastAsia" w:ascii="宋体" w:hAnsi="宋体" w:cs="宋体"/>
          <w:kern w:val="0"/>
          <w:szCs w:val="21"/>
          <w:u w:val="single"/>
        </w:rPr>
        <w:t>大渡口厂区天然气管道新建及改造项目</w:t>
      </w:r>
    </w:p>
    <w:p w14:paraId="7F512E5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2.2 竞争性谈判范围：</w:t>
      </w:r>
    </w:p>
    <w:p w14:paraId="67DD80D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1、工艺燃气管道安装施工，含调压、计量等设备安装。</w:t>
      </w:r>
    </w:p>
    <w:p w14:paraId="03C10569">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2、埋地管道管沟开挖、回填、道路破除及恢复等所有与管道敷设有关的土建工作。</w:t>
      </w:r>
    </w:p>
    <w:p w14:paraId="75C8A61B">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3、配套的防腐、保冷及其它辅助工作。</w:t>
      </w:r>
    </w:p>
    <w:p w14:paraId="494E190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4、管道、试压、检测、验收及使用证书办理配合等工作</w:t>
      </w:r>
    </w:p>
    <w:p w14:paraId="65AB5DD5">
      <w:pPr>
        <w:topLinePunct/>
        <w:adjustRightInd w:val="0"/>
        <w:snapToGrid w:val="0"/>
        <w:spacing w:line="440" w:lineRule="exact"/>
        <w:rPr>
          <w:rFonts w:ascii="宋体" w:hAnsi="宋体"/>
          <w:color w:val="000000"/>
          <w:szCs w:val="21"/>
        </w:rPr>
      </w:pPr>
      <w:r>
        <w:rPr>
          <w:rFonts w:hint="eastAsia" w:ascii="宋体" w:hAnsi="宋体" w:cs="宋体"/>
          <w:kern w:val="0"/>
          <w:szCs w:val="21"/>
          <w:u w:val="single"/>
        </w:rPr>
        <w:t>主要的施工工作量见设计图纸及设计说明</w:t>
      </w:r>
    </w:p>
    <w:p w14:paraId="4EA6B538">
      <w:pPr>
        <w:topLinePunct/>
        <w:adjustRightInd w:val="0"/>
        <w:snapToGrid w:val="0"/>
        <w:spacing w:line="440" w:lineRule="exact"/>
        <w:rPr>
          <w:rFonts w:ascii="宋体" w:hAnsi="宋体"/>
          <w:szCs w:val="21"/>
        </w:rPr>
      </w:pPr>
      <w:r>
        <w:rPr>
          <w:rFonts w:hint="eastAsia" w:ascii="宋体" w:hAnsi="宋体"/>
          <w:szCs w:val="21"/>
        </w:rPr>
        <w:t xml:space="preserve">2.3 </w:t>
      </w:r>
      <w:r>
        <w:rPr>
          <w:rFonts w:hint="eastAsia" w:ascii="宋体" w:hAnsi="宋体"/>
          <w:szCs w:val="21"/>
          <w:lang w:val="en-US" w:eastAsia="zh-CN"/>
        </w:rPr>
        <w:t>工期</w:t>
      </w:r>
      <w:r>
        <w:rPr>
          <w:rFonts w:hint="eastAsia" w:ascii="宋体" w:hAnsi="宋体"/>
          <w:szCs w:val="21"/>
        </w:rPr>
        <w:t>：</w:t>
      </w:r>
      <w:r>
        <w:rPr>
          <w:rFonts w:hint="eastAsia" w:ascii="宋体" w:hAnsi="宋体" w:cs="宋体"/>
          <w:kern w:val="0"/>
          <w:szCs w:val="21"/>
          <w:u w:val="single"/>
          <w:lang w:val="en-US" w:eastAsia="zh-CN"/>
        </w:rPr>
        <w:t>20日历天</w:t>
      </w:r>
    </w:p>
    <w:p w14:paraId="34B97737">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5E034C32">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hint="eastAsia" w:ascii="宋体" w:hAnsi="宋体" w:cs="宋体"/>
          <w:kern w:val="0"/>
          <w:szCs w:val="21"/>
          <w:u w:val="single"/>
        </w:rPr>
        <w:t>701881.92</w:t>
      </w:r>
      <w:r>
        <w:rPr>
          <w:rFonts w:hint="eastAsia" w:ascii="宋体" w:hAnsi="宋体" w:cs="宋体"/>
          <w:kern w:val="0"/>
          <w:szCs w:val="21"/>
        </w:rPr>
        <w:t>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61CF42AA">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2.6</w:t>
      </w:r>
      <w:r>
        <w:rPr>
          <w:rFonts w:hint="eastAsia" w:ascii="宋体" w:hAnsi="宋体" w:cs="Times New Roman"/>
          <w:b w:val="0"/>
          <w:bCs w:val="0"/>
          <w:kern w:val="2"/>
          <w:sz w:val="21"/>
          <w:szCs w:val="21"/>
          <w:lang w:val="en-US" w:eastAsia="zh-CN" w:bidi="ar-SA"/>
        </w:rPr>
        <w:t>报价说明：</w:t>
      </w:r>
    </w:p>
    <w:p w14:paraId="3EB2428F">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、报价范围：本次招标范围内规定的所有工程内容，具体详见相关施工图纸、图说及工程量清单。</w:t>
      </w:r>
    </w:p>
    <w:p w14:paraId="7BE05695">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招标文件对工程质量、工期的要求自主进行报价。</w:t>
      </w:r>
    </w:p>
    <w:p w14:paraId="20C27431">
      <w:pPr>
        <w:pageBreakBefore w:val="0"/>
        <w:widowControl w:val="0"/>
        <w:numPr>
          <w:ilvl w:val="0"/>
          <w:numId w:val="2"/>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、编制说明：</w:t>
      </w:r>
    </w:p>
    <w:p w14:paraId="48EB6063">
      <w:pPr>
        <w:pageBreakBefore w:val="0"/>
        <w:widowControl w:val="0"/>
        <w:numPr>
          <w:ilvl w:val="0"/>
          <w:numId w:val="3"/>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量清单中的“项目特征”及“工程内容”描述不作为投标报价的唯一依据，报价人应根据分部分项工程项目清单计价表中“项目特征”及“工程内容”的描述结合招标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7D26DA4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合同中另有规定，报价人在分部分项工程项目清单计价表中所报的综合单价和合价，以及投标总报价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投标报价视为是一个有经验的报价人，在对工程充分了解及对风险充分估计后所作的完备报价。</w:t>
      </w:r>
    </w:p>
    <w:p w14:paraId="58974F8E">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程量清单所列的工程量系估算的和暂定的数量，仅作为投标报价的共同基础。付款以实际完成的合格工程量为依据。由中选人计量，采购人核实的实际完成工程量，按具有标价的工程量清单中所报的综合单价结算和支付。</w:t>
      </w:r>
    </w:p>
    <w:p w14:paraId="7B7110B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报价人在编制投标报价时不得改变采购人提供的分部分项工程项目清单中的项目编码、项目名称、项目特征、工程内容、计量单位、工程量，否则其投标文件按否决投标处理。</w:t>
      </w:r>
    </w:p>
    <w:p w14:paraId="643E73D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招标文件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vi.除非合同中另有规定，报价人的投标总报价均包括完成该合同工程项目的全部费用，在工程实施时，必须按工程量清单中的项、量和监理工程师指令完成该项目工程内容。</w:t>
      </w:r>
    </w:p>
    <w:p w14:paraId="5BCF046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总报价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08F7F44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措施项目费清单包括施工组织措施项目清单和施工技术措施项目清单两部分。①施工组织措施项目清单：采购人给出的施工组织措施项目清单仅供报价人参考，报价人在投标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招标文件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6DB2AE5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安全文明施工费：安全文明施工费由安全施工费、文明施工费、环境保护费及临时设施费组成。本项目安全文明施工费报价人统一暂15641.69元计取，否则，其投标文件作否决投标处理。</w:t>
      </w:r>
    </w:p>
    <w:p w14:paraId="7AC0FD59">
      <w:pPr>
        <w:pageBreakBefore w:val="0"/>
        <w:widowControl w:val="0"/>
        <w:numPr>
          <w:ilvl w:val="0"/>
          <w:numId w:val="0"/>
        </w:numPr>
        <w:kinsoku/>
        <w:wordWrap/>
        <w:overflowPunct/>
        <w:topLinePunct/>
        <w:autoSpaceDE/>
        <w:autoSpaceDN/>
        <w:bidi w:val="0"/>
        <w:adjustRightInd w:val="0"/>
        <w:snapToGrid w:val="0"/>
        <w:spacing w:line="440" w:lineRule="atLeast"/>
        <w:ind w:leftChars="0" w:firstLine="420" w:firstLineChars="20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函》中的安全文明施工费必须填报，填报金额必须为15641.69元，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 根据渝建发【2011】607号文规定，中选人在施工过程中必须按《建筑工程施工围挡（Ⅱ）》（编号为 DJBT-062，图集号为11J03）标准设置施工围挡</w:t>
      </w:r>
    </w:p>
    <w:p w14:paraId="5C09E07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19BE922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本工程规费按2018年《重庆市建设工程费用定额》的标准计取否则视为对招标文件不作实质性响应，其投标文件按否决投标处理</w:t>
      </w:r>
    </w:p>
    <w:p w14:paraId="76610A03">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工伤保险费按渝人社发［2015］197号文件执行</w:t>
      </w:r>
    </w:p>
    <w:p w14:paraId="4868FE4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其投标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投标报价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投标报价中，采购人对此不再另行支付费用。</w:t>
      </w:r>
    </w:p>
    <w:p w14:paraId="7BB9589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自行负责施工用水（含水源）、用电（含电源）及其接口，其费用由报价人纳入投标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投标报价中，工程结算时采购人不另行支付该费用。</w:t>
      </w:r>
    </w:p>
    <w:p w14:paraId="130E6E0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投标报价中，中标后采购人不作任何调整。中选人由于余土石方及建筑垃圾的弃置所造成的一切赔偿由中选人自行负责并承担费用。</w:t>
      </w:r>
    </w:p>
    <w:p w14:paraId="173AE01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4C99B9E5">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应保持施工区域内及周边现有道路、周边企业建设的进出道路的畅通，以及对相关设施的保护等，请报价人充分考虑，其费用全部纳入投标报价中。因本工程场地受限，红线范围内不提供现场办公和生活区的搭建场地，报价人应充分考虑现场实际情况，选址由报价人自行解决，采购人不提供使用场地，所发生费用由报价人综合考虑进入投标报价中，不再另行计价。</w:t>
      </w:r>
    </w:p>
    <w:p w14:paraId="13B3AC3F">
      <w:pPr>
        <w:pageBreakBefore w:val="0"/>
        <w:widowControl w:val="0"/>
        <w:numPr>
          <w:ilvl w:val="0"/>
          <w:numId w:val="0"/>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49AF91D9">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投标报价中，采购人不另支付其它费用和调整中标价。</w:t>
      </w:r>
    </w:p>
    <w:p w14:paraId="0DE61922">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若因采购人原因（如:工程设计变更、项目增减或征地拆迁不及时等）造成人、材、机停（窝）工、工期延长等，其相关费用由报价人纳入投标报价中，采购人不另行支付其它费用或调整中标单价，但影响的工期，采购人同意顺延。</w:t>
      </w:r>
    </w:p>
    <w:p w14:paraId="364CFD6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xxi.若因中选人原因，造成总工期延误的，每延误一日历天则向采购人支付违约金10000元，依此类推，报价人在投标投报价时充分考虑此因素。</w:t>
      </w:r>
    </w:p>
    <w:p w14:paraId="3FAAF5B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本工程因工期紧，任务重，中选人应根据工期要求，合理安排机械设备及人员的投入，与设备供应商交叉施工配合措施、成品保护措施、各安装单位交叉作业的保障措施。以上所发生的一切费用由报价人纳入投标报价中 。</w:t>
      </w:r>
    </w:p>
    <w:p w14:paraId="582EA4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xxiii.材料：除招标文件及其附件内明确的甲供材以外，其余材料为中选人供应。</w:t>
      </w:r>
    </w:p>
    <w:p w14:paraId="22CA75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①材料价格按不含税价格确定，其进项税额按《重庆市住房和城乡建设委员会关于适用增值税新税率调整建设工程计价依据的通知》（渝建〔2019〕143号）执行。</w:t>
      </w:r>
    </w:p>
    <w:p w14:paraId="2EC67BC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②本工程的所有材料须先检测合格后方可施工，本项目建筑工程部分的质量检测按渝建 [2015]420 号文件规定执行；施工单位应为取样送检单位在施工现场开展有关工作提供条件，相关费用由报价人自行考虑并包含在投标报价中，不再调整。</w:t>
      </w:r>
    </w:p>
    <w:p w14:paraId="25D934BF">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③报价人在报价时应充分考虑整个施工期内材料、设备的涨价因素，报价人在报价时应充分考虑整个施工期内材料、设备的涨价因素，不因市场价格的变化而调整。</w:t>
      </w:r>
    </w:p>
    <w:p w14:paraId="463B80D3">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v.本工程风险：①报价人应先到工地踏勘以充分了解工地位置、道路、储存空间、装卸限制等任何其它足以影响报价的情况，任何因忽视或误解工地情况而导致的索赔或工期延长申请将不获批准；②报价人的投标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招标文件规定以外的计价原则另行计价，各报价人须充分考虑由此产生的风险及费用</w:t>
      </w:r>
    </w:p>
    <w:p w14:paraId="029EEA1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673CA665">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xxvi.本工程设置总报价最高限价，本工程总报价最高限价为：701881.92元（大写：柒拾万零壹仟捌佰捌拾壹元玖角贰分）。大于询比价最高限价的为无效报价，其投标文件作否决投标处理。</w:t>
      </w:r>
    </w:p>
    <w:p w14:paraId="3FF44620">
      <w:pPr>
        <w:pStyle w:val="5"/>
        <w:pageBreakBefore w:val="0"/>
        <w:widowControl w:val="0"/>
        <w:kinsoku/>
        <w:wordWrap/>
        <w:overflowPunct/>
        <w:autoSpaceDE/>
        <w:autoSpaceDN/>
        <w:bidi w:val="0"/>
        <w:spacing w:line="440" w:lineRule="atLeast"/>
        <w:textAlignment w:val="auto"/>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本工程招标将设置全部工程量清单综合单价最高限价，报价人的每项清单综合单价报价不得超过每项清单综合单价最高限价，所有分部分项工程量清单综合单价报价最高限价详见附件。</w:t>
      </w:r>
    </w:p>
    <w:p w14:paraId="3586ADF8">
      <w:pPr>
        <w:topLinePunct/>
        <w:adjustRightInd w:val="0"/>
        <w:snapToGrid w:val="0"/>
        <w:spacing w:line="440" w:lineRule="exact"/>
        <w:rPr>
          <w:rFonts w:hint="default" w:ascii="宋体" w:hAnsi="宋体" w:eastAsia="宋体" w:cs="Times New Roman"/>
          <w:b w:val="0"/>
          <w:bCs w:val="0"/>
          <w:kern w:val="2"/>
          <w:sz w:val="21"/>
          <w:szCs w:val="21"/>
          <w:lang w:val="en-US" w:eastAsia="zh-CN" w:bidi="ar-SA"/>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 xml:space="preserve"> 付款方式：</w:t>
      </w:r>
      <w:r>
        <w:rPr>
          <w:rFonts w:hint="eastAsia" w:ascii="宋体" w:hAnsi="宋体" w:cs="宋体"/>
          <w:color w:val="auto"/>
        </w:rPr>
        <w:t>完成结算审核后28天内，累计支付至竣工结算价款的9</w:t>
      </w:r>
      <w:r>
        <w:rPr>
          <w:rFonts w:hint="eastAsia" w:ascii="宋体" w:hAnsi="宋体" w:cs="宋体"/>
          <w:color w:val="auto"/>
          <w:lang w:eastAsia="zh-CN"/>
        </w:rPr>
        <w:t>7</w:t>
      </w:r>
      <w:r>
        <w:rPr>
          <w:rFonts w:hint="eastAsia" w:ascii="宋体" w:hAnsi="宋体" w:cs="宋体"/>
          <w:color w:val="auto"/>
        </w:rPr>
        <w:t>%，余3%质保金，待缺陷责任期满后一次性付清</w:t>
      </w:r>
      <w:r>
        <w:rPr>
          <w:rFonts w:hint="eastAsia" w:ascii="宋体" w:hAnsi="宋体" w:cs="宋体"/>
          <w:color w:val="auto"/>
          <w:lang w:eastAsia="zh-CN"/>
        </w:rPr>
        <w:t>；支付方式：现金电汇或银行承兑汇票</w:t>
      </w:r>
    </w:p>
    <w:p w14:paraId="3A4D1AED">
      <w:pPr>
        <w:spacing w:line="440" w:lineRule="exact"/>
        <w:jc w:val="left"/>
        <w:outlineLvl w:val="0"/>
        <w:rPr>
          <w:rFonts w:ascii="宋体" w:hAnsi="宋体"/>
          <w:b/>
          <w:snapToGrid w:val="0"/>
          <w:kern w:val="0"/>
          <w:szCs w:val="21"/>
        </w:rPr>
      </w:pPr>
      <w:bookmarkStart w:id="32" w:name="_Toc29166"/>
      <w:bookmarkStart w:id="33" w:name="_Toc20349"/>
      <w:bookmarkStart w:id="34" w:name="_Toc14373"/>
      <w:bookmarkStart w:id="35" w:name="_Toc21527"/>
      <w:bookmarkStart w:id="36" w:name="_Toc25935"/>
      <w:bookmarkStart w:id="37" w:name="_Toc18439"/>
      <w:bookmarkStart w:id="38" w:name="_Toc22086"/>
      <w:bookmarkStart w:id="39" w:name="_Toc9431"/>
      <w:bookmarkStart w:id="40" w:name="_Toc25025"/>
      <w:bookmarkStart w:id="41" w:name="_Toc8793"/>
      <w:r>
        <w:rPr>
          <w:rFonts w:hint="eastAsia" w:ascii="宋体" w:hAnsi="宋体"/>
          <w:b/>
          <w:snapToGrid w:val="0"/>
          <w:kern w:val="0"/>
          <w:szCs w:val="21"/>
        </w:rPr>
        <w:t>3. 供应商资格要求</w:t>
      </w:r>
    </w:p>
    <w:p w14:paraId="7AF75334">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635D3F46">
      <w:pPr>
        <w:topLinePunct/>
        <w:adjustRightInd w:val="0"/>
        <w:snapToGrid w:val="0"/>
        <w:spacing w:line="440" w:lineRule="exact"/>
        <w:rPr>
          <w:rFonts w:hint="eastAsia" w:ascii="宋体" w:hAnsi="宋体"/>
          <w:color w:val="auto"/>
          <w:kern w:val="0"/>
          <w:szCs w:val="21"/>
          <w:lang w:eastAsia="zh-CN"/>
        </w:rPr>
      </w:pPr>
      <w:r>
        <w:rPr>
          <w:rFonts w:hint="eastAsia" w:ascii="宋体" w:hAnsi="宋体"/>
          <w:szCs w:val="21"/>
        </w:rPr>
        <w:t>3.1.1</w:t>
      </w:r>
      <w:r>
        <w:rPr>
          <w:rFonts w:ascii="宋体" w:hAnsi="宋体"/>
          <w:szCs w:val="21"/>
        </w:rPr>
        <w:t>在中国境内合法工商登</w:t>
      </w:r>
      <w:r>
        <w:rPr>
          <w:rFonts w:ascii="宋体" w:hAnsi="宋体"/>
          <w:color w:val="auto"/>
          <w:szCs w:val="21"/>
        </w:rPr>
        <w:t>记</w:t>
      </w:r>
      <w:r>
        <w:rPr>
          <w:rFonts w:hint="eastAsia" w:ascii="宋体" w:hAnsi="宋体"/>
          <w:color w:val="auto"/>
          <w:szCs w:val="21"/>
          <w:lang w:eastAsia="zh-CN"/>
        </w:rPr>
        <w:t>，</w:t>
      </w:r>
      <w:r>
        <w:rPr>
          <w:rFonts w:ascii="宋体" w:hAnsi="宋体"/>
          <w:color w:val="auto"/>
          <w:kern w:val="0"/>
          <w:szCs w:val="21"/>
        </w:rPr>
        <w:t>具备工商行政主管部门颁发的经营期限内的营业执照</w:t>
      </w:r>
      <w:r>
        <w:rPr>
          <w:rFonts w:hint="eastAsia" w:ascii="宋体" w:hAnsi="宋体"/>
          <w:color w:val="auto"/>
          <w:kern w:val="0"/>
          <w:szCs w:val="21"/>
        </w:rPr>
        <w:t>（统一社会信用代码）提供有效的营业执照复印件，加盖供应商公章</w:t>
      </w:r>
      <w:r>
        <w:rPr>
          <w:rFonts w:hint="eastAsia" w:ascii="宋体" w:hAnsi="宋体"/>
          <w:color w:val="auto"/>
          <w:kern w:val="0"/>
          <w:szCs w:val="21"/>
          <w:lang w:eastAsia="zh-CN"/>
        </w:rPr>
        <w:t>。</w:t>
      </w:r>
    </w:p>
    <w:p w14:paraId="729B5D54">
      <w:pPr>
        <w:tabs>
          <w:tab w:val="left" w:pos="3840"/>
          <w:tab w:val="left" w:pos="5300"/>
        </w:tabs>
        <w:autoSpaceDE w:val="0"/>
        <w:autoSpaceDN w:val="0"/>
        <w:adjustRightInd w:val="0"/>
        <w:snapToGrid w:val="0"/>
        <w:spacing w:line="460" w:lineRule="exact"/>
        <w:jc w:val="left"/>
        <w:rPr>
          <w:rFonts w:hint="default"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color w:val="auto"/>
          <w:kern w:val="0"/>
          <w:sz w:val="21"/>
          <w:szCs w:val="21"/>
          <w:lang w:val="en-US" w:eastAsia="zh-CN" w:bidi="ar-SA"/>
        </w:rPr>
        <w:t>3.1.</w:t>
      </w:r>
      <w:r>
        <w:rPr>
          <w:rFonts w:hint="eastAsia" w:ascii="宋体" w:hAnsi="宋体" w:cs="Times New Roman"/>
          <w:b w:val="0"/>
          <w:bCs w:val="0"/>
          <w:color w:val="auto"/>
          <w:kern w:val="0"/>
          <w:sz w:val="21"/>
          <w:szCs w:val="21"/>
          <w:lang w:val="en-US" w:eastAsia="zh-CN" w:bidi="ar-SA"/>
        </w:rPr>
        <w:t>2</w:t>
      </w:r>
      <w:r>
        <w:rPr>
          <w:rFonts w:hint="eastAsia" w:ascii="宋体" w:hAnsi="宋体"/>
          <w:snapToGrid w:val="0"/>
          <w:color w:val="auto"/>
          <w:kern w:val="0"/>
          <w:szCs w:val="21"/>
          <w:highlight w:val="none"/>
        </w:rPr>
        <w:t>具备中华人民共和国特种设备生产许可证（压力管道安装）GC2级及以上资质。</w:t>
      </w:r>
    </w:p>
    <w:p w14:paraId="2E275582">
      <w:pPr>
        <w:tabs>
          <w:tab w:val="left" w:pos="3840"/>
          <w:tab w:val="left" w:pos="5300"/>
        </w:tabs>
        <w:autoSpaceDE w:val="0"/>
        <w:autoSpaceDN w:val="0"/>
        <w:adjustRightInd w:val="0"/>
        <w:snapToGrid w:val="0"/>
        <w:spacing w:line="460" w:lineRule="exact"/>
        <w:jc w:val="left"/>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.1.</w:t>
      </w:r>
      <w:r>
        <w:rPr>
          <w:rFonts w:hint="eastAsia" w:ascii="宋体" w:hAnsi="宋体"/>
          <w:color w:val="auto"/>
          <w:kern w:val="0"/>
          <w:szCs w:val="21"/>
          <w:lang w:val="en-US" w:eastAsia="zh-CN"/>
        </w:rPr>
        <w:t>3</w:t>
      </w:r>
      <w:r>
        <w:rPr>
          <w:rFonts w:hint="eastAsia" w:ascii="宋体" w:hAnsi="宋体"/>
          <w:color w:val="auto"/>
          <w:kern w:val="0"/>
          <w:szCs w:val="21"/>
        </w:rPr>
        <w:t>近三年（</w:t>
      </w:r>
      <w:r>
        <w:rPr>
          <w:rFonts w:hint="eastAsia" w:ascii="宋体" w:hAnsi="宋体"/>
          <w:color w:val="auto"/>
          <w:kern w:val="0"/>
          <w:szCs w:val="21"/>
          <w:u w:val="single"/>
          <w:lang w:val="en-US" w:eastAsia="zh-CN"/>
        </w:rPr>
        <w:t>2022</w:t>
      </w:r>
      <w:r>
        <w:rPr>
          <w:rFonts w:hint="eastAsia" w:ascii="宋体" w:hAnsi="宋体"/>
          <w:color w:val="auto"/>
          <w:kern w:val="0"/>
          <w:szCs w:val="21"/>
        </w:rPr>
        <w:t>年</w:t>
      </w:r>
      <w:r>
        <w:rPr>
          <w:rFonts w:hint="eastAsia" w:ascii="宋体" w:hAnsi="宋体"/>
          <w:color w:val="auto"/>
          <w:kern w:val="0"/>
          <w:szCs w:val="21"/>
          <w:u w:val="single"/>
          <w:lang w:val="en-US" w:eastAsia="zh-CN"/>
        </w:rPr>
        <w:t>1</w:t>
      </w:r>
      <w:r>
        <w:rPr>
          <w:rFonts w:hint="eastAsia" w:ascii="宋体" w:hAnsi="宋体"/>
          <w:color w:val="auto"/>
          <w:kern w:val="0"/>
          <w:szCs w:val="21"/>
        </w:rPr>
        <w:t>月至谈判文件递交截止之日，以合同签订时间为准）至少承担过</w:t>
      </w:r>
      <w:r>
        <w:rPr>
          <w:rFonts w:hint="eastAsia" w:ascii="宋体" w:hAnsi="宋体"/>
          <w:color w:val="auto"/>
          <w:kern w:val="0"/>
          <w:szCs w:val="21"/>
          <w:lang w:val="en-US" w:eastAsia="zh-CN"/>
        </w:rPr>
        <w:t>2</w:t>
      </w:r>
      <w:r>
        <w:rPr>
          <w:rFonts w:hint="eastAsia" w:ascii="宋体" w:hAnsi="宋体"/>
          <w:color w:val="auto"/>
          <w:kern w:val="0"/>
          <w:szCs w:val="21"/>
        </w:rPr>
        <w:t>个单项合同金额</w:t>
      </w:r>
      <w:r>
        <w:rPr>
          <w:rFonts w:hint="eastAsia" w:ascii="宋体" w:hAnsi="宋体"/>
          <w:color w:val="auto"/>
          <w:kern w:val="0"/>
          <w:szCs w:val="21"/>
          <w:u w:val="single"/>
          <w:lang w:val="en-US" w:eastAsia="zh-CN"/>
        </w:rPr>
        <w:t>50</w:t>
      </w:r>
      <w:r>
        <w:rPr>
          <w:rFonts w:hint="eastAsia" w:ascii="宋体" w:hAnsi="宋体"/>
          <w:color w:val="auto"/>
          <w:kern w:val="0"/>
          <w:szCs w:val="21"/>
        </w:rPr>
        <w:t>万元及以上的</w:t>
      </w:r>
      <w:r>
        <w:rPr>
          <w:rFonts w:hint="eastAsia" w:ascii="宋体" w:hAnsi="宋体"/>
          <w:color w:val="auto"/>
          <w:kern w:val="0"/>
          <w:szCs w:val="21"/>
          <w:u w:val="single"/>
        </w:rPr>
        <w:t>GC2级及以上</w:t>
      </w:r>
      <w:r>
        <w:rPr>
          <w:rFonts w:hint="eastAsia" w:ascii="宋体" w:hAnsi="宋体"/>
          <w:color w:val="auto"/>
          <w:kern w:val="0"/>
          <w:szCs w:val="21"/>
          <w:u w:val="single"/>
          <w:lang w:val="en-US" w:eastAsia="zh-CN"/>
        </w:rPr>
        <w:t>压力管道施工</w:t>
      </w:r>
      <w:r>
        <w:rPr>
          <w:rFonts w:hint="eastAsia" w:ascii="宋体" w:hAnsi="宋体"/>
          <w:color w:val="auto"/>
          <w:kern w:val="0"/>
          <w:szCs w:val="21"/>
        </w:rPr>
        <w:t>类似业绩。（提供合同复印件，加盖供应商公章）。</w:t>
      </w:r>
    </w:p>
    <w:p w14:paraId="2F406453">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14:paraId="29CA9FA5">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635DA85">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45FFEABE">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14:paraId="7573CC0D">
      <w:pPr>
        <w:pStyle w:val="18"/>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11F4DB1F">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2" w:name="_Toc22256"/>
      <w:bookmarkStart w:id="43" w:name="_Toc23380"/>
      <w:bookmarkStart w:id="44" w:name="_Toc14186"/>
      <w:bookmarkStart w:id="45" w:name="_Toc5540"/>
      <w:bookmarkStart w:id="46" w:name="_Toc19904"/>
      <w:bookmarkStart w:id="47" w:name="_Toc1277"/>
      <w:bookmarkStart w:id="48" w:name="_Toc7273"/>
      <w:bookmarkStart w:id="49" w:name="_Toc11777"/>
      <w:bookmarkStart w:id="50" w:name="_Toc19404"/>
      <w:bookmarkStart w:id="51" w:name="_Toc27438"/>
    </w:p>
    <w:p w14:paraId="68E1D41C">
      <w:pPr>
        <w:numPr>
          <w:ilvl w:val="0"/>
          <w:numId w:val="4"/>
        </w:numPr>
        <w:spacing w:line="440" w:lineRule="exact"/>
        <w:jc w:val="left"/>
        <w:outlineLvl w:val="0"/>
        <w:rPr>
          <w:rFonts w:ascii="宋体" w:hAnsi="宋体"/>
          <w:b/>
          <w:snapToGrid w:val="0"/>
          <w:kern w:val="0"/>
          <w:szCs w:val="21"/>
        </w:rPr>
      </w:pPr>
      <w:r>
        <w:rPr>
          <w:rFonts w:hint="eastAsia" w:ascii="宋体" w:hAnsi="宋体"/>
          <w:b/>
          <w:snapToGrid w:val="0"/>
          <w:kern w:val="0"/>
          <w:szCs w:val="21"/>
        </w:rPr>
        <w:t>竞争性谈判办法</w:t>
      </w:r>
    </w:p>
    <w:p w14:paraId="410663B3">
      <w:pPr>
        <w:spacing w:after="24" w:afterLines="10" w:line="400" w:lineRule="exact"/>
        <w:ind w:left="420" w:leftChars="200"/>
        <w:jc w:val="left"/>
        <w:rPr>
          <w:rStyle w:val="24"/>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4"/>
          <w:rFonts w:ascii="宋体" w:hAnsi="宋体" w:cs="宋体"/>
          <w:color w:val="auto"/>
          <w:kern w:val="0"/>
        </w:rPr>
        <w:t>经评审的</w:t>
      </w:r>
      <w:r>
        <w:rPr>
          <w:rStyle w:val="24"/>
          <w:rFonts w:hint="eastAsia" w:ascii="宋体" w:hAnsi="宋体" w:cs="宋体"/>
          <w:color w:val="auto"/>
          <w:kern w:val="0"/>
        </w:rPr>
        <w:t>最低价法。</w:t>
      </w:r>
    </w:p>
    <w:p w14:paraId="36F58A85">
      <w:pPr>
        <w:numPr>
          <w:ilvl w:val="0"/>
          <w:numId w:val="5"/>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4E500E48">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4EB2CA38">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（3）因谈判小组作否决处理，导致有效供应商不足三个的，谈判小组应当否决所有谈判文件。</w:t>
      </w:r>
    </w:p>
    <w:p w14:paraId="4CEFDFC9">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14:paraId="6EBCEC0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4653"/>
      <w:bookmarkStart w:id="53" w:name="_Toc784"/>
      <w:bookmarkStart w:id="54" w:name="_Toc1075"/>
      <w:bookmarkStart w:id="55" w:name="_Toc24060"/>
      <w:bookmarkStart w:id="56" w:name="_Toc5692"/>
      <w:bookmarkStart w:id="57" w:name="_Toc21446"/>
      <w:r>
        <w:rPr>
          <w:rFonts w:hint="eastAsia" w:ascii="宋体" w:hAnsi="宋体" w:cs="宋体"/>
          <w:szCs w:val="21"/>
        </w:rPr>
        <w:t>6.1 凡有意参加竞争性谈判者，请于北京时间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日至</w:t>
      </w:r>
      <w:r>
        <w:rPr>
          <w:rFonts w:hint="eastAsia" w:ascii="宋体" w:hAnsi="宋体" w:cs="宋体"/>
          <w:szCs w:val="21"/>
          <w:u w:val="single"/>
          <w:lang w:val="en-US" w:eastAsia="zh-CN"/>
        </w:rPr>
        <w:t>2025</w:t>
      </w:r>
      <w:r>
        <w:rPr>
          <w:rFonts w:hint="eastAsia" w:ascii="宋体" w:hAnsi="宋体" w:cs="宋体"/>
          <w:szCs w:val="21"/>
        </w:rPr>
        <w:t xml:space="preserve">年 </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21</w:t>
      </w:r>
      <w:r>
        <w:rPr>
          <w:rFonts w:hint="eastAsia" w:ascii="宋体" w:hAnsi="宋体" w:cs="宋体"/>
          <w:szCs w:val="21"/>
        </w:rPr>
        <w:t>日，每日9:00时至17:00时通过6.2载明的方式获取竞争性谈判文件。</w:t>
      </w:r>
    </w:p>
    <w:p w14:paraId="4025C21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668B744">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0EEA6493">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1E536CBC">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lang w:val="en-US" w:eastAsia="zh-CN"/>
        </w:rPr>
        <w:t>杨老师</w:t>
      </w:r>
      <w:r>
        <w:rPr>
          <w:rFonts w:hint="eastAsia" w:ascii="宋体" w:hAnsi="宋体"/>
          <w:szCs w:val="21"/>
        </w:rPr>
        <w:t xml:space="preserve"> </w:t>
      </w:r>
      <w:r>
        <w:rPr>
          <w:rFonts w:ascii="宋体" w:hAnsi="宋体"/>
          <w:szCs w:val="21"/>
        </w:rPr>
        <w:t>联系电话：</w:t>
      </w:r>
      <w:r>
        <w:rPr>
          <w:rFonts w:hint="eastAsia" w:ascii="宋体" w:hAnsi="宋体"/>
          <w:szCs w:val="21"/>
          <w:u w:val="single"/>
          <w:lang w:val="en-US" w:eastAsia="zh-CN"/>
        </w:rPr>
        <w:t>18983993055</w:t>
      </w:r>
    </w:p>
    <w:p w14:paraId="17802AC3">
      <w:pPr>
        <w:spacing w:line="440" w:lineRule="exact"/>
        <w:ind w:firstLine="424" w:firstLineChars="202"/>
        <w:rPr>
          <w:rFonts w:ascii="宋体" w:hAnsi="宋体" w:cs="宋体"/>
          <w:szCs w:val="21"/>
        </w:rPr>
      </w:pPr>
      <w:r>
        <w:rPr>
          <w:rFonts w:hint="eastAsia" w:ascii="宋体" w:hAnsi="宋体" w:cs="宋体"/>
          <w:szCs w:val="21"/>
          <w:lang w:val="en-US" w:eastAsia="zh-CN"/>
        </w:rPr>
        <w:t>技 术 联系人：</w:t>
      </w:r>
      <w:r>
        <w:rPr>
          <w:rFonts w:hint="eastAsia" w:ascii="宋体" w:hAnsi="宋体"/>
          <w:szCs w:val="21"/>
          <w:u w:val="single"/>
          <w:lang w:val="en-US" w:eastAsia="zh-CN"/>
        </w:rPr>
        <w:t>周老师</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13320229256</w:t>
      </w:r>
    </w:p>
    <w:p w14:paraId="41A13998">
      <w:pPr>
        <w:spacing w:line="440" w:lineRule="exact"/>
        <w:jc w:val="left"/>
        <w:outlineLvl w:val="0"/>
        <w:rPr>
          <w:rFonts w:ascii="宋体" w:hAnsi="宋体"/>
          <w:b/>
          <w:snapToGrid w:val="0"/>
          <w:kern w:val="0"/>
          <w:szCs w:val="21"/>
        </w:rPr>
      </w:pPr>
      <w:bookmarkStart w:id="58" w:name="_Toc20721"/>
      <w:bookmarkStart w:id="59" w:name="_Toc4279"/>
      <w:bookmarkStart w:id="60" w:name="_Toc1637"/>
      <w:bookmarkStart w:id="61" w:name="_Toc4674"/>
      <w:r>
        <w:rPr>
          <w:rFonts w:hint="eastAsia" w:ascii="宋体" w:hAnsi="宋体"/>
          <w:b/>
          <w:snapToGrid w:val="0"/>
          <w:kern w:val="0"/>
          <w:szCs w:val="21"/>
        </w:rPr>
        <w:t>7. 谈判文件的递交</w:t>
      </w:r>
      <w:bookmarkEnd w:id="52"/>
      <w:bookmarkEnd w:id="53"/>
      <w:bookmarkEnd w:id="54"/>
      <w:bookmarkEnd w:id="55"/>
      <w:bookmarkEnd w:id="56"/>
      <w:bookmarkEnd w:id="57"/>
      <w:bookmarkEnd w:id="58"/>
      <w:bookmarkEnd w:id="59"/>
      <w:bookmarkEnd w:id="60"/>
      <w:bookmarkEnd w:id="61"/>
    </w:p>
    <w:p w14:paraId="668ECD49">
      <w:pPr>
        <w:tabs>
          <w:tab w:val="left" w:pos="1425"/>
        </w:tabs>
        <w:spacing w:line="440" w:lineRule="exact"/>
        <w:rPr>
          <w:rFonts w:ascii="宋体" w:hAnsi="宋体" w:cs="宋体"/>
          <w:color w:val="000000"/>
          <w:szCs w:val="21"/>
        </w:rPr>
      </w:pPr>
      <w:bookmarkStart w:id="62" w:name="_Toc4477"/>
      <w:bookmarkStart w:id="63" w:name="_Toc18035"/>
      <w:bookmarkStart w:id="64" w:name="_Toc12357"/>
      <w:bookmarkStart w:id="65" w:name="_Toc3503"/>
      <w:bookmarkStart w:id="66" w:name="_Toc29375"/>
      <w:bookmarkStart w:id="67" w:name="_Toc21549"/>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 xml:space="preserve">月 </w:t>
      </w:r>
      <w:r>
        <w:rPr>
          <w:rFonts w:hint="eastAsia" w:ascii="宋体" w:hAnsi="宋体" w:cs="宋体"/>
          <w:szCs w:val="21"/>
          <w:u w:val="single"/>
          <w:lang w:val="en-US" w:eastAsia="zh-CN"/>
        </w:rPr>
        <w:t>22</w:t>
      </w:r>
      <w:r>
        <w:rPr>
          <w:rFonts w:hint="eastAsia" w:ascii="宋体" w:hAnsi="宋体" w:cs="宋体"/>
          <w:szCs w:val="21"/>
        </w:rPr>
        <w:t>日</w:t>
      </w:r>
      <w:r>
        <w:rPr>
          <w:rFonts w:hint="eastAsia" w:ascii="宋体" w:hAnsi="宋体" w:cs="宋体"/>
          <w:szCs w:val="21"/>
          <w:u w:val="single"/>
          <w:lang w:val="en-US" w:eastAsia="zh-CN"/>
        </w:rPr>
        <w:t>10</w:t>
      </w:r>
      <w:r>
        <w:rPr>
          <w:rFonts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分；递交地点为：重庆市大渡口区重庆国际复合材料股份有限公司。</w:t>
      </w:r>
    </w:p>
    <w:p w14:paraId="19EEFA6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w:t>
      </w:r>
      <w:r>
        <w:rPr>
          <w:rFonts w:hint="eastAsia" w:ascii="宋体" w:hAnsi="宋体" w:cs="宋体"/>
          <w:color w:val="auto"/>
          <w:szCs w:val="21"/>
        </w:rPr>
        <w:t>判时间：谈判文件截止之日后三个工作日内。</w:t>
      </w:r>
    </w:p>
    <w:p w14:paraId="40CABF93">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36D82BD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14:paraId="6EDE566C">
      <w:pPr>
        <w:spacing w:line="440" w:lineRule="exact"/>
        <w:jc w:val="left"/>
        <w:outlineLvl w:val="0"/>
        <w:rPr>
          <w:rFonts w:ascii="宋体" w:hAnsi="宋体"/>
          <w:b/>
          <w:snapToGrid w:val="0"/>
          <w:color w:val="auto"/>
          <w:kern w:val="0"/>
          <w:szCs w:val="21"/>
        </w:rPr>
      </w:pPr>
      <w:bookmarkStart w:id="68" w:name="_Toc5392"/>
      <w:bookmarkStart w:id="69" w:name="_Toc9249"/>
      <w:bookmarkStart w:id="70" w:name="_Toc27658"/>
      <w:bookmarkStart w:id="71" w:name="_Toc4764"/>
      <w:r>
        <w:rPr>
          <w:rFonts w:hint="eastAsia" w:ascii="宋体" w:hAnsi="宋体"/>
          <w:b/>
          <w:snapToGrid w:val="0"/>
          <w:color w:val="auto"/>
          <w:kern w:val="0"/>
          <w:szCs w:val="21"/>
        </w:rPr>
        <w:t>8. 发布公告的媒介</w:t>
      </w:r>
      <w:bookmarkEnd w:id="68"/>
      <w:bookmarkEnd w:id="69"/>
      <w:bookmarkEnd w:id="70"/>
      <w:bookmarkEnd w:id="71"/>
    </w:p>
    <w:p w14:paraId="4FB2CB96">
      <w:pPr>
        <w:spacing w:line="440" w:lineRule="exact"/>
        <w:ind w:firstLine="420"/>
        <w:jc w:val="left"/>
        <w:rPr>
          <w:rFonts w:ascii="宋体" w:hAnsi="宋体"/>
          <w:color w:val="auto"/>
          <w:szCs w:val="21"/>
          <w:highlight w:val="none"/>
        </w:rPr>
      </w:pPr>
      <w:bookmarkStart w:id="72" w:name="_Toc29368"/>
      <w:bookmarkStart w:id="73" w:name="_Toc10099"/>
      <w:bookmarkStart w:id="74" w:name="_Toc15696"/>
      <w:bookmarkStart w:id="75" w:name="_Toc15091"/>
      <w:bookmarkStart w:id="76" w:name="_Toc19026"/>
      <w:bookmarkStart w:id="77" w:name="_Toc17881"/>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w:t>
      </w:r>
      <w:r>
        <w:rPr>
          <w:rFonts w:ascii="宋体" w:hAnsi="宋体"/>
          <w:color w:val="auto"/>
          <w:szCs w:val="21"/>
        </w:rPr>
        <w:t>股份有限公司（http://www.cpicfiber.com/）</w:t>
      </w:r>
      <w:r>
        <w:rPr>
          <w:rFonts w:ascii="宋体" w:hAnsi="宋体"/>
          <w:color w:val="auto"/>
          <w:szCs w:val="21"/>
          <w:highlight w:val="none"/>
        </w:rPr>
        <w:t>上发布。</w:t>
      </w:r>
    </w:p>
    <w:p w14:paraId="5756C0C4">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9.特别注意</w:t>
      </w:r>
    </w:p>
    <w:p w14:paraId="08BCD442">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　　单位负责人为同一人或者存在控股、管理关系的不同单位，不得同时参加本次竞争性谈判。</w:t>
      </w:r>
    </w:p>
    <w:p w14:paraId="4585539D">
      <w:pPr>
        <w:spacing w:line="440" w:lineRule="exact"/>
        <w:jc w:val="left"/>
        <w:outlineLvl w:val="0"/>
        <w:rPr>
          <w:rFonts w:ascii="宋体" w:hAnsi="宋体"/>
          <w:b/>
          <w:snapToGrid w:val="0"/>
          <w:kern w:val="0"/>
          <w:szCs w:val="21"/>
        </w:rPr>
      </w:pPr>
      <w:bookmarkStart w:id="78" w:name="_Toc11677"/>
      <w:bookmarkStart w:id="79" w:name="_Toc4445"/>
      <w:bookmarkStart w:id="80" w:name="_Toc29627"/>
      <w:bookmarkStart w:id="81" w:name="_Toc30129"/>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695EA097">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4DF27089">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7CE1D601">
      <w:pPr>
        <w:spacing w:line="440" w:lineRule="exact"/>
        <w:ind w:firstLine="424" w:firstLineChars="202"/>
        <w:rPr>
          <w:rFonts w:hint="default" w:ascii="宋体" w:hAnsi="宋体" w:eastAsia="宋体"/>
          <w:szCs w:val="21"/>
          <w:lang w:val="en-US" w:eastAsia="zh-CN"/>
        </w:rPr>
      </w:pPr>
      <w:r>
        <w:rPr>
          <w:rFonts w:ascii="宋体" w:hAnsi="宋体"/>
          <w:szCs w:val="21"/>
        </w:rPr>
        <w:t>联系人：</w:t>
      </w:r>
      <w:bookmarkEnd w:id="6"/>
      <w:bookmarkEnd w:id="7"/>
      <w:bookmarkEnd w:id="8"/>
      <w:bookmarkEnd w:id="9"/>
      <w:bookmarkEnd w:id="10"/>
      <w:bookmarkEnd w:id="11"/>
      <w:r>
        <w:rPr>
          <w:rFonts w:hint="eastAsia" w:ascii="宋体" w:hAnsi="宋体"/>
          <w:szCs w:val="21"/>
          <w:lang w:val="en-US" w:eastAsia="zh-CN"/>
        </w:rPr>
        <w:t>杨老师</w:t>
      </w:r>
    </w:p>
    <w:p w14:paraId="130A7C66">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18983993055</w:t>
      </w:r>
    </w:p>
    <w:p w14:paraId="3537D13B">
      <w:pPr>
        <w:spacing w:line="440" w:lineRule="exact"/>
        <w:ind w:firstLine="424" w:firstLineChars="202"/>
        <w:rPr>
          <w:rFonts w:ascii="宋体" w:hAnsi="宋体"/>
          <w:szCs w:val="21"/>
        </w:rPr>
      </w:pPr>
      <w:r>
        <w:rPr>
          <w:rFonts w:hint="eastAsia" w:ascii="宋体" w:hAnsi="宋体"/>
          <w:szCs w:val="21"/>
        </w:rPr>
        <w:t>监督人：重庆国际复合材料股份有限公司</w:t>
      </w:r>
    </w:p>
    <w:p w14:paraId="44100870">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7B632622">
      <w:pPr>
        <w:spacing w:line="440" w:lineRule="exact"/>
        <w:ind w:firstLine="424" w:firstLineChars="202"/>
        <w:rPr>
          <w:rFonts w:ascii="宋体" w:hAnsi="宋体"/>
          <w:szCs w:val="21"/>
        </w:rPr>
      </w:pPr>
      <w:r>
        <w:rPr>
          <w:rFonts w:hint="eastAsia" w:ascii="宋体" w:hAnsi="宋体"/>
          <w:szCs w:val="21"/>
        </w:rPr>
        <w:t>联系人：</w:t>
      </w:r>
      <w:r>
        <w:rPr>
          <w:rFonts w:hint="eastAsia" w:ascii="宋体" w:hAnsi="宋体"/>
          <w:szCs w:val="21"/>
          <w:lang w:val="en-US" w:eastAsia="zh-CN"/>
        </w:rPr>
        <w:t>付</w:t>
      </w:r>
      <w:r>
        <w:rPr>
          <w:rFonts w:hint="eastAsia" w:ascii="宋体" w:hAnsi="宋体"/>
          <w:szCs w:val="21"/>
        </w:rPr>
        <w:t>老师</w:t>
      </w:r>
      <w:bookmarkStart w:id="693" w:name="_GoBack"/>
      <w:bookmarkEnd w:id="693"/>
    </w:p>
    <w:p w14:paraId="14B7F945">
      <w:pPr>
        <w:spacing w:line="440" w:lineRule="exact"/>
        <w:ind w:firstLine="424" w:firstLineChars="202"/>
        <w:rPr>
          <w:rFonts w:ascii="宋体" w:hAnsi="宋体"/>
          <w:szCs w:val="21"/>
        </w:rPr>
      </w:pPr>
      <w:r>
        <w:rPr>
          <w:rFonts w:hint="eastAsia" w:ascii="宋体" w:hAnsi="宋体"/>
          <w:szCs w:val="21"/>
        </w:rPr>
        <w:t>联系电话：68548669</w:t>
      </w:r>
    </w:p>
    <w:p w14:paraId="0DDD7459">
      <w:pPr>
        <w:rPr>
          <w:rFonts w:hint="eastAsia" w:ascii="宋体" w:hAnsi="宋体"/>
          <w:highlight w:val="yellow"/>
        </w:rPr>
      </w:pPr>
      <w:r>
        <w:rPr>
          <w:rFonts w:hint="eastAsia" w:ascii="宋体" w:hAnsi="宋体"/>
          <w:highlight w:val="yellow"/>
        </w:rPr>
        <w:br w:type="page"/>
      </w:r>
    </w:p>
    <w:p w14:paraId="6B6CA909">
      <w:pPr>
        <w:pStyle w:val="3"/>
        <w:spacing w:before="240" w:beforeLines="100" w:after="360" w:afterLines="150" w:line="276" w:lineRule="auto"/>
        <w:jc w:val="center"/>
        <w:rPr>
          <w:rFonts w:ascii="宋体" w:hAnsi="宋体"/>
          <w:highlight w:val="none"/>
        </w:rPr>
      </w:pPr>
      <w:r>
        <w:rPr>
          <w:rFonts w:hint="eastAsia" w:ascii="宋体" w:hAnsi="宋体"/>
          <w:highlight w:val="none"/>
        </w:rPr>
        <w:t>第二章  采购内容</w:t>
      </w:r>
    </w:p>
    <w:p w14:paraId="3B8EA48F">
      <w:pPr>
        <w:spacing w:line="360" w:lineRule="auto"/>
        <w:ind w:firstLine="480" w:firstLineChars="200"/>
        <w:rPr>
          <w:rFonts w:ascii="宋体" w:hAnsi="宋体"/>
          <w:kern w:val="0"/>
          <w:sz w:val="24"/>
          <w:highlight w:val="none"/>
        </w:rPr>
      </w:pPr>
      <w:r>
        <w:rPr>
          <w:rFonts w:hint="eastAsia" w:ascii="宋体" w:hAnsi="宋体"/>
          <w:kern w:val="0"/>
          <w:sz w:val="24"/>
          <w:highlight w:val="none"/>
        </w:rPr>
        <w:t>1．项目概况</w:t>
      </w:r>
    </w:p>
    <w:p w14:paraId="1228E3F4">
      <w:pPr>
        <w:pStyle w:val="7"/>
        <w:keepNext w:val="0"/>
        <w:keepLines w:val="0"/>
        <w:tabs>
          <w:tab w:val="left" w:pos="-201"/>
        </w:tabs>
        <w:adjustRightInd w:val="0"/>
        <w:snapToGrid w:val="0"/>
        <w:spacing w:before="0" w:after="0" w:line="360" w:lineRule="auto"/>
        <w:ind w:firstLine="480" w:firstLineChars="200"/>
        <w:jc w:val="left"/>
        <w:rPr>
          <w:sz w:val="21"/>
          <w:szCs w:val="21"/>
          <w:highlight w:val="none"/>
        </w:rPr>
      </w:pPr>
      <w:r>
        <w:rPr>
          <w:rFonts w:hint="eastAsia" w:ascii="宋体" w:hAnsi="宋体" w:eastAsia="宋体" w:cs="Times New Roman"/>
          <w:b w:val="0"/>
          <w:bCs w:val="0"/>
          <w:kern w:val="0"/>
          <w:sz w:val="24"/>
          <w:szCs w:val="24"/>
          <w:highlight w:val="none"/>
          <w:lang w:val="en-US" w:eastAsia="zh-CN" w:bidi="ar-SA"/>
        </w:rPr>
        <w:t>本项目为重庆国际复合材料股份有限公司进气天然气管道替换项目，气源来自建胜配气站。碰口点位于重庆国际复合材料股份有限公司大渡口厂区内已建燃气管道上。线路走向详见施工图纸，埋地管道要求采用三层PE加强级防腐，露空管道及设备采用红丹底漆+醇酸磁漆进行防腐。</w:t>
      </w:r>
    </w:p>
    <w:p w14:paraId="6B611362">
      <w:pPr>
        <w:numPr>
          <w:ilvl w:val="0"/>
          <w:numId w:val="6"/>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项目建设地点</w:t>
      </w:r>
    </w:p>
    <w:p w14:paraId="78C65812">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本项目位于大渡口区建胜镇，管线自建胜配气站引出，敷设进重庆国际复合材料股份有限公司天然气站附近，并与现有天然气管道碰管。</w:t>
      </w:r>
    </w:p>
    <w:p w14:paraId="5E81A0C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w:t>
      </w:r>
      <w:bookmarkStart w:id="82" w:name="_Toc163741345"/>
      <w:r>
        <w:rPr>
          <w:rFonts w:hint="eastAsia" w:ascii="宋体" w:hAnsi="宋体"/>
          <w:kern w:val="0"/>
          <w:sz w:val="24"/>
          <w:highlight w:val="none"/>
        </w:rPr>
        <w:t>施工范围</w:t>
      </w:r>
      <w:bookmarkEnd w:id="82"/>
    </w:p>
    <w:p w14:paraId="01A5E1FC">
      <w:pPr>
        <w:numPr>
          <w:ilvl w:val="0"/>
          <w:numId w:val="0"/>
        </w:numPr>
        <w:spacing w:line="360" w:lineRule="auto"/>
        <w:ind w:firstLine="480" w:firstLineChars="200"/>
        <w:rPr>
          <w:rFonts w:hint="eastAsia" w:ascii="宋体" w:hAnsi="宋体"/>
          <w:kern w:val="0"/>
          <w:sz w:val="24"/>
          <w:highlight w:val="none"/>
        </w:rPr>
      </w:pPr>
      <w:bookmarkStart w:id="83" w:name="_Toc373569135"/>
      <w:bookmarkStart w:id="84" w:name="_Toc355970304"/>
      <w:bookmarkStart w:id="85" w:name="_Toc356887673"/>
      <w:bookmarkStart w:id="86" w:name="_Toc289503461"/>
      <w:bookmarkStart w:id="87" w:name="_Toc402756984"/>
      <w:bookmarkStart w:id="88" w:name="_Toc293653204"/>
      <w:bookmarkStart w:id="89" w:name="_Toc204826943"/>
      <w:r>
        <w:rPr>
          <w:rFonts w:hint="eastAsia" w:ascii="宋体" w:hAnsi="宋体"/>
          <w:kern w:val="0"/>
          <w:sz w:val="24"/>
          <w:highlight w:val="none"/>
        </w:rPr>
        <w:t>工艺燃气管道安装施工，含调压、计量等设备安装。</w:t>
      </w:r>
    </w:p>
    <w:p w14:paraId="1C3FB65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埋地管道管沟开挖、回填、道路破除及恢复等所有与管道敷设有关的土建工作。</w:t>
      </w:r>
    </w:p>
    <w:p w14:paraId="0B4B4C20">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配套的防腐、保冷及其它辅助工作。</w:t>
      </w:r>
    </w:p>
    <w:p w14:paraId="57304F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管道、试压、检测、验收及使用证书办理配合等工作</w:t>
      </w:r>
    </w:p>
    <w:bookmarkEnd w:id="83"/>
    <w:bookmarkEnd w:id="84"/>
    <w:bookmarkEnd w:id="85"/>
    <w:bookmarkEnd w:id="86"/>
    <w:bookmarkEnd w:id="87"/>
    <w:bookmarkEnd w:id="88"/>
    <w:bookmarkEnd w:id="89"/>
    <w:p w14:paraId="0D4C6AE9">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  主要的施工工作量见设计图纸及设计说明</w:t>
      </w:r>
    </w:p>
    <w:p w14:paraId="6ECEB0AA">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4、施工技术要求</w:t>
      </w:r>
      <w:bookmarkStart w:id="90" w:name="_Toc163741354"/>
    </w:p>
    <w:p w14:paraId="0A1B2E7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4.1总则</w:t>
      </w:r>
      <w:bookmarkEnd w:id="90"/>
    </w:p>
    <w:p w14:paraId="703D692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本工程GC2管道施工严格按《工业金属管道工程施工规范》GB 50235-2010、《工业金属管道工程施工质量验收规范》GB 50184-2011、《压力管道规范 工业管道 第4部分：制作和安装》GB/T 20801.4-2020及《压力管道规范 工业管道 第5部分：检验与试验》GB/T 20801.5-2020执行。</w:t>
      </w:r>
    </w:p>
    <w:p w14:paraId="149B8A86">
      <w:pPr>
        <w:numPr>
          <w:ilvl w:val="0"/>
          <w:numId w:val="0"/>
        </w:numPr>
        <w:spacing w:line="360" w:lineRule="auto"/>
        <w:ind w:firstLine="480" w:firstLineChars="200"/>
        <w:rPr>
          <w:rFonts w:hint="eastAsia" w:ascii="宋体" w:hAnsi="宋体"/>
          <w:kern w:val="0"/>
          <w:sz w:val="24"/>
          <w:highlight w:val="none"/>
        </w:rPr>
      </w:pPr>
      <w:bookmarkStart w:id="91" w:name="_Toc130805744"/>
      <w:r>
        <w:rPr>
          <w:rFonts w:hint="eastAsia" w:ascii="宋体" w:hAnsi="宋体"/>
          <w:kern w:val="0"/>
          <w:sz w:val="24"/>
          <w:highlight w:val="none"/>
        </w:rPr>
        <w:t>4.2施工资质</w:t>
      </w:r>
      <w:bookmarkEnd w:id="91"/>
    </w:p>
    <w:p w14:paraId="24AC043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4.2.1管道的制造、制作和安装单位应具有符合压力管道安全监察有关法规要求的行政许可证。管道制作和安装单位应建立相应的质量管理体系，并符合下列规定： </w:t>
      </w:r>
    </w:p>
    <w:p w14:paraId="43D175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a) 具有健全的质量管理制度以及制作、安装工艺文件。工艺文件（如施工组织设计、施工方案等）应经业主（或其委托方）技术负责人批准后方可用于管道制作或安装工作。</w:t>
      </w:r>
    </w:p>
    <w:p w14:paraId="06F57E6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b) 参加管道制作或安装的人员应具备相应的能力并履行各自的职责。</w:t>
      </w:r>
    </w:p>
    <w:p w14:paraId="4FD4E54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c) 使用的计量器具应检定合格并在有效期内。</w:t>
      </w:r>
    </w:p>
    <w:p w14:paraId="1FE21D37">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4.2.2承担钢质燃气管道、设备焊接的人员，须按《特种设备焊接操作人员考核细则》TSG Z6002-2010参加考核，并取得《特种设备操作人员证》特种设备焊接作业承压焊合格证书，批准项目须与施焊项目相适应，且在证书的有效期内从事焊接工作。间断焊接时间超过6个月，再次上岗前应重新考试和技术评定。当使用的安装设备发生变化时，应针对该设备操作要求进行专门培训。</w:t>
      </w:r>
    </w:p>
    <w:p w14:paraId="631B0EE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4.2.3在入库和进入施工现场安装前，应对管道及其组成件、设备等进行检查，必须具有产品质量书、出厂合格证、说明书，其材质、规格、型号应符合设计文件和合同的规定，并应按现行的国家产品标准进行外观检查；对外观质量有异议、设计文件有要求时应进行有关质量检验，不合格者不得使用。管道附件与设备安装前应将内部清理干净，不得存有杂物。</w:t>
      </w:r>
      <w:bookmarkStart w:id="92" w:name="_Toc130805745"/>
    </w:p>
    <w:p w14:paraId="14DFE6E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4.3管材及附件</w:t>
      </w:r>
      <w:bookmarkEnd w:id="92"/>
    </w:p>
    <w:p w14:paraId="6001BB5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材、管件、阀门、过滤器、计量装置及其它工程材料，必须具有制造厂的合格证明书（一般及需要检测、调试的设备和仪表，则需要具有相关资质的检测单位进行检测调试，并出具合格的检测报告或证书），并符合本设计及相关标准、规范、法律法规的要求，不合要求者严禁使用。</w:t>
      </w:r>
    </w:p>
    <w:p w14:paraId="32CB7CD3">
      <w:pPr>
        <w:numPr>
          <w:ilvl w:val="0"/>
          <w:numId w:val="0"/>
        </w:numPr>
        <w:spacing w:line="360" w:lineRule="auto"/>
        <w:ind w:firstLine="480" w:firstLineChars="200"/>
        <w:rPr>
          <w:rFonts w:hint="eastAsia" w:ascii="宋体" w:hAnsi="宋体"/>
          <w:kern w:val="0"/>
          <w:sz w:val="24"/>
          <w:highlight w:val="none"/>
        </w:rPr>
      </w:pPr>
      <w:bookmarkStart w:id="93" w:name="_Toc130805746"/>
      <w:r>
        <w:rPr>
          <w:rFonts w:hint="eastAsia" w:ascii="宋体" w:hAnsi="宋体"/>
          <w:kern w:val="0"/>
          <w:sz w:val="24"/>
          <w:highlight w:val="none"/>
        </w:rPr>
        <w:t>4.4管线布置</w:t>
      </w:r>
      <w:bookmarkEnd w:id="93"/>
    </w:p>
    <w:p w14:paraId="7A9EB49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4.4.1管道埋地</w:t>
      </w:r>
    </w:p>
    <w:p w14:paraId="24B3F13E">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4.4.1.1 GC2管道的布置应符合《工业企业总平面设计规范》GB50187-2012的相关要求，并参照执行《工业金属管道设计规范》GB50316-2000（2008年版）的相关要求。GC2管道与相邻建、构筑物或相邻管道之间的水平净距及垂直净间距应符合《工业企业总平面设计规范》GB50187-2012表8.2.10的相关要求及《工业金属管道设计规范》GB50183-2000（2008年版）附录F的相关要求，见下表。</w:t>
      </w:r>
    </w:p>
    <w:p w14:paraId="2DC90F82">
      <w:pPr>
        <w:spacing w:line="360" w:lineRule="auto"/>
        <w:jc w:val="center"/>
        <w:rPr>
          <w:b/>
          <w:bCs/>
          <w:kern w:val="0"/>
          <w:szCs w:val="21"/>
        </w:rPr>
      </w:pPr>
      <w:r>
        <w:rPr>
          <w:b/>
          <w:bCs/>
          <w:kern w:val="0"/>
          <w:szCs w:val="21"/>
        </w:rPr>
        <w:t>表</w:t>
      </w:r>
      <w:r>
        <w:rPr>
          <w:rFonts w:hint="eastAsia"/>
          <w:b/>
          <w:bCs/>
          <w:kern w:val="0"/>
          <w:szCs w:val="21"/>
        </w:rPr>
        <w:t>3.4</w:t>
      </w:r>
      <w:r>
        <w:rPr>
          <w:b/>
          <w:bCs/>
          <w:kern w:val="0"/>
          <w:szCs w:val="21"/>
        </w:rPr>
        <w:t>-1  管道与建（构）筑物或相邻管道之间的水平净距（m）</w:t>
      </w:r>
    </w:p>
    <w:tbl>
      <w:tblPr>
        <w:tblStyle w:val="20"/>
        <w:tblW w:w="7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71"/>
        <w:gridCol w:w="2706"/>
      </w:tblGrid>
      <w:tr w14:paraId="7374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restart"/>
            <w:vAlign w:val="center"/>
          </w:tcPr>
          <w:p w14:paraId="52DFDC24">
            <w:pPr>
              <w:spacing w:line="400" w:lineRule="exact"/>
              <w:ind w:right="284"/>
              <w:jc w:val="center"/>
              <w:rPr>
                <w:szCs w:val="21"/>
              </w:rPr>
            </w:pPr>
            <w:r>
              <w:rPr>
                <w:szCs w:val="21"/>
              </w:rPr>
              <w:t>项  目</w:t>
            </w:r>
          </w:p>
        </w:tc>
        <w:tc>
          <w:tcPr>
            <w:tcW w:w="2706" w:type="dxa"/>
            <w:vAlign w:val="center"/>
          </w:tcPr>
          <w:p w14:paraId="7B9C676F">
            <w:pPr>
              <w:spacing w:line="400" w:lineRule="exact"/>
              <w:ind w:right="284"/>
              <w:jc w:val="center"/>
              <w:rPr>
                <w:szCs w:val="21"/>
              </w:rPr>
            </w:pPr>
            <w:r>
              <w:rPr>
                <w:szCs w:val="21"/>
              </w:rPr>
              <w:t>燃气管</w:t>
            </w:r>
          </w:p>
        </w:tc>
      </w:tr>
      <w:tr w14:paraId="4FCD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continue"/>
            <w:vAlign w:val="center"/>
          </w:tcPr>
          <w:p w14:paraId="765A94F9">
            <w:pPr>
              <w:spacing w:line="400" w:lineRule="exact"/>
              <w:ind w:right="284"/>
              <w:jc w:val="center"/>
              <w:rPr>
                <w:szCs w:val="21"/>
              </w:rPr>
            </w:pPr>
          </w:p>
        </w:tc>
        <w:tc>
          <w:tcPr>
            <w:tcW w:w="2706" w:type="dxa"/>
            <w:vAlign w:val="center"/>
          </w:tcPr>
          <w:p w14:paraId="6EB04140">
            <w:pPr>
              <w:spacing w:line="400" w:lineRule="exact"/>
              <w:ind w:right="284"/>
              <w:jc w:val="center"/>
              <w:rPr>
                <w:szCs w:val="21"/>
              </w:rPr>
            </w:pPr>
            <w:r>
              <w:rPr>
                <w:szCs w:val="21"/>
              </w:rPr>
              <w:t>P＞0.8MPa</w:t>
            </w:r>
          </w:p>
        </w:tc>
      </w:tr>
      <w:tr w14:paraId="194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restart"/>
            <w:vAlign w:val="center"/>
          </w:tcPr>
          <w:p w14:paraId="385F298F">
            <w:pPr>
              <w:spacing w:line="400" w:lineRule="exact"/>
              <w:ind w:right="284"/>
              <w:jc w:val="center"/>
              <w:rPr>
                <w:szCs w:val="21"/>
              </w:rPr>
            </w:pPr>
            <w:r>
              <w:rPr>
                <w:szCs w:val="21"/>
              </w:rPr>
              <w:t>建筑物、构筑物基础外缘</w:t>
            </w:r>
          </w:p>
        </w:tc>
        <w:tc>
          <w:tcPr>
            <w:tcW w:w="2171" w:type="dxa"/>
            <w:vAlign w:val="center"/>
          </w:tcPr>
          <w:p w14:paraId="5B02ABB0">
            <w:pPr>
              <w:spacing w:line="400" w:lineRule="exact"/>
              <w:ind w:right="284"/>
              <w:jc w:val="center"/>
              <w:rPr>
                <w:szCs w:val="21"/>
              </w:rPr>
            </w:pPr>
            <w:r>
              <w:rPr>
                <w:szCs w:val="21"/>
              </w:rPr>
              <w:t>有地下室</w:t>
            </w:r>
          </w:p>
        </w:tc>
        <w:tc>
          <w:tcPr>
            <w:tcW w:w="2706" w:type="dxa"/>
            <w:vAlign w:val="center"/>
          </w:tcPr>
          <w:p w14:paraId="04956638">
            <w:pPr>
              <w:spacing w:line="400" w:lineRule="exact"/>
              <w:ind w:right="284"/>
              <w:jc w:val="center"/>
              <w:rPr>
                <w:szCs w:val="21"/>
              </w:rPr>
            </w:pPr>
            <w:r>
              <w:rPr>
                <w:szCs w:val="21"/>
              </w:rPr>
              <w:t>7</w:t>
            </w:r>
          </w:p>
        </w:tc>
      </w:tr>
      <w:tr w14:paraId="14F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continue"/>
            <w:vAlign w:val="center"/>
          </w:tcPr>
          <w:p w14:paraId="096A9996">
            <w:pPr>
              <w:spacing w:line="400" w:lineRule="exact"/>
              <w:ind w:right="284"/>
              <w:jc w:val="center"/>
              <w:rPr>
                <w:szCs w:val="21"/>
              </w:rPr>
            </w:pPr>
          </w:p>
        </w:tc>
        <w:tc>
          <w:tcPr>
            <w:tcW w:w="2171" w:type="dxa"/>
            <w:vAlign w:val="center"/>
          </w:tcPr>
          <w:p w14:paraId="39789881">
            <w:pPr>
              <w:spacing w:line="400" w:lineRule="exact"/>
              <w:ind w:right="284"/>
              <w:jc w:val="center"/>
              <w:rPr>
                <w:szCs w:val="21"/>
              </w:rPr>
            </w:pPr>
            <w:r>
              <w:rPr>
                <w:szCs w:val="21"/>
              </w:rPr>
              <w:t>无地下室</w:t>
            </w:r>
          </w:p>
        </w:tc>
        <w:tc>
          <w:tcPr>
            <w:tcW w:w="2706" w:type="dxa"/>
            <w:vAlign w:val="center"/>
          </w:tcPr>
          <w:p w14:paraId="7523EED8">
            <w:pPr>
              <w:spacing w:line="400" w:lineRule="exact"/>
              <w:ind w:right="284"/>
              <w:jc w:val="center"/>
              <w:rPr>
                <w:szCs w:val="21"/>
              </w:rPr>
            </w:pPr>
            <w:r>
              <w:rPr>
                <w:szCs w:val="21"/>
              </w:rPr>
              <w:t>6</w:t>
            </w:r>
          </w:p>
        </w:tc>
      </w:tr>
      <w:tr w14:paraId="27E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54481808">
            <w:pPr>
              <w:spacing w:line="400" w:lineRule="exact"/>
              <w:ind w:right="284"/>
              <w:jc w:val="center"/>
              <w:rPr>
                <w:szCs w:val="21"/>
              </w:rPr>
            </w:pPr>
            <w:r>
              <w:rPr>
                <w:szCs w:val="21"/>
              </w:rPr>
              <w:t>铁路轨外侧</w:t>
            </w:r>
          </w:p>
        </w:tc>
        <w:tc>
          <w:tcPr>
            <w:tcW w:w="2706" w:type="dxa"/>
            <w:vAlign w:val="center"/>
          </w:tcPr>
          <w:p w14:paraId="482B0B1A">
            <w:pPr>
              <w:spacing w:line="400" w:lineRule="exact"/>
              <w:ind w:right="284"/>
              <w:jc w:val="center"/>
              <w:rPr>
                <w:szCs w:val="21"/>
              </w:rPr>
            </w:pPr>
            <w:r>
              <w:rPr>
                <w:szCs w:val="21"/>
              </w:rPr>
              <w:t>5</w:t>
            </w:r>
          </w:p>
        </w:tc>
      </w:tr>
      <w:tr w14:paraId="4D4F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8246163">
            <w:pPr>
              <w:spacing w:line="400" w:lineRule="exact"/>
              <w:ind w:right="284"/>
              <w:jc w:val="center"/>
              <w:rPr>
                <w:szCs w:val="21"/>
              </w:rPr>
            </w:pPr>
            <w:r>
              <w:rPr>
                <w:szCs w:val="21"/>
              </w:rPr>
              <w:t>道路边缘</w:t>
            </w:r>
          </w:p>
        </w:tc>
        <w:tc>
          <w:tcPr>
            <w:tcW w:w="2706" w:type="dxa"/>
            <w:vAlign w:val="center"/>
          </w:tcPr>
          <w:p w14:paraId="390E1163">
            <w:pPr>
              <w:spacing w:line="400" w:lineRule="exact"/>
              <w:ind w:right="284"/>
              <w:jc w:val="center"/>
              <w:rPr>
                <w:szCs w:val="21"/>
              </w:rPr>
            </w:pPr>
            <w:r>
              <w:rPr>
                <w:szCs w:val="21"/>
              </w:rPr>
              <w:t>1</w:t>
            </w:r>
          </w:p>
        </w:tc>
      </w:tr>
      <w:tr w14:paraId="3B6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BC9F845">
            <w:pPr>
              <w:spacing w:line="400" w:lineRule="exact"/>
              <w:ind w:right="284"/>
              <w:jc w:val="center"/>
              <w:rPr>
                <w:szCs w:val="21"/>
              </w:rPr>
            </w:pPr>
            <w:r>
              <w:rPr>
                <w:szCs w:val="21"/>
              </w:rPr>
              <w:t>管架基础外缘</w:t>
            </w:r>
          </w:p>
        </w:tc>
        <w:tc>
          <w:tcPr>
            <w:tcW w:w="2706" w:type="dxa"/>
            <w:vAlign w:val="center"/>
          </w:tcPr>
          <w:p w14:paraId="718323F9">
            <w:pPr>
              <w:spacing w:line="400" w:lineRule="exact"/>
              <w:ind w:right="284"/>
              <w:jc w:val="center"/>
              <w:rPr>
                <w:szCs w:val="21"/>
              </w:rPr>
            </w:pPr>
            <w:r>
              <w:rPr>
                <w:szCs w:val="21"/>
              </w:rPr>
              <w:t>1.0</w:t>
            </w:r>
          </w:p>
        </w:tc>
      </w:tr>
      <w:tr w14:paraId="1CF7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6D597219">
            <w:pPr>
              <w:spacing w:line="400" w:lineRule="exact"/>
              <w:ind w:right="284"/>
              <w:jc w:val="center"/>
              <w:rPr>
                <w:szCs w:val="21"/>
              </w:rPr>
            </w:pPr>
            <w:r>
              <w:rPr>
                <w:szCs w:val="21"/>
              </w:rPr>
              <w:t>围墙基础外缘</w:t>
            </w:r>
          </w:p>
        </w:tc>
        <w:tc>
          <w:tcPr>
            <w:tcW w:w="2706" w:type="dxa"/>
            <w:vAlign w:val="center"/>
          </w:tcPr>
          <w:p w14:paraId="16FF0F66">
            <w:pPr>
              <w:spacing w:line="400" w:lineRule="exact"/>
              <w:ind w:right="284"/>
              <w:jc w:val="center"/>
              <w:rPr>
                <w:szCs w:val="21"/>
              </w:rPr>
            </w:pPr>
            <w:r>
              <w:rPr>
                <w:szCs w:val="21"/>
              </w:rPr>
              <w:t>1</w:t>
            </w:r>
          </w:p>
        </w:tc>
      </w:tr>
      <w:tr w14:paraId="7248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AA0F1BD">
            <w:pPr>
              <w:spacing w:line="400" w:lineRule="exact"/>
              <w:ind w:right="284"/>
              <w:jc w:val="center"/>
              <w:rPr>
                <w:szCs w:val="21"/>
              </w:rPr>
            </w:pPr>
            <w:r>
              <w:rPr>
                <w:szCs w:val="21"/>
              </w:rPr>
              <w:t>排水沟外缘</w:t>
            </w:r>
          </w:p>
        </w:tc>
        <w:tc>
          <w:tcPr>
            <w:tcW w:w="2706" w:type="dxa"/>
            <w:vAlign w:val="center"/>
          </w:tcPr>
          <w:p w14:paraId="1C1DA43B">
            <w:pPr>
              <w:spacing w:line="400" w:lineRule="exact"/>
              <w:ind w:right="284"/>
              <w:jc w:val="center"/>
              <w:rPr>
                <w:szCs w:val="21"/>
              </w:rPr>
            </w:pPr>
            <w:r>
              <w:rPr>
                <w:szCs w:val="21"/>
              </w:rPr>
              <w:t>1.0</w:t>
            </w:r>
          </w:p>
        </w:tc>
      </w:tr>
      <w:tr w14:paraId="1C0E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460444D">
            <w:pPr>
              <w:spacing w:line="400" w:lineRule="exact"/>
              <w:ind w:right="284"/>
              <w:jc w:val="center"/>
              <w:rPr>
                <w:szCs w:val="21"/>
              </w:rPr>
            </w:pPr>
            <w:r>
              <w:rPr>
                <w:szCs w:val="21"/>
              </w:rPr>
              <w:t>通信电杆柱中心</w:t>
            </w:r>
          </w:p>
        </w:tc>
        <w:tc>
          <w:tcPr>
            <w:tcW w:w="2706" w:type="dxa"/>
            <w:vAlign w:val="center"/>
          </w:tcPr>
          <w:p w14:paraId="2DE398B3">
            <w:pPr>
              <w:spacing w:line="400" w:lineRule="exact"/>
              <w:ind w:right="284"/>
              <w:jc w:val="center"/>
              <w:rPr>
                <w:szCs w:val="21"/>
              </w:rPr>
            </w:pPr>
            <w:r>
              <w:rPr>
                <w:szCs w:val="21"/>
              </w:rPr>
              <w:t>1.5</w:t>
            </w:r>
          </w:p>
        </w:tc>
      </w:tr>
      <w:tr w14:paraId="4D80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F0D4A0D">
            <w:pPr>
              <w:spacing w:line="400" w:lineRule="exact"/>
              <w:ind w:right="284"/>
              <w:jc w:val="center"/>
              <w:rPr>
                <w:szCs w:val="21"/>
              </w:rPr>
            </w:pPr>
            <w:r>
              <w:rPr>
                <w:szCs w:val="21"/>
              </w:rPr>
              <w:t>电力电杆柱中心</w:t>
            </w:r>
          </w:p>
        </w:tc>
        <w:tc>
          <w:tcPr>
            <w:tcW w:w="2706" w:type="dxa"/>
            <w:vAlign w:val="center"/>
          </w:tcPr>
          <w:p w14:paraId="75EEDD91">
            <w:pPr>
              <w:spacing w:line="400" w:lineRule="exact"/>
              <w:ind w:right="284"/>
              <w:jc w:val="center"/>
              <w:rPr>
                <w:szCs w:val="21"/>
              </w:rPr>
            </w:pPr>
            <w:r>
              <w:rPr>
                <w:szCs w:val="21"/>
              </w:rPr>
              <w:t>1.5</w:t>
            </w:r>
          </w:p>
        </w:tc>
      </w:tr>
      <w:tr w14:paraId="2D7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B2E25BD">
            <w:pPr>
              <w:spacing w:line="400" w:lineRule="exact"/>
              <w:ind w:right="284"/>
              <w:jc w:val="center"/>
              <w:rPr>
                <w:szCs w:val="21"/>
              </w:rPr>
            </w:pPr>
            <w:r>
              <w:rPr>
                <w:szCs w:val="21"/>
              </w:rPr>
              <w:t>高压电电杆柱中心</w:t>
            </w:r>
          </w:p>
        </w:tc>
        <w:tc>
          <w:tcPr>
            <w:tcW w:w="2706" w:type="dxa"/>
            <w:vAlign w:val="center"/>
          </w:tcPr>
          <w:p w14:paraId="722AB560">
            <w:pPr>
              <w:spacing w:line="400" w:lineRule="exact"/>
              <w:ind w:right="284"/>
              <w:jc w:val="center"/>
              <w:rPr>
                <w:szCs w:val="21"/>
              </w:rPr>
            </w:pPr>
            <w:r>
              <w:rPr>
                <w:szCs w:val="21"/>
              </w:rPr>
              <w:t>2</w:t>
            </w:r>
          </w:p>
        </w:tc>
      </w:tr>
      <w:tr w14:paraId="2B6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23AB59F">
            <w:pPr>
              <w:spacing w:line="400" w:lineRule="exact"/>
              <w:ind w:right="284"/>
              <w:jc w:val="center"/>
              <w:rPr>
                <w:szCs w:val="21"/>
              </w:rPr>
            </w:pPr>
            <w:r>
              <w:rPr>
                <w:szCs w:val="21"/>
              </w:rPr>
              <w:t>高压电力杆柱或铁塔基础外缘</w:t>
            </w:r>
          </w:p>
        </w:tc>
        <w:tc>
          <w:tcPr>
            <w:tcW w:w="2706" w:type="dxa"/>
            <w:vAlign w:val="center"/>
          </w:tcPr>
          <w:p w14:paraId="26F829A7">
            <w:pPr>
              <w:spacing w:line="400" w:lineRule="exact"/>
              <w:ind w:right="284"/>
              <w:jc w:val="center"/>
              <w:rPr>
                <w:szCs w:val="21"/>
              </w:rPr>
            </w:pPr>
            <w:r>
              <w:rPr>
                <w:szCs w:val="21"/>
              </w:rPr>
              <w:t>1.0</w:t>
            </w:r>
          </w:p>
          <w:p w14:paraId="6809F918">
            <w:pPr>
              <w:spacing w:line="400" w:lineRule="exact"/>
              <w:ind w:right="284"/>
              <w:jc w:val="center"/>
              <w:rPr>
                <w:szCs w:val="21"/>
              </w:rPr>
            </w:pPr>
            <w:r>
              <w:rPr>
                <w:szCs w:val="21"/>
              </w:rPr>
              <w:t>（5.0）</w:t>
            </w:r>
          </w:p>
        </w:tc>
      </w:tr>
    </w:tbl>
    <w:p w14:paraId="251539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备注：括号内为距大于35kV电杆(塔)的距离。与电杆(塔)基础之间的水平距离还应符合现行国家标准《城镇燃气设计规范》GB 50028的有关规定﹔</w:t>
      </w:r>
    </w:p>
    <w:p w14:paraId="0C0AE2FC">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4.4.1.2地下管线（沟）穿越铁路、道路时,管顶或沟盖板顶覆土厚度应根据其上面荷载的大小及分布、管材强度及土壤冻结深度等条件确定。</w:t>
      </w:r>
    </w:p>
    <w:p w14:paraId="5151EF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本工程GC2埋地管道埋深要求参照GB管道执行:</w:t>
      </w:r>
    </w:p>
    <w:p w14:paraId="3169ADD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绿化或人行道下，管顶距地面0.6m；</w:t>
      </w:r>
    </w:p>
    <w:p w14:paraId="4D36DC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车行道或停车位下，（套）管顶距地面1.2m。</w:t>
      </w:r>
    </w:p>
    <w:p w14:paraId="7208FE5B">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4.4.1.3特殊地段处理</w:t>
      </w:r>
    </w:p>
    <w:p w14:paraId="212AD3E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燃气管道穿越车行道时，采用大开挖方式通过，并采用加钢筋混凝土套管保护的方式。套管与燃气管道之间应设置塑料管支架，套管与燃气管道之间的间隙应采用密封性能良好的柔性防腐、防水材料填实。</w:t>
      </w:r>
    </w:p>
    <w:p w14:paraId="7449384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穿越车行道时套管顶距地面的距离不得小于1.2m，套管两端伸出道路路沿石1.0m以上。</w:t>
      </w:r>
    </w:p>
    <w:p w14:paraId="423AD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穿越车行道应选质量好，较长的管子进行连接，以减少接口数，确保施工质量。</w:t>
      </w:r>
    </w:p>
    <w:p w14:paraId="58FF30D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穿越车行道管沟回填土应充分夯实，路面以原路面结构恢复。</w:t>
      </w:r>
    </w:p>
    <w:p w14:paraId="1C96290E">
      <w:pPr>
        <w:spacing w:line="360" w:lineRule="auto"/>
        <w:ind w:firstLine="480" w:firstLineChars="20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一般情况下，管道与其他埋地管道、电缆等交叉时，原则上应位于先建管道、电缆的下方。与其他管道、电缆等交叉时，其垂直净距不得小于表3.4-2的要求。</w:t>
      </w:r>
    </w:p>
    <w:p w14:paraId="6440164F">
      <w:pPr>
        <w:spacing w:before="120" w:beforeLines="50" w:line="360" w:lineRule="auto"/>
        <w:jc w:val="center"/>
        <w:rPr>
          <w:b/>
          <w:bCs/>
        </w:rPr>
      </w:pPr>
      <w:r>
        <w:rPr>
          <w:b/>
          <w:bCs/>
        </w:rPr>
        <w:t>表3.4-2 地下燃气管道与建（构）筑物或相邻管道之间的最小垂直净距</w:t>
      </w:r>
    </w:p>
    <w:tbl>
      <w:tblPr>
        <w:tblStyle w:val="20"/>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2126"/>
        <w:gridCol w:w="3575"/>
      </w:tblGrid>
      <w:tr w14:paraId="752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355" w:type="dxa"/>
            <w:gridSpan w:val="2"/>
            <w:shd w:val="clear" w:color="auto" w:fill="E0E0E0"/>
            <w:vAlign w:val="center"/>
          </w:tcPr>
          <w:p w14:paraId="3F237832">
            <w:pPr>
              <w:jc w:val="center"/>
              <w:rPr>
                <w:b/>
              </w:rPr>
            </w:pPr>
            <w:r>
              <w:rPr>
                <w:b/>
              </w:rPr>
              <w:t>项目</w:t>
            </w:r>
          </w:p>
        </w:tc>
        <w:tc>
          <w:tcPr>
            <w:tcW w:w="3575" w:type="dxa"/>
            <w:shd w:val="clear" w:color="auto" w:fill="E0E0E0"/>
            <w:vAlign w:val="center"/>
          </w:tcPr>
          <w:p w14:paraId="6FF757E4">
            <w:pPr>
              <w:jc w:val="center"/>
              <w:rPr>
                <w:b/>
              </w:rPr>
            </w:pPr>
            <w:r>
              <w:rPr>
                <w:b/>
              </w:rPr>
              <w:t>地下燃气管道(当有套管时,以套管计)</w:t>
            </w:r>
          </w:p>
        </w:tc>
      </w:tr>
      <w:tr w14:paraId="75B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5915CBDC">
            <w:pPr>
              <w:jc w:val="center"/>
            </w:pPr>
            <w:r>
              <w:t>给水管、排水管或其他燃气管道</w:t>
            </w:r>
          </w:p>
        </w:tc>
        <w:tc>
          <w:tcPr>
            <w:tcW w:w="3575" w:type="dxa"/>
            <w:vAlign w:val="center"/>
          </w:tcPr>
          <w:p w14:paraId="6F02E567">
            <w:pPr>
              <w:jc w:val="center"/>
            </w:pPr>
            <w:r>
              <w:t>0.15</w:t>
            </w:r>
          </w:p>
        </w:tc>
      </w:tr>
      <w:tr w14:paraId="6B8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restart"/>
            <w:vAlign w:val="center"/>
          </w:tcPr>
          <w:p w14:paraId="5DCD1C85">
            <w:pPr>
              <w:jc w:val="center"/>
            </w:pPr>
            <w:r>
              <w:t>电缆</w:t>
            </w:r>
          </w:p>
        </w:tc>
        <w:tc>
          <w:tcPr>
            <w:tcW w:w="2126" w:type="dxa"/>
            <w:vAlign w:val="center"/>
          </w:tcPr>
          <w:p w14:paraId="4FAA6BA1">
            <w:pPr>
              <w:jc w:val="center"/>
            </w:pPr>
            <w:r>
              <w:t>直埋</w:t>
            </w:r>
          </w:p>
        </w:tc>
        <w:tc>
          <w:tcPr>
            <w:tcW w:w="3575" w:type="dxa"/>
            <w:vAlign w:val="center"/>
          </w:tcPr>
          <w:p w14:paraId="515A4CF4">
            <w:pPr>
              <w:jc w:val="center"/>
            </w:pPr>
            <w:r>
              <w:t>0.5</w:t>
            </w:r>
          </w:p>
        </w:tc>
      </w:tr>
      <w:tr w14:paraId="24E4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continue"/>
            <w:vAlign w:val="center"/>
          </w:tcPr>
          <w:p w14:paraId="33C40EBA">
            <w:pPr>
              <w:jc w:val="center"/>
            </w:pPr>
          </w:p>
        </w:tc>
        <w:tc>
          <w:tcPr>
            <w:tcW w:w="2126" w:type="dxa"/>
            <w:vAlign w:val="center"/>
          </w:tcPr>
          <w:p w14:paraId="62EBF9A4">
            <w:pPr>
              <w:jc w:val="center"/>
            </w:pPr>
            <w:r>
              <w:t>在导管内</w:t>
            </w:r>
          </w:p>
        </w:tc>
        <w:tc>
          <w:tcPr>
            <w:tcW w:w="3575" w:type="dxa"/>
            <w:vAlign w:val="center"/>
          </w:tcPr>
          <w:p w14:paraId="24044991">
            <w:pPr>
              <w:jc w:val="center"/>
            </w:pPr>
            <w:r>
              <w:rPr>
                <w:rFonts w:hint="eastAsia"/>
              </w:rPr>
              <w:t>钢管不小于</w:t>
            </w:r>
            <w:r>
              <w:t>0.15</w:t>
            </w:r>
          </w:p>
        </w:tc>
      </w:tr>
      <w:tr w14:paraId="083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7F2A0189">
            <w:pPr>
              <w:jc w:val="center"/>
            </w:pPr>
            <w:r>
              <w:rPr>
                <w:rFonts w:hint="eastAsia" w:cs="Arial"/>
              </w:rPr>
              <w:t>热力管、热力管的管底（或顶）（适用于钢管）</w:t>
            </w:r>
          </w:p>
        </w:tc>
        <w:tc>
          <w:tcPr>
            <w:tcW w:w="3575" w:type="dxa"/>
            <w:vAlign w:val="center"/>
          </w:tcPr>
          <w:p w14:paraId="5BD30A81">
            <w:pPr>
              <w:jc w:val="center"/>
            </w:pPr>
            <w:r>
              <w:rPr>
                <w:rFonts w:hint="eastAsia"/>
              </w:rPr>
              <w:t>0.15</w:t>
            </w:r>
          </w:p>
        </w:tc>
      </w:tr>
    </w:tbl>
    <w:p w14:paraId="54669FA2">
      <w:pPr>
        <w:pStyle w:val="65"/>
        <w:widowControl w:val="0"/>
        <w:ind w:firstLine="420"/>
        <w:rPr>
          <w:rFonts w:hint="eastAsia" w:ascii="宋体" w:hAnsi="宋体" w:eastAsia="宋体" w:cs="Times New Roman"/>
          <w:kern w:val="0"/>
          <w:sz w:val="24"/>
          <w:szCs w:val="24"/>
          <w:highlight w:val="none"/>
          <w:lang w:val="en-US" w:eastAsia="zh-CN" w:bidi="ar-SA"/>
        </w:rPr>
      </w:pPr>
      <w:bookmarkStart w:id="94" w:name="_Toc464551575"/>
    </w:p>
    <w:p w14:paraId="1B09BCA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4.4.2管道架空</w:t>
      </w:r>
      <w:bookmarkEnd w:id="94"/>
    </w:p>
    <w:p w14:paraId="394D759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4.4.2.1本工程厂房外部分燃气管道沿用户已建的管廊架敷设，燃气管道敷设通道由用户预留。管道采用角钢支架+U型管卡固定。</w:t>
      </w:r>
    </w:p>
    <w:p w14:paraId="791149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4.4.2.2沿建筑物外墙敷设的燃气管道与住宅或公共建筑的房间门、窗洞口的净距不应小于GB50028-2006中6.3.15条的规定：中压管道不应小于0.5m，低压管道不应小于0.3m。</w:t>
      </w:r>
    </w:p>
    <w:p w14:paraId="47B11E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4.4.2.3室外架空燃气管道与其他管线交叉的垂直净距见下表3.4-3的规定：</w:t>
      </w:r>
    </w:p>
    <w:p w14:paraId="7102A0AC">
      <w:pPr>
        <w:spacing w:line="360" w:lineRule="auto"/>
        <w:ind w:left="105" w:leftChars="50"/>
        <w:jc w:val="center"/>
        <w:rPr>
          <w:b/>
          <w:bCs/>
          <w:szCs w:val="21"/>
        </w:rPr>
      </w:pPr>
      <w:r>
        <w:rPr>
          <w:b/>
          <w:bCs/>
          <w:szCs w:val="21"/>
        </w:rPr>
        <w:t>表3.4-3  室外架空燃气管道与其他管线交叉的垂直净距（m）</w:t>
      </w:r>
    </w:p>
    <w:tbl>
      <w:tblPr>
        <w:tblStyle w:val="2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8"/>
        <w:gridCol w:w="2509"/>
        <w:gridCol w:w="2509"/>
        <w:gridCol w:w="2509"/>
      </w:tblGrid>
      <w:tr w14:paraId="7EF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restart"/>
            <w:shd w:val="clear" w:color="auto" w:fill="E7E6E6"/>
            <w:vAlign w:val="center"/>
          </w:tcPr>
          <w:p w14:paraId="3C6C7656">
            <w:pPr>
              <w:pStyle w:val="65"/>
              <w:widowControl w:val="0"/>
              <w:spacing w:line="240" w:lineRule="auto"/>
              <w:ind w:firstLine="0" w:firstLineChars="0"/>
              <w:jc w:val="center"/>
              <w:rPr>
                <w:sz w:val="21"/>
              </w:rPr>
            </w:pPr>
            <w:r>
              <w:rPr>
                <w:sz w:val="21"/>
              </w:rPr>
              <w:t>建筑物和管线名称</w:t>
            </w:r>
          </w:p>
        </w:tc>
        <w:tc>
          <w:tcPr>
            <w:tcW w:w="5018" w:type="dxa"/>
            <w:gridSpan w:val="2"/>
            <w:shd w:val="clear" w:color="auto" w:fill="E7E6E6"/>
            <w:vAlign w:val="center"/>
          </w:tcPr>
          <w:p w14:paraId="7382D48E">
            <w:pPr>
              <w:pStyle w:val="65"/>
              <w:widowControl w:val="0"/>
              <w:spacing w:line="240" w:lineRule="auto"/>
              <w:ind w:firstLine="0" w:firstLineChars="0"/>
              <w:jc w:val="center"/>
              <w:rPr>
                <w:sz w:val="21"/>
              </w:rPr>
            </w:pPr>
            <w:r>
              <w:rPr>
                <w:sz w:val="21"/>
              </w:rPr>
              <w:t>最小垂直净距（m）</w:t>
            </w:r>
          </w:p>
        </w:tc>
      </w:tr>
      <w:tr w14:paraId="73F9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continue"/>
            <w:shd w:val="clear" w:color="auto" w:fill="E7E6E6"/>
            <w:vAlign w:val="center"/>
          </w:tcPr>
          <w:p w14:paraId="0E988985">
            <w:pPr>
              <w:pStyle w:val="65"/>
              <w:widowControl w:val="0"/>
              <w:spacing w:line="240" w:lineRule="auto"/>
              <w:ind w:firstLine="0" w:firstLineChars="0"/>
              <w:jc w:val="center"/>
              <w:rPr>
                <w:sz w:val="21"/>
              </w:rPr>
            </w:pPr>
          </w:p>
        </w:tc>
        <w:tc>
          <w:tcPr>
            <w:tcW w:w="2509" w:type="dxa"/>
            <w:shd w:val="clear" w:color="auto" w:fill="E7E6E6"/>
            <w:vAlign w:val="center"/>
          </w:tcPr>
          <w:p w14:paraId="49F8AB90">
            <w:pPr>
              <w:pStyle w:val="65"/>
              <w:widowControl w:val="0"/>
              <w:spacing w:line="240" w:lineRule="auto"/>
              <w:ind w:firstLine="0" w:firstLineChars="0"/>
              <w:jc w:val="center"/>
              <w:rPr>
                <w:sz w:val="21"/>
              </w:rPr>
            </w:pPr>
            <w:r>
              <w:rPr>
                <w:sz w:val="21"/>
              </w:rPr>
              <w:t>燃气管道下</w:t>
            </w:r>
          </w:p>
        </w:tc>
        <w:tc>
          <w:tcPr>
            <w:tcW w:w="2509" w:type="dxa"/>
            <w:shd w:val="clear" w:color="auto" w:fill="E7E6E6"/>
            <w:vAlign w:val="center"/>
          </w:tcPr>
          <w:p w14:paraId="7ED2A101">
            <w:pPr>
              <w:pStyle w:val="65"/>
              <w:widowControl w:val="0"/>
              <w:spacing w:line="240" w:lineRule="auto"/>
              <w:ind w:firstLine="0" w:firstLineChars="0"/>
              <w:jc w:val="center"/>
              <w:rPr>
                <w:sz w:val="21"/>
              </w:rPr>
            </w:pPr>
            <w:r>
              <w:rPr>
                <w:sz w:val="21"/>
              </w:rPr>
              <w:t>燃气管道上</w:t>
            </w:r>
          </w:p>
        </w:tc>
      </w:tr>
      <w:tr w14:paraId="59D0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4A435A13">
            <w:pPr>
              <w:pStyle w:val="65"/>
              <w:widowControl w:val="0"/>
              <w:spacing w:line="240" w:lineRule="auto"/>
              <w:ind w:firstLine="0" w:firstLineChars="0"/>
              <w:jc w:val="center"/>
              <w:rPr>
                <w:sz w:val="21"/>
              </w:rPr>
            </w:pPr>
            <w:r>
              <w:rPr>
                <w:sz w:val="21"/>
              </w:rPr>
              <w:t>架空电力线，电压</w:t>
            </w:r>
          </w:p>
        </w:tc>
        <w:tc>
          <w:tcPr>
            <w:tcW w:w="2509" w:type="dxa"/>
            <w:vAlign w:val="center"/>
          </w:tcPr>
          <w:p w14:paraId="53E991E0">
            <w:pPr>
              <w:pStyle w:val="65"/>
              <w:widowControl w:val="0"/>
              <w:spacing w:line="240" w:lineRule="auto"/>
              <w:ind w:firstLine="0" w:firstLineChars="0"/>
              <w:jc w:val="center"/>
              <w:rPr>
                <w:sz w:val="21"/>
              </w:rPr>
            </w:pPr>
            <w:r>
              <w:rPr>
                <w:sz w:val="21"/>
              </w:rPr>
              <w:t>3kV以下</w:t>
            </w:r>
          </w:p>
        </w:tc>
        <w:tc>
          <w:tcPr>
            <w:tcW w:w="2509" w:type="dxa"/>
            <w:vAlign w:val="center"/>
          </w:tcPr>
          <w:p w14:paraId="70880572">
            <w:pPr>
              <w:pStyle w:val="65"/>
              <w:widowControl w:val="0"/>
              <w:spacing w:line="240" w:lineRule="auto"/>
              <w:ind w:firstLine="0" w:firstLineChars="0"/>
              <w:jc w:val="center"/>
              <w:rPr>
                <w:sz w:val="21"/>
              </w:rPr>
            </w:pPr>
            <w:r>
              <w:rPr>
                <w:sz w:val="21"/>
              </w:rPr>
              <w:t>-</w:t>
            </w:r>
          </w:p>
        </w:tc>
        <w:tc>
          <w:tcPr>
            <w:tcW w:w="2509" w:type="dxa"/>
            <w:vAlign w:val="center"/>
          </w:tcPr>
          <w:p w14:paraId="252B06C2">
            <w:pPr>
              <w:pStyle w:val="65"/>
              <w:widowControl w:val="0"/>
              <w:spacing w:line="240" w:lineRule="auto"/>
              <w:ind w:firstLine="0" w:firstLineChars="0"/>
              <w:jc w:val="center"/>
              <w:rPr>
                <w:sz w:val="21"/>
              </w:rPr>
            </w:pPr>
            <w:r>
              <w:rPr>
                <w:sz w:val="21"/>
              </w:rPr>
              <w:t>1.5</w:t>
            </w:r>
          </w:p>
        </w:tc>
      </w:tr>
      <w:tr w14:paraId="44F2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26A6D59F">
            <w:pPr>
              <w:pStyle w:val="65"/>
              <w:widowControl w:val="0"/>
              <w:spacing w:line="240" w:lineRule="auto"/>
              <w:ind w:firstLine="0" w:firstLineChars="0"/>
              <w:jc w:val="center"/>
              <w:rPr>
                <w:sz w:val="21"/>
              </w:rPr>
            </w:pPr>
          </w:p>
        </w:tc>
        <w:tc>
          <w:tcPr>
            <w:tcW w:w="2509" w:type="dxa"/>
            <w:vAlign w:val="center"/>
          </w:tcPr>
          <w:p w14:paraId="7E4A06A8">
            <w:pPr>
              <w:pStyle w:val="65"/>
              <w:widowControl w:val="0"/>
              <w:spacing w:line="240" w:lineRule="auto"/>
              <w:ind w:firstLine="0" w:firstLineChars="0"/>
              <w:jc w:val="center"/>
              <w:rPr>
                <w:sz w:val="21"/>
              </w:rPr>
            </w:pPr>
            <w:r>
              <w:rPr>
                <w:sz w:val="21"/>
              </w:rPr>
              <w:t>3~10kV</w:t>
            </w:r>
          </w:p>
        </w:tc>
        <w:tc>
          <w:tcPr>
            <w:tcW w:w="2509" w:type="dxa"/>
            <w:vAlign w:val="center"/>
          </w:tcPr>
          <w:p w14:paraId="59FB4237">
            <w:pPr>
              <w:pStyle w:val="65"/>
              <w:widowControl w:val="0"/>
              <w:spacing w:line="240" w:lineRule="auto"/>
              <w:ind w:firstLine="0" w:firstLineChars="0"/>
              <w:jc w:val="center"/>
              <w:rPr>
                <w:sz w:val="21"/>
              </w:rPr>
            </w:pPr>
            <w:r>
              <w:rPr>
                <w:sz w:val="21"/>
              </w:rPr>
              <w:t>-</w:t>
            </w:r>
          </w:p>
        </w:tc>
        <w:tc>
          <w:tcPr>
            <w:tcW w:w="2509" w:type="dxa"/>
            <w:vAlign w:val="center"/>
          </w:tcPr>
          <w:p w14:paraId="44743183">
            <w:pPr>
              <w:pStyle w:val="65"/>
              <w:widowControl w:val="0"/>
              <w:spacing w:line="240" w:lineRule="auto"/>
              <w:ind w:firstLine="0" w:firstLineChars="0"/>
              <w:jc w:val="center"/>
              <w:rPr>
                <w:sz w:val="21"/>
              </w:rPr>
            </w:pPr>
            <w:r>
              <w:rPr>
                <w:sz w:val="21"/>
              </w:rPr>
              <w:t>3.0</w:t>
            </w:r>
          </w:p>
        </w:tc>
      </w:tr>
      <w:tr w14:paraId="5557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1301EC94">
            <w:pPr>
              <w:pStyle w:val="65"/>
              <w:widowControl w:val="0"/>
              <w:spacing w:line="240" w:lineRule="auto"/>
              <w:ind w:firstLine="0" w:firstLineChars="0"/>
              <w:jc w:val="center"/>
              <w:rPr>
                <w:sz w:val="21"/>
              </w:rPr>
            </w:pPr>
          </w:p>
        </w:tc>
        <w:tc>
          <w:tcPr>
            <w:tcW w:w="2509" w:type="dxa"/>
            <w:vAlign w:val="center"/>
          </w:tcPr>
          <w:p w14:paraId="54E31E22">
            <w:pPr>
              <w:pStyle w:val="65"/>
              <w:widowControl w:val="0"/>
              <w:spacing w:line="240" w:lineRule="auto"/>
              <w:ind w:firstLine="0" w:firstLineChars="0"/>
              <w:jc w:val="center"/>
              <w:rPr>
                <w:sz w:val="21"/>
              </w:rPr>
            </w:pPr>
            <w:r>
              <w:rPr>
                <w:sz w:val="21"/>
              </w:rPr>
              <w:t>35~66kV</w:t>
            </w:r>
          </w:p>
        </w:tc>
        <w:tc>
          <w:tcPr>
            <w:tcW w:w="2509" w:type="dxa"/>
            <w:vAlign w:val="center"/>
          </w:tcPr>
          <w:p w14:paraId="4BE14AA9">
            <w:pPr>
              <w:pStyle w:val="65"/>
              <w:widowControl w:val="0"/>
              <w:spacing w:line="240" w:lineRule="auto"/>
              <w:ind w:firstLine="0" w:firstLineChars="0"/>
              <w:jc w:val="center"/>
              <w:rPr>
                <w:sz w:val="21"/>
              </w:rPr>
            </w:pPr>
            <w:r>
              <w:rPr>
                <w:sz w:val="21"/>
              </w:rPr>
              <w:t>-</w:t>
            </w:r>
          </w:p>
        </w:tc>
        <w:tc>
          <w:tcPr>
            <w:tcW w:w="2509" w:type="dxa"/>
            <w:vAlign w:val="center"/>
          </w:tcPr>
          <w:p w14:paraId="58BAD652">
            <w:pPr>
              <w:pStyle w:val="65"/>
              <w:widowControl w:val="0"/>
              <w:spacing w:line="240" w:lineRule="auto"/>
              <w:ind w:firstLine="0" w:firstLineChars="0"/>
              <w:jc w:val="center"/>
              <w:rPr>
                <w:sz w:val="21"/>
              </w:rPr>
            </w:pPr>
            <w:r>
              <w:rPr>
                <w:sz w:val="21"/>
              </w:rPr>
              <w:t>4.0</w:t>
            </w:r>
          </w:p>
        </w:tc>
      </w:tr>
      <w:tr w14:paraId="1264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51CAD054">
            <w:pPr>
              <w:pStyle w:val="65"/>
              <w:widowControl w:val="0"/>
              <w:spacing w:line="240" w:lineRule="auto"/>
              <w:ind w:firstLine="0" w:firstLineChars="0"/>
              <w:jc w:val="center"/>
              <w:rPr>
                <w:sz w:val="21"/>
              </w:rPr>
            </w:pPr>
            <w:r>
              <w:rPr>
                <w:sz w:val="21"/>
              </w:rPr>
              <w:t>其他管道，管径</w:t>
            </w:r>
          </w:p>
        </w:tc>
        <w:tc>
          <w:tcPr>
            <w:tcW w:w="2509" w:type="dxa"/>
            <w:vAlign w:val="center"/>
          </w:tcPr>
          <w:p w14:paraId="4536B13B">
            <w:pPr>
              <w:pStyle w:val="65"/>
              <w:widowControl w:val="0"/>
              <w:spacing w:line="240" w:lineRule="auto"/>
              <w:ind w:firstLine="0" w:firstLineChars="0"/>
              <w:jc w:val="center"/>
              <w:rPr>
                <w:sz w:val="21"/>
              </w:rPr>
            </w:pPr>
            <w:r>
              <w:rPr>
                <w:sz w:val="21"/>
              </w:rPr>
              <w:t>≤300mm</w:t>
            </w:r>
          </w:p>
        </w:tc>
        <w:tc>
          <w:tcPr>
            <w:tcW w:w="2509" w:type="dxa"/>
            <w:vAlign w:val="center"/>
          </w:tcPr>
          <w:p w14:paraId="1EC58CEC">
            <w:pPr>
              <w:pStyle w:val="65"/>
              <w:widowControl w:val="0"/>
              <w:spacing w:line="240" w:lineRule="auto"/>
              <w:ind w:firstLine="0" w:firstLineChars="0"/>
              <w:jc w:val="center"/>
              <w:rPr>
                <w:sz w:val="21"/>
              </w:rPr>
            </w:pPr>
            <w:r>
              <w:rPr>
                <w:sz w:val="21"/>
              </w:rPr>
              <w:t>同管道直径但不小于0.10</w:t>
            </w:r>
          </w:p>
        </w:tc>
        <w:tc>
          <w:tcPr>
            <w:tcW w:w="2509" w:type="dxa"/>
            <w:vAlign w:val="center"/>
          </w:tcPr>
          <w:p w14:paraId="3BEEAB0A">
            <w:pPr>
              <w:pStyle w:val="65"/>
              <w:widowControl w:val="0"/>
              <w:spacing w:line="240" w:lineRule="auto"/>
              <w:ind w:firstLine="0" w:firstLineChars="0"/>
              <w:jc w:val="center"/>
              <w:rPr>
                <w:sz w:val="21"/>
              </w:rPr>
            </w:pPr>
            <w:r>
              <w:rPr>
                <w:sz w:val="21"/>
              </w:rPr>
              <w:t>同左</w:t>
            </w:r>
          </w:p>
        </w:tc>
      </w:tr>
      <w:tr w14:paraId="1A1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65393649">
            <w:pPr>
              <w:pStyle w:val="65"/>
              <w:widowControl w:val="0"/>
              <w:spacing w:line="240" w:lineRule="auto"/>
              <w:ind w:firstLine="0" w:firstLineChars="0"/>
              <w:jc w:val="center"/>
              <w:rPr>
                <w:sz w:val="21"/>
              </w:rPr>
            </w:pPr>
          </w:p>
        </w:tc>
        <w:tc>
          <w:tcPr>
            <w:tcW w:w="2509" w:type="dxa"/>
            <w:vAlign w:val="center"/>
          </w:tcPr>
          <w:p w14:paraId="7DC7ADA3">
            <w:pPr>
              <w:pStyle w:val="65"/>
              <w:widowControl w:val="0"/>
              <w:spacing w:line="240" w:lineRule="auto"/>
              <w:ind w:firstLine="0" w:firstLineChars="0"/>
              <w:jc w:val="center"/>
              <w:rPr>
                <w:sz w:val="21"/>
              </w:rPr>
            </w:pPr>
            <w:r>
              <w:rPr>
                <w:sz w:val="21"/>
              </w:rPr>
              <w:t>＞300mm</w:t>
            </w:r>
          </w:p>
        </w:tc>
        <w:tc>
          <w:tcPr>
            <w:tcW w:w="2509" w:type="dxa"/>
            <w:vAlign w:val="center"/>
          </w:tcPr>
          <w:p w14:paraId="2F65053A">
            <w:pPr>
              <w:pStyle w:val="65"/>
              <w:widowControl w:val="0"/>
              <w:spacing w:line="240" w:lineRule="auto"/>
              <w:ind w:firstLine="0" w:firstLineChars="0"/>
              <w:jc w:val="center"/>
              <w:rPr>
                <w:sz w:val="21"/>
              </w:rPr>
            </w:pPr>
            <w:r>
              <w:rPr>
                <w:sz w:val="21"/>
              </w:rPr>
              <w:t>0.30</w:t>
            </w:r>
          </w:p>
        </w:tc>
        <w:tc>
          <w:tcPr>
            <w:tcW w:w="2509" w:type="dxa"/>
            <w:vAlign w:val="center"/>
          </w:tcPr>
          <w:p w14:paraId="33EC5589">
            <w:pPr>
              <w:pStyle w:val="65"/>
              <w:widowControl w:val="0"/>
              <w:spacing w:line="240" w:lineRule="auto"/>
              <w:ind w:firstLine="0" w:firstLineChars="0"/>
              <w:jc w:val="center"/>
              <w:rPr>
                <w:sz w:val="21"/>
              </w:rPr>
            </w:pPr>
            <w:r>
              <w:rPr>
                <w:sz w:val="21"/>
              </w:rPr>
              <w:t>0.30</w:t>
            </w:r>
          </w:p>
        </w:tc>
      </w:tr>
    </w:tbl>
    <w:p w14:paraId="59A18586">
      <w:pPr>
        <w:pStyle w:val="65"/>
        <w:ind w:firstLine="420"/>
        <w:rPr>
          <w:sz w:val="21"/>
        </w:rPr>
      </w:pPr>
      <w:r>
        <w:rPr>
          <w:sz w:val="21"/>
        </w:rPr>
        <w:t>注：架空电力线与燃气管道的交叉垂直净距尚应考虑导线的最大垂度。</w:t>
      </w:r>
    </w:p>
    <w:p w14:paraId="16CDA1CC">
      <w:pPr>
        <w:pStyle w:val="65"/>
        <w:widowControl w:val="0"/>
        <w:ind w:firstLine="420"/>
        <w:rPr>
          <w:rFonts w:hint="eastAsia" w:ascii="宋体" w:hAnsi="宋体" w:eastAsia="宋体" w:cs="Times New Roman"/>
          <w:kern w:val="0"/>
          <w:sz w:val="24"/>
          <w:szCs w:val="24"/>
          <w:highlight w:val="none"/>
          <w:lang w:val="en-US" w:eastAsia="zh-CN" w:bidi="ar-SA"/>
        </w:rPr>
      </w:pPr>
      <w:bookmarkStart w:id="95" w:name="_Toc449356255"/>
      <w:bookmarkStart w:id="96" w:name="_Toc163741358"/>
      <w:bookmarkStart w:id="97" w:name="_Toc438132861"/>
      <w:bookmarkStart w:id="98" w:name="_Toc410132163"/>
      <w:bookmarkStart w:id="99" w:name="_Toc417980895"/>
      <w:r>
        <w:rPr>
          <w:rFonts w:hint="eastAsia" w:ascii="宋体" w:hAnsi="宋体" w:eastAsia="宋体" w:cs="Times New Roman"/>
          <w:kern w:val="0"/>
          <w:sz w:val="24"/>
          <w:szCs w:val="24"/>
          <w:highlight w:val="none"/>
          <w:lang w:val="en-US" w:eastAsia="zh-CN" w:bidi="ar-SA"/>
        </w:rPr>
        <w:t>4.5防腐</w:t>
      </w:r>
      <w:bookmarkEnd w:id="95"/>
      <w:bookmarkEnd w:id="96"/>
      <w:bookmarkEnd w:id="97"/>
      <w:bookmarkEnd w:id="98"/>
      <w:bookmarkEnd w:id="99"/>
    </w:p>
    <w:p w14:paraId="18E9EC82">
      <w:pPr>
        <w:pStyle w:val="65"/>
        <w:widowControl w:val="0"/>
        <w:ind w:firstLine="420"/>
        <w:rPr>
          <w:rFonts w:hint="eastAsia" w:ascii="宋体" w:hAnsi="宋体" w:eastAsia="宋体" w:cs="Times New Roman"/>
          <w:kern w:val="0"/>
          <w:sz w:val="24"/>
          <w:szCs w:val="24"/>
          <w:highlight w:val="none"/>
          <w:lang w:val="en-US" w:eastAsia="zh-CN" w:bidi="ar-SA"/>
        </w:rPr>
      </w:pPr>
      <w:bookmarkStart w:id="100" w:name="_Toc464551578"/>
      <w:bookmarkStart w:id="101" w:name="_Toc508892146"/>
      <w:bookmarkStart w:id="102" w:name="_Toc529972692"/>
      <w:r>
        <w:rPr>
          <w:rFonts w:hint="eastAsia" w:ascii="宋体" w:hAnsi="宋体" w:eastAsia="宋体" w:cs="Times New Roman"/>
          <w:kern w:val="0"/>
          <w:sz w:val="24"/>
          <w:szCs w:val="24"/>
          <w:highlight w:val="none"/>
          <w:lang w:val="en-US" w:eastAsia="zh-CN" w:bidi="ar-SA"/>
        </w:rPr>
        <w:t>4.5.1埋地钢质管道外防腐</w:t>
      </w:r>
      <w:bookmarkEnd w:id="100"/>
      <w:bookmarkEnd w:id="101"/>
      <w:bookmarkEnd w:id="102"/>
    </w:p>
    <w:p w14:paraId="557006C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4.5.1.1直管段外防腐预制</w:t>
      </w:r>
    </w:p>
    <w:p w14:paraId="63E3D62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本工程埋地管道外防腐采用聚乙烯三层PE加强级绝缘防腐，埋地钢质管道聚乙烯防腐由厂家工厂内预制，质量应符合《埋地钢质管道聚乙烯防腐层》GB/T23257-2017的相关要求。</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防腐前钢质管道应彻底除锈至露出金属光泽，然后按《涂装前钢材表面处理规范》SY/T0407-2012的标准进行手工除锈，表面处理应达到GB/T 8923.1-2011中规定的St3级要求；防腐层最小厚度不小于2.5mm；管端预留长度（钢管裸露部分）应为：100～120mm，且聚乙烯层端面应形成小于或等于30°的倒角。</w:t>
      </w:r>
      <w:bookmarkStart w:id="103" w:name="_Toc508892147"/>
      <w:bookmarkStart w:id="104" w:name="_Toc464551579"/>
      <w:bookmarkStart w:id="105" w:name="_Toc529972693"/>
    </w:p>
    <w:p w14:paraId="25FCDE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4.5.1.2防腐层补口、补伤</w:t>
      </w:r>
    </w:p>
    <w:p w14:paraId="2EC57A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1）管道环向对接焊缝防腐层补口采用带配套底漆的三层结构辐射交联聚乙烯热收缩套防腐，热收缩套材料应符合《埋地钢质管道聚乙烯防腐层》GB/T23257-2017的相关规定。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2）补口部位的钢管表面处理质量应达到《涂覆涂料前钢材表面处理 表面清洁度的目视评定 第1部分：未涂覆过的钢材表面和全面清除原有涂层后的钢材表面的锈蚀等级和处理等级》GB/T 8923.1-2011规定的St3级。除锈完毕后，应清除灰尘，灰尘度等级应不低于GB/T18570.3规定的3级。管口表面处理与补口间隔时间不宜超过2h，如果有浮锈，应重新除锈。</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3）管道补口及补伤均应按照《埋地钢质管道聚乙烯防腐层》GB/T23257-2017第9章规定施工。补口部位表面处理后，再使用火焰加热器对补口部位的钢管表面和涂层搭接部位进行加热，预热温度须在产品说明书要求的范围内。钢管未达到规定的预热温度和过高的预热温度禁止进行补口作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底漆应按生产厂使用说明书进行调配并均匀涂刷在补口部位的钢管表面，底漆的湿膜厚度应不小于150µm。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热收缩套与直管的聚乙烯防腐层搭接宽度不应小于100mm。采用热收缩带时，应采用固定片固定，周向搭接宽度不应小于80mm。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防腐补口完毕进行外观、粘结力和电火花检漏。安装完毕的热收缩套（带）表面应光滑平整、无皱折、无气泡，涂层两端坡角处与热收缩套（带）贴合紧密，无空隙，表面没有烧焦碳化现象，热收缩带周向四周应有胶粘剂均匀溢出。固定片与热收缩带搭接部位的滑移量不应大于5mm。每一个补口应在冷却后用电火花检漏仪进行漏电检查，检漏电压15kV，若有漏点应重新补口并检漏，直到合格。补口后热收缩套（带）剥离强度按《埋地钢质管道聚乙烯防腐层》GB/T23257-2017附录K规定的方法进行检验。补口防腐层剥离强度测定应在补口施工完成24h后进行，检验时的管体温度宜为15℃~25℃，对钢管和聚乙烯防腐层的剥离强度都应不小于50N/cm并80%表面呈内聚破坏，当剥离强度超过100N/cm时，可以呈界面破坏，剥离面的底漆应完整附着在钢管表面。每100个补口至少抽测一个口，如不合格，应加倍抽查。若加倍抽查仍不合格，则对应的100个补口应全部返修。</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4）补伤采用聚乙烯热收缩补伤片补伤。</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当防腐层损伤直径不大于30mm的损伤（包括针孔），损伤处未露管材，直接采用补伤片补伤，损伤处露管材，除锈后先采用环氧树脂涂刷，然后用补伤片补伤；当防腐层损伤直径大于30mm的损伤，先用补伤片进行补伤，然后用热收缩套包覆。</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损伤处露出管材时，表面除锈处理质量应达到《涂覆涂料前钢材表面处理 表面清洁度的目视评定 第2部分：已涂覆过的钢材表面局部清除原有涂层后的处理等级》GB/T8923.2-2008规定的P St3级。</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每处补伤均应采用电火花检测，检漏电压为15kV。补伤后，应进行外观、漏点及剥离强度检验。检验要求按照《埋地钢质管道聚乙烯防腐层》GB/T23257-2017规范的规定执行</w:t>
      </w:r>
    </w:p>
    <w:p w14:paraId="3F92E1B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4.5.2管件外防腐</w:t>
      </w:r>
    </w:p>
    <w:p w14:paraId="2250D48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钢质弯头、异径接头、管帽外防腐采用三层辐射交联聚乙烯热收缩套虾米状连续搭接包覆，热收缩套收缩前基材厚度≥1.2mm；胶层厚度≥1.0mm；其材料性能指标及施工应符合《埋地钢质管道聚乙烯防腐层》GB/T23257-2017的要求。</w:t>
      </w:r>
    </w:p>
    <w:p w14:paraId="5E4E75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表面处理应采用手工除锈，质量应达到GB/T8923.1-2011 规定的St3级。</w:t>
      </w:r>
    </w:p>
    <w:p w14:paraId="24F71F0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弯头采用热收缩套包覆，施工时应从中间开始向两端施工。</w:t>
      </w:r>
    </w:p>
    <w:p w14:paraId="0EF431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弯头用热收缩套施工与补口用热收缩套施工操作应一致。</w:t>
      </w:r>
    </w:p>
    <w:p w14:paraId="581A19D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热收缩套搭接部位应打毛。</w:t>
      </w:r>
    </w:p>
    <w:p w14:paraId="0BAA1A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热收缩套间叠加搭接长度不应小于50mm（热收缩之后的长度）。</w:t>
      </w:r>
    </w:p>
    <w:p w14:paraId="731C531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三通等不规则件管件补口采用聚乙烯胶粘带防腐。</w:t>
      </w:r>
    </w:p>
    <w:p w14:paraId="60348C9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4.5.3埋地管段至出地高度0.2m处，采用热收缩套防腐</w:t>
      </w:r>
    </w:p>
    <w:p w14:paraId="39521A1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4.5.4钢质管道电火花检测</w:t>
      </w:r>
    </w:p>
    <w:p w14:paraId="1DE4E2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下沟前、下沟后应对防腐层进行100%的外观检查并应采用电火花检漏仪进行全面检验，检漏电压为15kV，如有漏点应进行修补至合格，并填写记录。补口、补伤及埋地阀门采用15kV的检漏电压进行100%电火花检漏，发现漏点应及时修补合格。</w:t>
      </w:r>
    </w:p>
    <w:p w14:paraId="7872CF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4.5.6露空碳钢管道及设备外防腐</w:t>
      </w:r>
      <w:bookmarkEnd w:id="103"/>
      <w:bookmarkEnd w:id="104"/>
      <w:bookmarkEnd w:id="105"/>
      <w:r>
        <w:rPr>
          <w:rFonts w:hint="eastAsia" w:ascii="宋体" w:hAnsi="宋体" w:eastAsia="宋体" w:cs="Times New Roman"/>
          <w:kern w:val="0"/>
          <w:sz w:val="24"/>
          <w:szCs w:val="24"/>
          <w:highlight w:val="none"/>
          <w:lang w:val="en-US" w:eastAsia="zh-CN" w:bidi="ar-SA"/>
        </w:rPr>
        <w:t>涂装</w:t>
      </w:r>
    </w:p>
    <w:p w14:paraId="18E68A6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4.5.6.1一般规定</w:t>
      </w:r>
    </w:p>
    <w:p w14:paraId="3E8D882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本工程露空管道、设备、管件均采用红丹底漆，黄色面漆（醇酸磁漆）涂料进行外防腐，应按照《石油天然气工程管道和设备涂色规范》SY/T0043-2020的要求执行。</w:t>
      </w:r>
    </w:p>
    <w:p w14:paraId="732A3C3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4.5.6.2表面处理</w:t>
      </w:r>
    </w:p>
    <w:p w14:paraId="25539D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钢管表面除锈前，应清除钢管表面的焊渣、毛刺，并用适当的方法将附着在钢管外表面的油、油脂及任何其它杂质清除干净。</w:t>
      </w:r>
    </w:p>
    <w:p w14:paraId="07CEF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金属表面除锈宜采用喷射除锈方式，除锈等级应达到《涂覆涂料前钢材表面处理表面清洁度的目视评定第1部分：未涂覆过的钢材表面和全面清除原有涂层后的钢材表面的锈蚀等级和处理等级》GB/T 8923.1-2011规定的Sa2½级。工艺区内露空金属设备出厂附带的车间底漆应在喷射除锈后完全去除。</w:t>
      </w:r>
    </w:p>
    <w:p w14:paraId="72E1C8D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受现场施工条件（例如阀门等难以进行喷射除锈的部件）限制时，可采用电动工具除锈，除锈等级应达到《涂覆涂料前钢材表面处理表面清洁度的目视评定第1部分：未涂覆过的钢材表面和全面清除原有涂层后的钢材表面的锈蚀等级和处理等级》GB/T 8923.1-2011规定的St3级。</w:t>
      </w:r>
    </w:p>
    <w:p w14:paraId="7E227A2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除锈合格后，及时将附着在金属表面的磨料和灰尘清除干净。</w:t>
      </w:r>
    </w:p>
    <w:p w14:paraId="3F88BC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金属表面预处理后至涂底漆前的时间间隔应控制在4h内，期间应防止金属表面受潮和污染。涂底漆前，如出现返锈或表面污染时，必须重新进行表面预处理。</w:t>
      </w:r>
    </w:p>
    <w:p w14:paraId="0DC2B61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管线和设备刷漆</w:t>
      </w:r>
    </w:p>
    <w:p w14:paraId="4872F75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可采用高压无气喷涂或刷涂，防腐层喷涂厚度：红丹底漆（干膜厚度≥60μm）+醇酸磁漆（干膜厚度≥80μm），涂层干膜总厚度应≥200μm。施工应执行《石油化工设备和管道涂料防腐蚀设计标准》SH/T 3022-2019的相关要求。</w:t>
      </w:r>
    </w:p>
    <w:p w14:paraId="08D5AB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面漆颜色、涂装界面规定：应符合《石油天然气工程管道和设备涂色规范》SY/T0043-2020。</w:t>
      </w:r>
    </w:p>
    <w:p w14:paraId="0DA4BB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现场施工中应注意：法兰安装连接好后，必须将连接法兰面、螺栓、螺母完全涂装，确保涂层的完整性。阀门手轮颜色同阀门本体颜色一致。设备配管为法兰连接的以法兰端面为喷漆分界。工艺区内主要管线出入地面弯头处应用箭头标明气流方向，箭头采用喷涂，颜色为红色，箭头大小形状应符合《石油天然气工程管道和设备涂色规范》SY/T0043-2020的要求。</w:t>
      </w:r>
    </w:p>
    <w:p w14:paraId="62AD2A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质量检测：外观应均匀、无气泡、无裂痕等缺陷。干膜厚度大于或等于设计厚度值的检测点，应占检测点总数的90%以上；其它检测点厚度也不应低于设计厚度值的90%。涂层针孔检测应执行《管道防腐层检漏试验方法》SY/T0063-1999 100%面积检漏，可使用低压湿海绵检漏仪或电火花检漏仪，当采用电火花检漏仪时，检漏电压5V/μm，发现针孔应立即修补。</w:t>
      </w:r>
    </w:p>
    <w:p w14:paraId="67BBEA80">
      <w:pPr>
        <w:pStyle w:val="65"/>
        <w:widowControl w:val="0"/>
        <w:ind w:firstLine="420"/>
        <w:rPr>
          <w:rFonts w:hint="eastAsia" w:ascii="宋体" w:hAnsi="宋体" w:eastAsia="宋体" w:cs="Times New Roman"/>
          <w:kern w:val="0"/>
          <w:sz w:val="24"/>
          <w:szCs w:val="24"/>
          <w:highlight w:val="none"/>
          <w:lang w:val="en-US" w:eastAsia="zh-CN" w:bidi="ar-SA"/>
        </w:rPr>
      </w:pPr>
      <w:bookmarkStart w:id="106" w:name="_Toc460249898"/>
      <w:bookmarkStart w:id="107" w:name="_Toc163741360"/>
      <w:r>
        <w:rPr>
          <w:rFonts w:hint="eastAsia" w:ascii="宋体" w:hAnsi="宋体" w:eastAsia="宋体" w:cs="Times New Roman"/>
          <w:kern w:val="0"/>
          <w:sz w:val="24"/>
          <w:szCs w:val="24"/>
          <w:highlight w:val="none"/>
          <w:lang w:val="en-US" w:eastAsia="zh-CN" w:bidi="ar-SA"/>
        </w:rPr>
        <w:t>4.6管沟开挖及回填</w:t>
      </w:r>
      <w:bookmarkEnd w:id="106"/>
      <w:bookmarkEnd w:id="107"/>
    </w:p>
    <w:p w14:paraId="1B8B182C">
      <w:pPr>
        <w:pStyle w:val="65"/>
        <w:widowControl w:val="0"/>
        <w:ind w:firstLine="420"/>
        <w:rPr>
          <w:rFonts w:hint="eastAsia" w:ascii="宋体" w:hAnsi="宋体" w:eastAsia="宋体" w:cs="Times New Roman"/>
          <w:kern w:val="0"/>
          <w:sz w:val="24"/>
          <w:szCs w:val="24"/>
          <w:highlight w:val="none"/>
          <w:lang w:val="en-US" w:eastAsia="zh-CN" w:bidi="ar-SA"/>
        </w:rPr>
      </w:pPr>
      <w:bookmarkStart w:id="108" w:name="_Toc444695080"/>
      <w:bookmarkStart w:id="109" w:name="_Toc443233527"/>
      <w:r>
        <w:rPr>
          <w:rFonts w:hint="eastAsia" w:ascii="宋体" w:hAnsi="宋体" w:eastAsia="宋体" w:cs="Times New Roman"/>
          <w:kern w:val="0"/>
          <w:sz w:val="24"/>
          <w:szCs w:val="24"/>
          <w:highlight w:val="none"/>
          <w:lang w:val="en-US" w:eastAsia="zh-CN" w:bidi="ar-SA"/>
        </w:rPr>
        <w:t>4.6.1施工单位应建立健全保证施工安全和质量的管理体系。</w:t>
      </w:r>
      <w:bookmarkEnd w:id="108"/>
      <w:bookmarkEnd w:id="109"/>
      <w:bookmarkStart w:id="110" w:name="_Toc444695081"/>
      <w:bookmarkStart w:id="111" w:name="_Toc443233528"/>
    </w:p>
    <w:p w14:paraId="6B9F8F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施工单位应会同建设等有关单位，核对管道路径、相关地下管道以及构筑物的资料，必要时局部开挖核实。</w:t>
      </w:r>
      <w:bookmarkEnd w:id="110"/>
      <w:bookmarkEnd w:id="111"/>
    </w:p>
    <w:p w14:paraId="2508F2EB">
      <w:pPr>
        <w:pStyle w:val="65"/>
        <w:widowControl w:val="0"/>
        <w:ind w:firstLine="420"/>
        <w:rPr>
          <w:rFonts w:hint="eastAsia" w:ascii="宋体" w:hAnsi="宋体" w:eastAsia="宋体" w:cs="Times New Roman"/>
          <w:kern w:val="0"/>
          <w:sz w:val="24"/>
          <w:szCs w:val="24"/>
          <w:highlight w:val="none"/>
          <w:lang w:val="en-US" w:eastAsia="zh-CN" w:bidi="ar-SA"/>
        </w:rPr>
      </w:pPr>
      <w:bookmarkStart w:id="112" w:name="_Toc444695083"/>
      <w:bookmarkStart w:id="113" w:name="_Toc443233530"/>
      <w:r>
        <w:rPr>
          <w:rFonts w:hint="eastAsia" w:ascii="宋体" w:hAnsi="宋体" w:eastAsia="宋体" w:cs="Times New Roman"/>
          <w:kern w:val="0"/>
          <w:sz w:val="24"/>
          <w:szCs w:val="24"/>
          <w:highlight w:val="none"/>
          <w:lang w:val="en-US" w:eastAsia="zh-CN" w:bidi="ar-SA"/>
        </w:rPr>
        <w:t>4.6.2施工前，建设单位应对施工区域内已有地上、地下障碍物，与有关单位协商处理完毕。</w:t>
      </w:r>
      <w:bookmarkEnd w:id="112"/>
      <w:bookmarkEnd w:id="113"/>
    </w:p>
    <w:p w14:paraId="2B149A96">
      <w:pPr>
        <w:pStyle w:val="65"/>
        <w:widowControl w:val="0"/>
        <w:ind w:firstLine="420"/>
        <w:rPr>
          <w:rFonts w:hint="eastAsia" w:ascii="宋体" w:hAnsi="宋体" w:eastAsia="宋体" w:cs="Times New Roman"/>
          <w:kern w:val="0"/>
          <w:sz w:val="24"/>
          <w:szCs w:val="24"/>
          <w:highlight w:val="none"/>
          <w:lang w:val="en-US" w:eastAsia="zh-CN" w:bidi="ar-SA"/>
        </w:rPr>
      </w:pPr>
      <w:bookmarkStart w:id="114" w:name="_Toc443233531"/>
      <w:bookmarkStart w:id="115" w:name="_Toc444695084"/>
      <w:r>
        <w:rPr>
          <w:rFonts w:hint="eastAsia" w:ascii="宋体" w:hAnsi="宋体" w:eastAsia="宋体" w:cs="Times New Roman"/>
          <w:kern w:val="0"/>
          <w:sz w:val="24"/>
          <w:szCs w:val="24"/>
          <w:highlight w:val="none"/>
          <w:lang w:val="en-US" w:eastAsia="zh-CN" w:bidi="ar-SA"/>
        </w:rPr>
        <w:t>4.6.3管道沟槽应按设计文件规定的平面位置和高程开挖。当沟槽内有地下水或采用机械开挖时，槽底的预留值不应小于150mm，并应人工清底至设计高程。当沟槽为石方时，应超挖200mm~ - 300mm，并应采用砂土回填至设计高程。回填时，应先用细土回填至管顶以上0.3m，再用土、砂或粒径小于0.1m的碎石回填并压实，其回填要求及密实度参照《城镇燃气输配工程施工及验收标准》GB/T51455-2023中4.2章节的要求执行。</w:t>
      </w:r>
      <w:bookmarkEnd w:id="114"/>
      <w:bookmarkEnd w:id="115"/>
    </w:p>
    <w:p w14:paraId="2920EFC5">
      <w:pPr>
        <w:pStyle w:val="65"/>
        <w:widowControl w:val="0"/>
        <w:ind w:firstLine="420"/>
        <w:rPr>
          <w:rFonts w:hint="eastAsia" w:ascii="宋体" w:hAnsi="宋体" w:eastAsia="宋体" w:cs="Times New Roman"/>
          <w:kern w:val="0"/>
          <w:sz w:val="24"/>
          <w:szCs w:val="24"/>
          <w:highlight w:val="none"/>
          <w:lang w:val="en-US" w:eastAsia="zh-CN" w:bidi="ar-SA"/>
        </w:rPr>
      </w:pPr>
      <w:bookmarkStart w:id="116" w:name="_Toc444695085"/>
      <w:bookmarkStart w:id="117" w:name="_Toc443233532"/>
      <w:r>
        <w:rPr>
          <w:rFonts w:hint="eastAsia" w:ascii="宋体" w:hAnsi="宋体" w:eastAsia="宋体" w:cs="Times New Roman"/>
          <w:kern w:val="0"/>
          <w:sz w:val="24"/>
          <w:szCs w:val="24"/>
          <w:highlight w:val="none"/>
          <w:lang w:val="en-US" w:eastAsia="zh-CN" w:bidi="ar-SA"/>
        </w:rPr>
        <w:t>4.6.4管沟开挖宽度及坡率应参照《城镇燃气输配工程施工及验收标准》GB/T51455-2023中4.1条的有关规定执行。</w:t>
      </w:r>
      <w:bookmarkEnd w:id="116"/>
      <w:bookmarkEnd w:id="117"/>
    </w:p>
    <w:p w14:paraId="16EF4A62">
      <w:pPr>
        <w:pStyle w:val="65"/>
        <w:widowControl w:val="0"/>
        <w:ind w:firstLine="420"/>
        <w:rPr>
          <w:rFonts w:hint="eastAsia" w:ascii="宋体" w:hAnsi="宋体" w:eastAsia="宋体" w:cs="Times New Roman"/>
          <w:kern w:val="0"/>
          <w:sz w:val="24"/>
          <w:szCs w:val="24"/>
          <w:highlight w:val="none"/>
          <w:lang w:val="en-US" w:eastAsia="zh-CN" w:bidi="ar-SA"/>
        </w:rPr>
      </w:pPr>
      <w:bookmarkStart w:id="118" w:name="_Toc444695086"/>
      <w:bookmarkStart w:id="119" w:name="_Toc443233533"/>
      <w:r>
        <w:rPr>
          <w:rFonts w:hint="eastAsia" w:ascii="宋体" w:hAnsi="宋体" w:eastAsia="宋体" w:cs="Times New Roman"/>
          <w:kern w:val="0"/>
          <w:sz w:val="24"/>
          <w:szCs w:val="24"/>
          <w:highlight w:val="none"/>
          <w:lang w:val="en-US" w:eastAsia="zh-CN" w:bidi="ar-SA"/>
        </w:rPr>
        <w:t>4.6.5沟底遇有废弃构筑物、硬石、木头、垃圾等杂物时必须清除，并应铺一层厚度不小于0.15m的砂土或素土，整平压实至设计高程。</w:t>
      </w:r>
      <w:bookmarkEnd w:id="118"/>
      <w:bookmarkEnd w:id="119"/>
    </w:p>
    <w:p w14:paraId="559B291A">
      <w:pPr>
        <w:pStyle w:val="65"/>
        <w:widowControl w:val="0"/>
        <w:ind w:firstLine="420"/>
        <w:rPr>
          <w:rFonts w:hint="eastAsia" w:ascii="宋体" w:hAnsi="宋体" w:eastAsia="宋体" w:cs="Times New Roman"/>
          <w:kern w:val="0"/>
          <w:sz w:val="24"/>
          <w:szCs w:val="24"/>
          <w:highlight w:val="none"/>
          <w:lang w:val="en-US" w:eastAsia="zh-CN" w:bidi="ar-SA"/>
        </w:rPr>
      </w:pPr>
      <w:bookmarkStart w:id="120" w:name="_Toc444695087"/>
      <w:bookmarkStart w:id="121" w:name="_Toc443233534"/>
      <w:r>
        <w:rPr>
          <w:rFonts w:hint="eastAsia" w:ascii="宋体" w:hAnsi="宋体" w:eastAsia="宋体" w:cs="Times New Roman"/>
          <w:kern w:val="0"/>
          <w:sz w:val="24"/>
          <w:szCs w:val="24"/>
          <w:highlight w:val="none"/>
          <w:lang w:val="en-US" w:eastAsia="zh-CN" w:bidi="ar-SA"/>
        </w:rPr>
        <w:t>4.6.6管道下沟时，应注意避免与沟壁挂碰，必要时应在沟壁突出位置处垫上木板或草袋，以防止擦伤防腐层。</w:t>
      </w:r>
      <w:bookmarkEnd w:id="120"/>
      <w:bookmarkEnd w:id="121"/>
    </w:p>
    <w:p w14:paraId="4228D3A4">
      <w:pPr>
        <w:pStyle w:val="65"/>
        <w:widowControl w:val="0"/>
        <w:ind w:firstLine="420"/>
        <w:rPr>
          <w:rFonts w:hint="eastAsia" w:ascii="宋体" w:hAnsi="宋体" w:eastAsia="宋体" w:cs="Times New Roman"/>
          <w:kern w:val="0"/>
          <w:sz w:val="24"/>
          <w:szCs w:val="24"/>
          <w:highlight w:val="none"/>
          <w:lang w:val="en-US" w:eastAsia="zh-CN" w:bidi="ar-SA"/>
        </w:rPr>
      </w:pPr>
      <w:bookmarkStart w:id="122" w:name="_Toc444695088"/>
      <w:bookmarkStart w:id="123" w:name="_Toc443233535"/>
      <w:r>
        <w:rPr>
          <w:rFonts w:hint="eastAsia" w:ascii="宋体" w:hAnsi="宋体" w:eastAsia="宋体" w:cs="Times New Roman"/>
          <w:kern w:val="0"/>
          <w:sz w:val="24"/>
          <w:szCs w:val="24"/>
          <w:highlight w:val="none"/>
          <w:lang w:val="en-US" w:eastAsia="zh-CN" w:bidi="ar-SA"/>
        </w:rPr>
        <w:t>4.6.7管道主体安装检查合格后，沟槽应及时回填，但需留出未检验的安装接口。回填前，必须将槽底施工遗留的杂物清除干净。</w:t>
      </w:r>
      <w:bookmarkEnd w:id="122"/>
      <w:bookmarkEnd w:id="123"/>
    </w:p>
    <w:p w14:paraId="75413A02">
      <w:pPr>
        <w:pStyle w:val="65"/>
        <w:widowControl w:val="0"/>
        <w:ind w:firstLine="420"/>
        <w:rPr>
          <w:rFonts w:hint="eastAsia" w:ascii="宋体" w:hAnsi="宋体" w:eastAsia="宋体" w:cs="Times New Roman"/>
          <w:kern w:val="0"/>
          <w:sz w:val="24"/>
          <w:szCs w:val="24"/>
          <w:highlight w:val="none"/>
          <w:lang w:val="en-US" w:eastAsia="zh-CN" w:bidi="ar-SA"/>
        </w:rPr>
      </w:pPr>
      <w:bookmarkStart w:id="124" w:name="_Toc444695089"/>
      <w:bookmarkStart w:id="125" w:name="_Toc443233536"/>
      <w:r>
        <w:rPr>
          <w:rFonts w:hint="eastAsia" w:ascii="宋体" w:hAnsi="宋体" w:eastAsia="宋体" w:cs="Times New Roman"/>
          <w:kern w:val="0"/>
          <w:sz w:val="24"/>
          <w:szCs w:val="24"/>
          <w:highlight w:val="none"/>
          <w:lang w:val="en-US" w:eastAsia="zh-CN" w:bidi="ar-SA"/>
        </w:rPr>
        <w:t>4.6.8回填时不得损伤管道及防腐层，不得使其发生位移。管道两侧和管顶以上500mm内的回填材料，应由沟槽两侧对称运入槽内，不得直接回填在管道上。井室周围回填应与沟槽回填同时进行。</w:t>
      </w:r>
      <w:bookmarkEnd w:id="124"/>
      <w:bookmarkEnd w:id="125"/>
    </w:p>
    <w:p w14:paraId="5F1EDC89">
      <w:pPr>
        <w:pStyle w:val="65"/>
        <w:widowControl w:val="0"/>
        <w:ind w:firstLine="420"/>
        <w:rPr>
          <w:rFonts w:hint="eastAsia" w:ascii="宋体" w:hAnsi="宋体" w:eastAsia="宋体" w:cs="Times New Roman"/>
          <w:kern w:val="0"/>
          <w:sz w:val="24"/>
          <w:szCs w:val="24"/>
          <w:highlight w:val="none"/>
          <w:lang w:val="en-US" w:eastAsia="zh-CN" w:bidi="ar-SA"/>
        </w:rPr>
      </w:pPr>
      <w:bookmarkStart w:id="126" w:name="_Toc444695090"/>
      <w:bookmarkStart w:id="127" w:name="_Toc443233537"/>
      <w:r>
        <w:rPr>
          <w:rFonts w:hint="eastAsia" w:ascii="宋体" w:hAnsi="宋体" w:eastAsia="宋体" w:cs="Times New Roman"/>
          <w:kern w:val="0"/>
          <w:sz w:val="24"/>
          <w:szCs w:val="24"/>
          <w:highlight w:val="none"/>
          <w:lang w:val="en-US" w:eastAsia="zh-CN" w:bidi="ar-SA"/>
        </w:rPr>
        <w:t>4.6.9不得采用冻土、垃圾、木材及软性物质回填。管道两侧及管顶以上0.5m内的回填土，应采用砂土或素土，不得含有碎石、砖块等杂物，且不得采用灰土回填。距管顶0.5m以上的回填土中的石块不得多于10%、直径不得大于100mm，且均匀分布。</w:t>
      </w:r>
      <w:bookmarkEnd w:id="126"/>
      <w:bookmarkEnd w:id="127"/>
    </w:p>
    <w:p w14:paraId="7CBBC51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4.6.10回填土应分层压实，每层虚铺厚度见下表</w:t>
      </w:r>
    </w:p>
    <w:tbl>
      <w:tblPr>
        <w:tblStyle w:val="20"/>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5"/>
        <w:gridCol w:w="3736"/>
      </w:tblGrid>
      <w:tr w14:paraId="48B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579758CE">
            <w:pPr>
              <w:pStyle w:val="65"/>
              <w:widowControl w:val="0"/>
              <w:ind w:firstLine="0" w:firstLineChars="0"/>
              <w:jc w:val="center"/>
              <w:rPr>
                <w:sz w:val="21"/>
              </w:rPr>
            </w:pPr>
            <w:r>
              <w:rPr>
                <w:sz w:val="21"/>
              </w:rPr>
              <w:t>压实机具</w:t>
            </w:r>
          </w:p>
        </w:tc>
        <w:tc>
          <w:tcPr>
            <w:tcW w:w="3736" w:type="dxa"/>
            <w:shd w:val="clear" w:color="auto" w:fill="auto"/>
            <w:vAlign w:val="center"/>
          </w:tcPr>
          <w:p w14:paraId="3A9E04F2">
            <w:pPr>
              <w:pStyle w:val="65"/>
              <w:widowControl w:val="0"/>
              <w:ind w:firstLine="0" w:firstLineChars="0"/>
              <w:jc w:val="center"/>
              <w:rPr>
                <w:sz w:val="21"/>
              </w:rPr>
            </w:pPr>
            <w:r>
              <w:rPr>
                <w:sz w:val="21"/>
              </w:rPr>
              <w:t>虚铺厚度</w:t>
            </w:r>
            <w:r>
              <w:rPr>
                <w:rFonts w:hint="eastAsia"/>
                <w:sz w:val="21"/>
              </w:rPr>
              <w:t>（mm）</w:t>
            </w:r>
          </w:p>
        </w:tc>
      </w:tr>
      <w:tr w14:paraId="777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3735" w:type="dxa"/>
            <w:shd w:val="clear" w:color="auto" w:fill="auto"/>
            <w:vAlign w:val="center"/>
          </w:tcPr>
          <w:p w14:paraId="2B7607CA">
            <w:pPr>
              <w:pStyle w:val="65"/>
              <w:widowControl w:val="0"/>
              <w:ind w:firstLine="0" w:firstLineChars="0"/>
              <w:jc w:val="center"/>
              <w:rPr>
                <w:sz w:val="21"/>
              </w:rPr>
            </w:pPr>
            <w:r>
              <w:rPr>
                <w:sz w:val="21"/>
              </w:rPr>
              <w:t>木夯</w:t>
            </w:r>
            <w:r>
              <w:rPr>
                <w:rFonts w:hint="eastAsia"/>
                <w:sz w:val="21"/>
              </w:rPr>
              <w:t>、</w:t>
            </w:r>
            <w:r>
              <w:rPr>
                <w:sz w:val="21"/>
              </w:rPr>
              <w:t>铁夯</w:t>
            </w:r>
          </w:p>
        </w:tc>
        <w:tc>
          <w:tcPr>
            <w:tcW w:w="3736" w:type="dxa"/>
            <w:shd w:val="clear" w:color="auto" w:fill="auto"/>
            <w:vAlign w:val="center"/>
          </w:tcPr>
          <w:p w14:paraId="3F1C2396">
            <w:pPr>
              <w:pStyle w:val="65"/>
              <w:widowControl w:val="0"/>
              <w:ind w:firstLine="0" w:firstLineChars="0"/>
              <w:jc w:val="center"/>
              <w:rPr>
                <w:sz w:val="21"/>
              </w:rPr>
            </w:pPr>
            <w:r>
              <w:rPr>
                <w:rFonts w:hint="eastAsia"/>
                <w:sz w:val="21"/>
              </w:rPr>
              <w:t>≤200</w:t>
            </w:r>
          </w:p>
        </w:tc>
      </w:tr>
      <w:tr w14:paraId="4A1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67520B6">
            <w:pPr>
              <w:pStyle w:val="65"/>
              <w:widowControl w:val="0"/>
              <w:ind w:firstLine="0" w:firstLineChars="0"/>
              <w:jc w:val="center"/>
              <w:rPr>
                <w:sz w:val="21"/>
              </w:rPr>
            </w:pPr>
            <w:r>
              <w:rPr>
                <w:sz w:val="21"/>
              </w:rPr>
              <w:t>轻型压实设备</w:t>
            </w:r>
          </w:p>
        </w:tc>
        <w:tc>
          <w:tcPr>
            <w:tcW w:w="3736" w:type="dxa"/>
            <w:shd w:val="clear" w:color="auto" w:fill="auto"/>
            <w:vAlign w:val="center"/>
          </w:tcPr>
          <w:p w14:paraId="2A65AED7">
            <w:pPr>
              <w:pStyle w:val="65"/>
              <w:widowControl w:val="0"/>
              <w:ind w:firstLine="0" w:firstLineChars="0"/>
              <w:jc w:val="center"/>
              <w:rPr>
                <w:sz w:val="21"/>
              </w:rPr>
            </w:pPr>
            <w:r>
              <w:rPr>
                <w:rFonts w:hint="eastAsia"/>
                <w:sz w:val="21"/>
              </w:rPr>
              <w:t>200~250</w:t>
            </w:r>
          </w:p>
        </w:tc>
      </w:tr>
      <w:tr w14:paraId="05F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6DED3193">
            <w:pPr>
              <w:pStyle w:val="65"/>
              <w:widowControl w:val="0"/>
              <w:ind w:firstLine="0" w:firstLineChars="0"/>
              <w:jc w:val="center"/>
              <w:rPr>
                <w:sz w:val="21"/>
              </w:rPr>
            </w:pPr>
            <w:r>
              <w:rPr>
                <w:sz w:val="21"/>
              </w:rPr>
              <w:t>压路机</w:t>
            </w:r>
          </w:p>
        </w:tc>
        <w:tc>
          <w:tcPr>
            <w:tcW w:w="3736" w:type="dxa"/>
            <w:shd w:val="clear" w:color="auto" w:fill="auto"/>
            <w:vAlign w:val="center"/>
          </w:tcPr>
          <w:p w14:paraId="16A891F4">
            <w:pPr>
              <w:pStyle w:val="65"/>
              <w:widowControl w:val="0"/>
              <w:ind w:firstLine="0" w:firstLineChars="0"/>
              <w:jc w:val="center"/>
              <w:rPr>
                <w:sz w:val="21"/>
              </w:rPr>
            </w:pPr>
            <w:r>
              <w:rPr>
                <w:rFonts w:hint="eastAsia"/>
                <w:sz w:val="21"/>
              </w:rPr>
              <w:t>200~300</w:t>
            </w:r>
          </w:p>
        </w:tc>
      </w:tr>
      <w:tr w14:paraId="33DA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E6C9354">
            <w:pPr>
              <w:pStyle w:val="65"/>
              <w:widowControl w:val="0"/>
              <w:ind w:firstLine="0" w:firstLineChars="0"/>
              <w:jc w:val="center"/>
              <w:rPr>
                <w:sz w:val="21"/>
              </w:rPr>
            </w:pPr>
            <w:r>
              <w:rPr>
                <w:sz w:val="21"/>
              </w:rPr>
              <w:t>振动压路机</w:t>
            </w:r>
          </w:p>
        </w:tc>
        <w:tc>
          <w:tcPr>
            <w:tcW w:w="3736" w:type="dxa"/>
            <w:shd w:val="clear" w:color="auto" w:fill="auto"/>
            <w:vAlign w:val="center"/>
          </w:tcPr>
          <w:p w14:paraId="70CA5F65">
            <w:pPr>
              <w:pStyle w:val="65"/>
              <w:widowControl w:val="0"/>
              <w:ind w:firstLine="0" w:firstLineChars="0"/>
              <w:jc w:val="center"/>
              <w:rPr>
                <w:sz w:val="21"/>
              </w:rPr>
            </w:pPr>
            <w:r>
              <w:rPr>
                <w:rFonts w:hint="eastAsia"/>
                <w:sz w:val="21"/>
              </w:rPr>
              <w:t>≤400</w:t>
            </w:r>
          </w:p>
        </w:tc>
      </w:tr>
    </w:tbl>
    <w:p w14:paraId="14F140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4.6.11回填土压实后，应分层检查密实度，并做好回填记录。管沟各部位的密实度应符合《城镇燃气输配工程施工及验收标准》GB/T51455-2023中第4.2.7条的规定要求。</w:t>
      </w:r>
    </w:p>
    <w:p w14:paraId="572B2CC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4.6.12管道下沟回填后，应及时清理现场，恢复地貌。回填路面的基础和修复路面材料的性能不得低于原基础和路面材料。</w:t>
      </w:r>
    </w:p>
    <w:p w14:paraId="168CC97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4.6.13管沟回填时，应在管顶及管道正上方按《城镇燃气输配工程施工及验收标准》GB/T51455-2023中4.2章节的相关要求设置用户警示带及路面标志。</w:t>
      </w:r>
    </w:p>
    <w:p w14:paraId="013485C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4.6.14地下燃气管道埋深（即管顶距地面）：</w:t>
      </w:r>
    </w:p>
    <w:p w14:paraId="6FAAB53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在机动车不可能到达的地方（钢管）  ≥0.3m</w:t>
      </w:r>
    </w:p>
    <w:p w14:paraId="79F94D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在非机动车道（含人行道）          ≥0.6m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在机动车道（套管顶距地面）        ≥1.2</w:t>
      </w:r>
    </w:p>
    <w:p w14:paraId="7302973F">
      <w:pPr>
        <w:pStyle w:val="65"/>
        <w:widowControl w:val="0"/>
        <w:ind w:firstLine="420"/>
        <w:rPr>
          <w:rFonts w:hint="eastAsia" w:ascii="宋体" w:hAnsi="宋体" w:eastAsia="宋体" w:cs="Times New Roman"/>
          <w:kern w:val="0"/>
          <w:sz w:val="24"/>
          <w:szCs w:val="24"/>
          <w:highlight w:val="none"/>
          <w:lang w:val="en-US" w:eastAsia="zh-CN" w:bidi="ar-SA"/>
        </w:rPr>
      </w:pPr>
      <w:bookmarkStart w:id="128" w:name="_Toc163741361"/>
      <w:bookmarkStart w:id="129" w:name="_Toc438132864"/>
      <w:bookmarkStart w:id="130" w:name="_Toc417980898"/>
      <w:bookmarkStart w:id="131" w:name="_Toc63413050"/>
      <w:bookmarkStart w:id="132" w:name="_Toc410132166"/>
      <w:r>
        <w:rPr>
          <w:rFonts w:hint="eastAsia" w:ascii="宋体" w:hAnsi="宋体" w:eastAsia="宋体" w:cs="Times New Roman"/>
          <w:kern w:val="0"/>
          <w:sz w:val="24"/>
          <w:szCs w:val="24"/>
          <w:highlight w:val="none"/>
          <w:lang w:val="en-US" w:eastAsia="zh-CN" w:bidi="ar-SA"/>
        </w:rPr>
        <w:t>4.7钢质管道连接与质量检验</w:t>
      </w:r>
      <w:bookmarkEnd w:id="128"/>
      <w:bookmarkEnd w:id="129"/>
      <w:bookmarkEnd w:id="130"/>
      <w:bookmarkEnd w:id="131"/>
      <w:bookmarkEnd w:id="132"/>
    </w:p>
    <w:p w14:paraId="25FDB19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4.7.1钢质管道连</w:t>
      </w:r>
    </w:p>
    <w:p w14:paraId="3B30FBF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管道连接前，应对管材、管件及附属设备按设计要求进行核对，并在施工现场进行外观检查,要具有出厂检验合格证，检查合格后方可使用。无缝钢管表面锈蚀等级不应高于《涂覆涂料前钢材表面处理 表面清洁度的目视评定第1部分：未涂覆过的钢材表面和全面清除原有涂层后的钢材表面的锈蚀等级和处理等级》GB8923.1-2011中规定的B级。现场管道除锈应达到上述标准的St2级。</w:t>
      </w:r>
    </w:p>
    <w:p w14:paraId="4903BF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4.7.1.1. 低温管道、常温管道连接方式：</w:t>
      </w:r>
    </w:p>
    <w:p w14:paraId="7F492E2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管道与管道之间采用焊接连接的方法，低温阀门与管道之间根据采购的低温阀门的连接方法，采用承插焊连接。</w:t>
      </w:r>
    </w:p>
    <w:p w14:paraId="442E6B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常温燃气管道与阀门之间采用法兰连接的方法，法兰应采用带颈对焊法兰。带切断调压器、法兰球阀、截止阀、止回阀订货时由设备厂家带配对法兰及紧固件，配对法兰应为带颈对焊法兰。当低温管道或常温管道的管端采用法兰及法兰盖连接时，要求如下：  </w:t>
      </w:r>
    </w:p>
    <w:p w14:paraId="054524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（1）法兰选用带颈对焊法兰,密封面型式为突面(RF)；常温管道上的法兰应采用Ⅱ级锻件,法兰材料为20钢。</w:t>
      </w:r>
    </w:p>
    <w:p w14:paraId="255934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（2）公称压力大于等于PN16时，采用低强度全螺纹螺柱,标准为《钢制管法兰、垫片、紧固件》 HG/T20613-2009，材料为O6Cr19Ni10，配用2型六角螺母，标准为GB/T6175-2016，材料为O6Cr19Ni10。</w:t>
      </w:r>
    </w:p>
    <w:p w14:paraId="3AA228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管道加工和管件制作应符合《工业金属管道工程施工规范》GB 50235-2010的有关规定。</w:t>
      </w:r>
    </w:p>
    <w:p w14:paraId="572FDB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4.7.1.2管道焊接</w:t>
      </w:r>
    </w:p>
    <w:p w14:paraId="6E0AF65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在开工前应根据设计文件提出的钢种等级、焊接材料、焊接方法和焊接工艺等，进行焊接工艺评定，并根据焊接工艺评定结果编制焊接工艺规程。焊接工艺规程和焊接工艺评定内容、试验方法应符合《现场设备、工业管道焊接工程施工规范》GB50236-2011规定。</w:t>
      </w:r>
    </w:p>
    <w:p w14:paraId="3C8D3A2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参加焊接的作业人员必须按照焊接工艺规程,并经过考试取得相应资格的合格焊工，焊工按所取得的相应资格施焊。 </w:t>
      </w:r>
    </w:p>
    <w:p w14:paraId="7D60EAC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a管道焊接施工应按照《现场设备、工业管道焊接工程规范》GB50236-2011中的相关要求进行施工。</w:t>
      </w:r>
    </w:p>
    <w:p w14:paraId="25531EA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b碳钢管道的焊接采用氩弧焊打底，手工电弧焊填充、盖面，焊丝为ER55-Ni1,焊条型号 E5015-G。不锈钢管道焊接采用氩弧焊连接，焊丝为H0Cr21Ni10，焊条型号为E308-16。碳钢管道与不锈钢管道的焊接采用氩弧焊打底,手工电弧焊填充、盖面，焊丝为H1Cr26Ni21，焊条型号为E309-16。</w:t>
      </w:r>
    </w:p>
    <w:p w14:paraId="458D20D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当焊件温度低于0℃时，在焊缝100mm范围内，预热到15℃以上方可作业。焊工必须持证上岗。焊前必须按照《现场设备、工业管道焊接工程施工规范》GB50236-2011中的规定做焊接工艺评定，并持评定结果制定焊接工艺。</w:t>
      </w:r>
    </w:p>
    <w:p w14:paraId="63E4E3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管道进出地面必须穿套管，套管直径比原管道大2级，套管长度不小于450mm，并伸出地面50mm，套管与管道之间用柔性防水、防腐材料密封。</w:t>
      </w:r>
    </w:p>
    <w:p w14:paraId="3FE259E9">
      <w:pPr>
        <w:pStyle w:val="65"/>
        <w:widowControl w:val="0"/>
        <w:ind w:firstLine="420"/>
        <w:rPr>
          <w:rFonts w:hint="eastAsia" w:ascii="宋体" w:hAnsi="宋体" w:eastAsia="宋体" w:cs="Times New Roman"/>
          <w:kern w:val="0"/>
          <w:sz w:val="24"/>
          <w:szCs w:val="24"/>
          <w:highlight w:val="none"/>
          <w:lang w:val="en-US" w:eastAsia="zh-CN" w:bidi="ar-SA"/>
        </w:rPr>
      </w:pPr>
      <w:bookmarkStart w:id="133" w:name="_Toc43564784"/>
      <w:r>
        <w:rPr>
          <w:rFonts w:hint="eastAsia" w:ascii="宋体" w:hAnsi="宋体" w:eastAsia="宋体" w:cs="Times New Roman"/>
          <w:kern w:val="0"/>
          <w:sz w:val="24"/>
          <w:szCs w:val="24"/>
          <w:highlight w:val="none"/>
          <w:lang w:val="en-US" w:eastAsia="zh-CN" w:bidi="ar-SA"/>
        </w:rPr>
        <w:t>4.7.2管道检验</w:t>
      </w:r>
      <w:bookmarkEnd w:id="133"/>
    </w:p>
    <w:p w14:paraId="357834A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4.7.2.1焊缝外观质量</w:t>
      </w:r>
    </w:p>
    <w:p w14:paraId="2B27BE8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焊缝的外观质量应符合《现场设备、工业管道焊接工程施工质量验收规范》GB 50683-2011中的要求。设计温度为-196℃的低温不锈钢管道，焊缝外观检查等级为Ⅰ级；常温天然气管道，焊缝外观检查等级为Ⅱ级，其质量应符合《现场设备、工业管道焊接工程施工质量验收规范》GB 50683-2011中的要求。</w:t>
      </w:r>
    </w:p>
    <w:p w14:paraId="1AB0E3A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4.7.2.2焊缝的内部质量</w:t>
      </w:r>
    </w:p>
    <w:p w14:paraId="4959E48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焊缝的内部质量的检验要求按照《汽车加油加气站设计与施工规范》GB50156-2012（2014年版）中执行，并应符合下列要求：</w:t>
      </w:r>
    </w:p>
    <w:p w14:paraId="1964CE8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设计温度为-196℃的低温不锈钢管道，焊缝应进行100%的X射线拍片检验；设计压力≥1.6MPa的天然气管道(含安全阀放散后的放散管道)，固定焊的焊缝进行40%的X射线拍片检验；焊缝质量要求应达到《现场设备、工业管道焊接工程施工质量验收规范》GB50683-2011中的规定，射线照相检验应符合《承压设备无损检测第2部分:射线检测》NB/T47013-2015的规定。安全阀放散后的放散管道焊缝内部进行拍片检验，比例按GB50156中的要求，</w:t>
      </w:r>
    </w:p>
    <w:p w14:paraId="47A12A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在本设计中规定进行射线检测时，射线透照技术等级不得低于AB级，管道焊接接头的合格标准为Ⅱ级，</w:t>
      </w:r>
    </w:p>
    <w:p w14:paraId="3CC3515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（2）不能进行超声波或射线探伤的部位焊缝，应进行磁粉检测或渗透检测，检测方法按照《承压设备无损检测》NB/T47013-2015的规定执行。</w:t>
      </w:r>
    </w:p>
    <w:p w14:paraId="132F359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4.7.2.3未经试压的碰口焊缝必须进行100%的射线探伤和100%的超声波探伤，超声波探伤应符合《承压设备无损检测  第3部分:超声检测》NB/T47013-2023中Ⅰ级质量的要求。</w:t>
      </w:r>
      <w:bookmarkStart w:id="134" w:name="_Toc438028097"/>
      <w:bookmarkStart w:id="135" w:name="_Toc163741363"/>
      <w:bookmarkStart w:id="136" w:name="_Toc449448778"/>
      <w:bookmarkStart w:id="137" w:name="_Toc450635382"/>
      <w:bookmarkStart w:id="138" w:name="_Toc410132167"/>
      <w:bookmarkStart w:id="139" w:name="_Toc460249904"/>
    </w:p>
    <w:p w14:paraId="35EB7C9B">
      <w:pPr>
        <w:pStyle w:val="65"/>
        <w:widowControl w:val="0"/>
        <w:ind w:firstLine="420"/>
        <w:rPr>
          <w:rFonts w:hint="eastAsia" w:ascii="宋体" w:hAnsi="宋体" w:eastAsia="宋体" w:cs="Times New Roman"/>
          <w:kern w:val="0"/>
          <w:sz w:val="24"/>
          <w:szCs w:val="24"/>
          <w:highlight w:val="none"/>
          <w:lang w:val="en-US" w:eastAsia="zh-CN" w:bidi="ar-SA"/>
        </w:rPr>
      </w:pPr>
    </w:p>
    <w:p w14:paraId="1FDC3A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4.8吹扫、试压</w:t>
      </w:r>
      <w:bookmarkEnd w:id="134"/>
      <w:bookmarkEnd w:id="135"/>
      <w:bookmarkEnd w:id="136"/>
      <w:bookmarkEnd w:id="137"/>
      <w:bookmarkEnd w:id="138"/>
      <w:bookmarkEnd w:id="139"/>
    </w:p>
    <w:p w14:paraId="6D1089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4.8.1. 工艺管道系统安装完毕后，在碰口连接前，必须进行吹扫和试压。吹扫和试压前应编制吹扫试压方案和应急预案，并经业主和监理审批后实施，以确保施工人员和设施的安全。</w:t>
      </w:r>
    </w:p>
    <w:p w14:paraId="4680E34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4.8.2. 吹扫口周围应设置禁区，非操作人员不得进入。</w:t>
      </w:r>
    </w:p>
    <w:p w14:paraId="73933C6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4.8.3. 吹扫介质用压缩空气，吹扫压力不得超过设备和管道的设计压力，吹扫时气体在管道中流速应大于20m/s且不大于30m/s。当目测排气无烟尘时，在排气口设置白布或涂白漆木靶检验，5min内吹出的气体无铁锈、尘土、石块、水等脏物时为吹扫合格。 </w:t>
      </w:r>
    </w:p>
    <w:p w14:paraId="21B0FD0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4.8.4. 无损检测和吹扫合格后，应进行压力试验。</w:t>
      </w:r>
    </w:p>
    <w:p w14:paraId="5EA2493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 管道压力试验</w:t>
      </w:r>
    </w:p>
    <w:p w14:paraId="057313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 压力试验前应完成试压管道的安装工程，并且已经按照设计图纸全部完成，安装质量符合相关规定； 试验压力表已经校核，并且在周检范围内，其精度不得低于1.6级，表的满刻度，应该为被测最大压力的1.5-2.0倍，压力表不少于两块；符合压力试验的液体或气体已经备齐；按试验的要求，管道已经加固。</w:t>
      </w:r>
    </w:p>
    <w:p w14:paraId="30D6EEA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气压试验</w:t>
      </w:r>
    </w:p>
    <w:p w14:paraId="71CDE66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试验介质应采用干燥洁净的空气、氮气或其它不易燃和无毒的气体。</w:t>
      </w:r>
    </w:p>
    <w:p w14:paraId="4636C5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气压试验温度严禁接近金属材料的脆性转变温度。</w:t>
      </w:r>
    </w:p>
    <w:p w14:paraId="7CEA3C6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本工程设计要求的试验压力应为设计压力的 1.15 倍。</w:t>
      </w:r>
    </w:p>
    <w:p w14:paraId="4A8BC2F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本工程气压试验时应装有压力泄放装置，其设定压力不得高于试验压力的 1.1倍。</w:t>
      </w:r>
    </w:p>
    <w:p w14:paraId="0D5043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 气压试验前，应用空气进行预试验，试验压力宜为 0.2MPa。</w:t>
      </w:r>
    </w:p>
    <w:p w14:paraId="664F98C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f 气压试验时，应逐步缓慢增加压力，当压力升至试验压力的 50%时，如未发现异状或泄漏，应继续按试验压力的10%逐级升压，每级稳压3min，直至试验压力。应在试验压力下保持10min，再将压力降至设计压力，应以发泡剂检验无泄漏为合格。</w:t>
      </w:r>
    </w:p>
    <w:p w14:paraId="0C968E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泄漏性试验</w:t>
      </w:r>
    </w:p>
    <w:p w14:paraId="182DA9C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输送极度和高度危害流体以及可燃流体的管道时，必须进行泄漏性试验。</w:t>
      </w:r>
    </w:p>
    <w:p w14:paraId="0D1D3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泄漏性试验应在压力试验合格后进行。试验介质宜采用空气。</w:t>
      </w:r>
    </w:p>
    <w:p w14:paraId="31611B9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泄漏性试验压力应为设计压力。</w:t>
      </w:r>
    </w:p>
    <w:p w14:paraId="2865F3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泄漏性试验应逐级缓慢升压，当达到试验压力，并停压 10min 后，应巡回检查阀门填料函、法兰等所有密封点,应以无泄漏为合格。</w:t>
      </w:r>
    </w:p>
    <w:p w14:paraId="66839E8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3）液压或气体试验条件下组成件的内压圆周应力不得超过式（3.9-2）及式（3.9-3）的规定。如超过时，应降低试验压力。试验条件下组成件的周向应力应按式（3.9-1）计算：</w:t>
      </w:r>
    </w:p>
    <w:p w14:paraId="589FB8D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2656840" cy="5518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657143" cy="5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（3.9-1）</w:t>
      </w:r>
    </w:p>
    <w:p w14:paraId="1213E06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380740" cy="332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380952" cy="333333"/>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（3.9-2）</w:t>
      </w:r>
    </w:p>
    <w:p w14:paraId="540CEE0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114040" cy="3517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114286" cy="3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（3.9-3）</w:t>
      </w:r>
    </w:p>
    <w:p w14:paraId="4D029B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式中：</w:t>
      </w:r>
    </w:p>
    <w:p w14:paraId="1533EC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σT—在试验条件下组成的周向应力（MPa）；</w:t>
      </w:r>
    </w:p>
    <w:p w14:paraId="72A6515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D0—管子外径（mm）；</w:t>
      </w:r>
    </w:p>
    <w:p w14:paraId="68FF3A8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Tsn—直管名义厚度（mm）；</w:t>
      </w:r>
    </w:p>
    <w:p w14:paraId="110244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C—所有厚度附加量之和（mm）；</w:t>
      </w:r>
    </w:p>
    <w:p w14:paraId="479700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Ej—焊缝接头系数；</w:t>
      </w:r>
    </w:p>
    <w:p w14:paraId="2AC350A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PT—试验压力（MPa）；</w:t>
      </w:r>
    </w:p>
    <w:p w14:paraId="35B3B6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Qs—材料标准常温屈服点（MPa）。</w:t>
      </w:r>
    </w:p>
    <w:p w14:paraId="27497E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经计算：试验条件下的周向应力满足要求。</w:t>
      </w:r>
    </w:p>
    <w:p w14:paraId="472B71CF">
      <w:pPr>
        <w:pStyle w:val="65"/>
        <w:widowControl w:val="0"/>
        <w:ind w:firstLine="420"/>
        <w:rPr>
          <w:rFonts w:hint="eastAsia" w:ascii="宋体" w:hAnsi="宋体" w:eastAsia="宋体" w:cs="Times New Roman"/>
          <w:kern w:val="0"/>
          <w:sz w:val="24"/>
          <w:szCs w:val="24"/>
          <w:highlight w:val="none"/>
          <w:lang w:val="en-US" w:eastAsia="zh-CN" w:bidi="ar-SA"/>
        </w:rPr>
      </w:pPr>
      <w:bookmarkStart w:id="140" w:name="_Toc402757005"/>
      <w:bookmarkStart w:id="141" w:name="_Toc402782849"/>
      <w:bookmarkStart w:id="142" w:name="_Toc420570639"/>
      <w:bookmarkStart w:id="143" w:name="_Toc438132866"/>
      <w:bookmarkStart w:id="144" w:name="_Toc392196093"/>
      <w:bookmarkStart w:id="145" w:name="_Toc425091504"/>
      <w:bookmarkStart w:id="146" w:name="_Toc163741364"/>
      <w:bookmarkStart w:id="147" w:name="_Toc63413054"/>
      <w:bookmarkStart w:id="148" w:name="_Toc449448783"/>
      <w:bookmarkStart w:id="149" w:name="_Toc438028099"/>
      <w:bookmarkStart w:id="150" w:name="_Toc410132168"/>
      <w:bookmarkStart w:id="151" w:name="_Toc460249908"/>
      <w:bookmarkStart w:id="152" w:name="_Toc450635386"/>
      <w:r>
        <w:rPr>
          <w:rFonts w:hint="eastAsia" w:ascii="宋体" w:hAnsi="宋体" w:eastAsia="宋体" w:cs="Times New Roman"/>
          <w:kern w:val="0"/>
          <w:sz w:val="24"/>
          <w:szCs w:val="24"/>
          <w:highlight w:val="none"/>
          <w:lang w:val="en-US" w:eastAsia="zh-CN" w:bidi="ar-SA"/>
        </w:rPr>
        <w:t>4.9新旧管道碰口</w:t>
      </w:r>
      <w:bookmarkEnd w:id="140"/>
      <w:bookmarkEnd w:id="141"/>
      <w:bookmarkEnd w:id="142"/>
      <w:bookmarkEnd w:id="143"/>
      <w:bookmarkEnd w:id="144"/>
      <w:bookmarkEnd w:id="145"/>
      <w:bookmarkEnd w:id="146"/>
      <w:bookmarkEnd w:id="147"/>
    </w:p>
    <w:p w14:paraId="645C53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4.9.1. 在停气接管施工前应协调好各用气单位工作，并尽量缩小停气范围。</w:t>
      </w:r>
    </w:p>
    <w:p w14:paraId="30B0ECA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4.9.2. 新旧管道碰口前，应将线路截断阀关闭，并排除碰口段余气。为防止线路截断阀内漏，余气排除后应用实心垫片进行隔离，以便安全施工。</w:t>
      </w:r>
    </w:p>
    <w:p w14:paraId="01CD2C0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4.9.3. 新旧管道碰口时，应对原管道坡口采用丙酮清洗干净，保证焊缝根部焊透。并应进行焊前预热和焊后保温处理。</w:t>
      </w:r>
    </w:p>
    <w:p w14:paraId="79D83FE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4.9.4. 做好安全防护，并有处理紧急事故预案。</w:t>
      </w:r>
    </w:p>
    <w:p w14:paraId="4D575F1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4.9.5. 停气接管施工应在有经验的专职人员严密监护下进行。</w:t>
      </w:r>
    </w:p>
    <w:p w14:paraId="5AE34CCD">
      <w:pPr>
        <w:pStyle w:val="65"/>
        <w:widowControl w:val="0"/>
        <w:ind w:firstLine="420"/>
        <w:rPr>
          <w:rFonts w:hint="eastAsia" w:ascii="宋体" w:hAnsi="宋体" w:eastAsia="宋体" w:cs="Times New Roman"/>
          <w:kern w:val="0"/>
          <w:sz w:val="24"/>
          <w:szCs w:val="24"/>
          <w:highlight w:val="none"/>
          <w:lang w:val="en-US" w:eastAsia="zh-CN" w:bidi="ar-SA"/>
        </w:rPr>
      </w:pPr>
      <w:bookmarkStart w:id="153" w:name="_Toc163741365"/>
      <w:bookmarkStart w:id="154" w:name="_Toc462327649"/>
      <w:bookmarkStart w:id="155" w:name="_Toc63413055"/>
      <w:bookmarkStart w:id="156" w:name="_Toc20324275"/>
      <w:bookmarkStart w:id="157" w:name="_Toc489376152"/>
      <w:r>
        <w:rPr>
          <w:rFonts w:hint="eastAsia" w:ascii="宋体" w:hAnsi="宋体" w:eastAsia="宋体" w:cs="Times New Roman"/>
          <w:kern w:val="0"/>
          <w:sz w:val="24"/>
          <w:szCs w:val="24"/>
          <w:highlight w:val="none"/>
          <w:lang w:val="en-US" w:eastAsia="zh-CN" w:bidi="ar-SA"/>
        </w:rPr>
        <w:t>4.10停气接管</w:t>
      </w:r>
      <w:bookmarkEnd w:id="153"/>
      <w:bookmarkEnd w:id="154"/>
      <w:bookmarkEnd w:id="155"/>
      <w:bookmarkEnd w:id="156"/>
      <w:bookmarkEnd w:id="157"/>
    </w:p>
    <w:p w14:paraId="1FC48F6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4.10.1在施工前，施工单位应编制停气接管施工组织设计，并经业主、监理审查通过方可实施，并有审批的动火许可证。</w:t>
      </w:r>
    </w:p>
    <w:p w14:paraId="4A8A257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4.10.2在施工前，应检查接管作业的安全设施机具设备是否准备齐全、符合要求；施工人员须持证上岗，按有关规定进行施工。</w:t>
      </w:r>
    </w:p>
    <w:p w14:paraId="53741F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4.10.3停气接管以前，应制定停气接管方案及紧急事故处理预案，并落实专人监督执行。</w:t>
      </w:r>
    </w:p>
    <w:p w14:paraId="2EDA78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4.10.4停气接管施工应在有经验的专职人员严密监护下进行。</w:t>
      </w:r>
    </w:p>
    <w:p w14:paraId="76EE4AC5">
      <w:pPr>
        <w:pStyle w:val="65"/>
        <w:widowControl w:val="0"/>
        <w:ind w:firstLine="420"/>
        <w:rPr>
          <w:rFonts w:hint="eastAsia" w:ascii="宋体" w:hAnsi="宋体" w:eastAsia="宋体" w:cs="Times New Roman"/>
          <w:kern w:val="0"/>
          <w:sz w:val="24"/>
          <w:szCs w:val="24"/>
          <w:highlight w:val="none"/>
          <w:lang w:val="en-US" w:eastAsia="zh-CN" w:bidi="ar-SA"/>
        </w:rPr>
      </w:pPr>
      <w:bookmarkStart w:id="158" w:name="_Hlk149144010"/>
      <w:r>
        <w:rPr>
          <w:rFonts w:hint="eastAsia" w:ascii="宋体" w:hAnsi="宋体" w:eastAsia="宋体" w:cs="Times New Roman"/>
          <w:kern w:val="0"/>
          <w:sz w:val="24"/>
          <w:szCs w:val="24"/>
          <w:highlight w:val="none"/>
          <w:lang w:val="en-US" w:eastAsia="zh-CN" w:bidi="ar-SA"/>
        </w:rPr>
        <w:t>4.10.5碰口点所有焊口应进行100%的外观检查和双百探伤检查，外观质量检查应执行《现场设备、工业管道焊接工程施工质量验收规范》GB50683-2011的相关质量要求，X射线照相探伤其质量不得低于《承压设备无损检测第2部分：射线检测》NB/T47013.2-2015的Ⅱ级为合格，超声波探伤其质量不得低于《承压设备无损检测第3部分：超声波检测》NB/T47013.3-2015的Ⅰ级为合格，且不允许有根部未焊透、未熔合缺陷</w:t>
      </w:r>
      <w:bookmarkEnd w:id="158"/>
      <w:r>
        <w:rPr>
          <w:rFonts w:hint="eastAsia" w:ascii="宋体" w:hAnsi="宋体" w:eastAsia="宋体" w:cs="Times New Roman"/>
          <w:kern w:val="0"/>
          <w:sz w:val="24"/>
          <w:szCs w:val="24"/>
          <w:highlight w:val="none"/>
          <w:lang w:val="en-US" w:eastAsia="zh-CN" w:bidi="ar-SA"/>
        </w:rPr>
        <w:t>。</w:t>
      </w:r>
    </w:p>
    <w:p w14:paraId="7A748C43">
      <w:pPr>
        <w:pStyle w:val="65"/>
        <w:widowControl w:val="0"/>
        <w:ind w:firstLine="420"/>
        <w:rPr>
          <w:rFonts w:hint="eastAsia" w:ascii="宋体" w:hAnsi="宋体" w:eastAsia="宋体" w:cs="Times New Roman"/>
          <w:kern w:val="0"/>
          <w:sz w:val="24"/>
          <w:szCs w:val="24"/>
          <w:highlight w:val="none"/>
          <w:lang w:val="en-US" w:eastAsia="zh-CN" w:bidi="ar-SA"/>
        </w:rPr>
      </w:pPr>
      <w:bookmarkStart w:id="159" w:name="_Toc163741366"/>
      <w:r>
        <w:rPr>
          <w:rFonts w:hint="eastAsia" w:ascii="宋体" w:hAnsi="宋体" w:eastAsia="宋体" w:cs="Times New Roman"/>
          <w:kern w:val="0"/>
          <w:sz w:val="24"/>
          <w:szCs w:val="24"/>
          <w:highlight w:val="none"/>
          <w:lang w:val="en-US" w:eastAsia="zh-CN" w:bidi="ar-SA"/>
        </w:rPr>
        <w:t>4.11气体置换</w:t>
      </w:r>
      <w:bookmarkEnd w:id="148"/>
      <w:bookmarkEnd w:id="149"/>
      <w:bookmarkEnd w:id="150"/>
      <w:bookmarkEnd w:id="151"/>
      <w:bookmarkEnd w:id="152"/>
      <w:bookmarkEnd w:id="159"/>
    </w:p>
    <w:p w14:paraId="1B68A6F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本工程管道在动火前、吹扫、试压合格以后，应采用瓶装氮气对碰口段管道及新建管道内的天然气、空气进行置换。</w:t>
      </w:r>
      <w:bookmarkStart w:id="160" w:name="_Toc464551591"/>
      <w:bookmarkStart w:id="161" w:name="_Toc450635387"/>
      <w:bookmarkStart w:id="162" w:name="_Toc449448784"/>
      <w:bookmarkStart w:id="163" w:name="_Toc460249909"/>
      <w:bookmarkStart w:id="164" w:name="_Toc508892162"/>
      <w:bookmarkStart w:id="165" w:name="_Toc529972705"/>
      <w:bookmarkStart w:id="166" w:name="_Toc5996"/>
      <w:bookmarkStart w:id="167" w:name="_Toc20585"/>
      <w:bookmarkStart w:id="168" w:name="_Toc19235"/>
    </w:p>
    <w:p w14:paraId="03C9C8C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4.11.1置换方式</w:t>
      </w:r>
      <w:bookmarkEnd w:id="160"/>
      <w:bookmarkEnd w:id="161"/>
      <w:bookmarkEnd w:id="162"/>
      <w:bookmarkEnd w:id="163"/>
      <w:bookmarkEnd w:id="164"/>
      <w:bookmarkEnd w:id="165"/>
      <w:bookmarkEnd w:id="166"/>
      <w:bookmarkEnd w:id="167"/>
      <w:bookmarkEnd w:id="168"/>
    </w:p>
    <w:p w14:paraId="26D3B77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采用间接置换法：在动火前，应先用氮气置换管道内的天然气，置换合格后方可动火作业；吹扫、试压合格后，先用氮气置换管内的空气，合格后再用天然气置换管内的氮气。</w:t>
      </w:r>
      <w:bookmarkStart w:id="169" w:name="_Toc464551592"/>
      <w:bookmarkStart w:id="170" w:name="_Toc449448785"/>
      <w:bookmarkStart w:id="171" w:name="_Toc450635388"/>
      <w:bookmarkStart w:id="172" w:name="_Toc30740"/>
      <w:bookmarkStart w:id="173" w:name="_Toc508892163"/>
      <w:bookmarkStart w:id="174" w:name="_Toc460249910"/>
      <w:bookmarkStart w:id="175" w:name="_Toc529972706"/>
      <w:bookmarkStart w:id="176" w:name="_Toc20504"/>
      <w:bookmarkStart w:id="177" w:name="_Toc32126"/>
    </w:p>
    <w:p w14:paraId="1F4741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4.11.2置换要求</w:t>
      </w:r>
      <w:bookmarkEnd w:id="169"/>
      <w:bookmarkEnd w:id="170"/>
      <w:bookmarkEnd w:id="171"/>
      <w:bookmarkEnd w:id="172"/>
      <w:bookmarkEnd w:id="173"/>
      <w:bookmarkEnd w:id="174"/>
      <w:bookmarkEnd w:id="175"/>
      <w:bookmarkEnd w:id="176"/>
      <w:bookmarkEnd w:id="177"/>
    </w:p>
    <w:p w14:paraId="57885A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4.11.2.1向管内注入氮气的温度不得低于5℃；</w:t>
      </w:r>
    </w:p>
    <w:p w14:paraId="528FAF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4.11.2.2管内气体压力不大于5kPa；</w:t>
      </w:r>
    </w:p>
    <w:p w14:paraId="2DF7FAA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4.11.2.3置换时，气体流速宜为3～4m/s，且不得超过5m/s。</w:t>
      </w:r>
      <w:bookmarkStart w:id="178" w:name="_Toc460249911"/>
      <w:bookmarkStart w:id="179" w:name="_Toc20240"/>
      <w:bookmarkStart w:id="180" w:name="_Toc450635389"/>
      <w:bookmarkStart w:id="181" w:name="_Toc449448786"/>
      <w:bookmarkStart w:id="182" w:name="_Toc18062"/>
      <w:bookmarkStart w:id="183" w:name="_Toc464551593"/>
      <w:bookmarkStart w:id="184" w:name="_Toc10653"/>
      <w:bookmarkStart w:id="185" w:name="_Toc508892164"/>
      <w:bookmarkStart w:id="186" w:name="_Toc529972707"/>
    </w:p>
    <w:p w14:paraId="454C9C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4.11.3置换合格标准</w:t>
      </w:r>
      <w:bookmarkEnd w:id="178"/>
      <w:bookmarkEnd w:id="179"/>
      <w:bookmarkEnd w:id="180"/>
      <w:bookmarkEnd w:id="181"/>
      <w:bookmarkEnd w:id="182"/>
      <w:bookmarkEnd w:id="183"/>
      <w:bookmarkEnd w:id="184"/>
      <w:bookmarkEnd w:id="185"/>
      <w:bookmarkEnd w:id="186"/>
    </w:p>
    <w:p w14:paraId="51BFE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4.11.3.1氮气置换天然气时检测：管道内混合气体中甲烷体积百分比小于0.5%(即氮气含量大于99.5 %)，并且连续三次（每次间隔5min）甲烷含量均小于0.5%。</w:t>
      </w:r>
    </w:p>
    <w:p w14:paraId="0BE998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4.11.3.2氮气置换空气时检测：管道内混合气体中氧气体积百分比小于2%(即氮气含量大于98%)，并且连续三次（每次间隔5min）氧含量均小于2%。</w:t>
      </w:r>
    </w:p>
    <w:p w14:paraId="5C2B9B9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4.11.3.3天然气置换氮气时检测：在置换管道末端放空口取样，甲烷含量与首端进口处含量一致，并且连续三次（每次间隔5min）都一致时即为置换合格。</w:t>
      </w:r>
      <w:bookmarkStart w:id="187" w:name="_Toc163741371"/>
      <w:bookmarkStart w:id="188" w:name="_Toc63413060"/>
      <w:bookmarkStart w:id="189" w:name="_Toc15390642"/>
      <w:bookmarkStart w:id="190" w:name="_Toc449356263"/>
      <w:bookmarkStart w:id="191" w:name="_Toc417980902"/>
      <w:bookmarkStart w:id="192" w:name="_Toc438132869"/>
      <w:bookmarkStart w:id="193" w:name="_Toc410132170"/>
    </w:p>
    <w:p w14:paraId="79C718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5、施工安全要求</w:t>
      </w:r>
      <w:bookmarkEnd w:id="187"/>
      <w:bookmarkEnd w:id="188"/>
    </w:p>
    <w:p w14:paraId="7E7937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贯切“安全第一、预防为主”的方针，严格执行各项技术安全组织措施，切实做到安全文明施工、保障职工生命安全和施工安全。安全施工方案中应制定完善的HSE管理制度，施工过程中严格按照所制定的HSE管理制度执行。</w:t>
      </w:r>
    </w:p>
    <w:p w14:paraId="4573B8B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5.2施工单位会同建设单位应严格按规范的要求，并结合本工程的具体特点，编制安全施工组织措施。</w:t>
      </w:r>
    </w:p>
    <w:p w14:paraId="6A67891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5.3严格工业动火等级划分，动火审批程序和权限、动火条件、机具要求、动火作业要求，严格操作规章制度和事故预案，做到安全施工。</w:t>
      </w:r>
    </w:p>
    <w:p w14:paraId="25F99BD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5.4需动火施工的设备、设施和与动火直接有关阀门的控制应由生产管理单位安排专人操作，作业未完工前不得擅离岗位。</w:t>
      </w:r>
    </w:p>
    <w:p w14:paraId="34103D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5.5应清除动火区域周围5m之内的可燃物质或用阻燃物品隔开；用气焊（割）动火作业时，氧气瓶与乙炔气瓶的间隔不小于5m，且乙炔气瓶严禁卧放，二者与动火作业地点距离不得小于10m，并不准在烈日下曝晒。</w:t>
      </w:r>
    </w:p>
    <w:p w14:paraId="1A2E976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5.6在公路人行道施工时，应在管沟沿线设置安全护栏，并应设置明显的警示标志。在施工路段沿线，应设置夜间警示灯。</w:t>
      </w:r>
    </w:p>
    <w:p w14:paraId="6CBE217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5.7动火施工区域应设置隔离墙或隔离带，防止与动火工作无关人员或设备等进入施工区。</w:t>
      </w:r>
    </w:p>
    <w:p w14:paraId="774F657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5.8工作危险场所必须有挂牌、照明指示。</w:t>
      </w:r>
    </w:p>
    <w:p w14:paraId="3B3F407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5.9电焊机等电器设备应有良好的接地装置，并安装漏电保护装置。</w:t>
      </w:r>
    </w:p>
    <w:p w14:paraId="117D1D3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5.10动火中各种用电设备，严禁以管道充作导体。</w:t>
      </w:r>
    </w:p>
    <w:p w14:paraId="0C4C3D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5.11施工机械对管道产生临时负荷时，应对管道进行强度核算。当强度不够时，应采取相应措施。</w:t>
      </w:r>
    </w:p>
    <w:p w14:paraId="2DF63F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5.12动火施工现场根据施工的危险程度配备一定数量性能可靠的消防器材或消防车，随时做好应急准备。消防器材或消防车的功能应符合可燃介质灭火要求。</w:t>
      </w:r>
    </w:p>
    <w:p w14:paraId="29BB0E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5.13动火施工中，动火点及操作区域空气中可燃气体浓度应低于其爆炸下限的10%。若采取强制通风措施，其风向应与自然风向一致。</w:t>
      </w:r>
    </w:p>
    <w:p w14:paraId="7014FB1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5.14工程管理人员应在施工前掌握工程特点，危险因素及预防措施，并向全体施工人员进行安全技术交底。</w:t>
      </w:r>
    </w:p>
    <w:p w14:paraId="57A1F2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5.15生产和施工单位须指定工程负责人负责现场的协调和管理，并监督动火措施的实施。</w:t>
      </w:r>
    </w:p>
    <w:p w14:paraId="3343BFB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5.16施工现场设立专职安全员对安全进行检查。</w:t>
      </w:r>
    </w:p>
    <w:p w14:paraId="0FBFBCB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5.17参加动火施工人员的焊工、电工、起重工等特种作业人员必须持证操作，焊工有权查验动火报告。</w:t>
      </w:r>
    </w:p>
    <w:p w14:paraId="3AE074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5.18动火施工后，施工人员和管理人员应进行全面检查，确认没有火种及其它隐患后，方可离开施工现场。</w:t>
      </w:r>
      <w:bookmarkStart w:id="194" w:name="_Toc63413061"/>
      <w:bookmarkStart w:id="195" w:name="_Toc163741372"/>
    </w:p>
    <w:p w14:paraId="0156C4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施工及安全措施</w:t>
      </w:r>
      <w:bookmarkEnd w:id="194"/>
      <w:bookmarkEnd w:id="195"/>
    </w:p>
    <w:p w14:paraId="41057277">
      <w:pPr>
        <w:pStyle w:val="65"/>
        <w:widowControl w:val="0"/>
        <w:ind w:firstLine="420"/>
        <w:rPr>
          <w:rFonts w:hint="eastAsia" w:ascii="宋体" w:hAnsi="宋体" w:eastAsia="宋体" w:cs="Times New Roman"/>
          <w:kern w:val="0"/>
          <w:sz w:val="24"/>
          <w:szCs w:val="24"/>
          <w:highlight w:val="none"/>
          <w:lang w:val="en-US" w:eastAsia="zh-CN" w:bidi="ar-SA"/>
        </w:rPr>
      </w:pPr>
      <w:bookmarkStart w:id="196" w:name="_Toc163741373"/>
      <w:bookmarkStart w:id="197" w:name="_Toc63413062"/>
      <w:r>
        <w:rPr>
          <w:rFonts w:hint="eastAsia" w:ascii="宋体" w:hAnsi="宋体" w:eastAsia="宋体" w:cs="Times New Roman"/>
          <w:kern w:val="0"/>
          <w:sz w:val="24"/>
          <w:szCs w:val="24"/>
          <w:highlight w:val="none"/>
          <w:lang w:val="en-US" w:eastAsia="zh-CN" w:bidi="ar-SA"/>
        </w:rPr>
        <w:t>6.1射线探伤</w:t>
      </w:r>
      <w:bookmarkEnd w:id="196"/>
      <w:bookmarkEnd w:id="197"/>
    </w:p>
    <w:p w14:paraId="663CF5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射线探伤操作时，应在安全距离以外设置安全警戒线，安全警戒线上应设立醒目的警示标志，并设立辐射警示标识牌，夜间作业应用红灯警示标志。射线探伤作业前，应通知现场无关人员撤离至警戒线以外，必要时设专人巡视，防止无关人员误入透照现场。射线操作人员进入现场应佩带个人剂量监测设备和辐射防护用品，并采取减少在透照现场时间、增大距射线源的距离以及利用现场地形、设备等屏蔽物进行有效的射线安全防护。严格执行</w:t>
      </w:r>
      <w:bookmarkStart w:id="198" w:name="_Hlk149144190"/>
      <w:r>
        <w:rPr>
          <w:rFonts w:hint="eastAsia" w:ascii="宋体" w:hAnsi="宋体" w:eastAsia="宋体" w:cs="Times New Roman"/>
          <w:kern w:val="0"/>
          <w:sz w:val="24"/>
          <w:szCs w:val="24"/>
          <w:highlight w:val="none"/>
          <w:lang w:val="en-US" w:eastAsia="zh-CN" w:bidi="ar-SA"/>
        </w:rPr>
        <w:t>《工业探伤放射防护标准》GBZ 117-2022</w:t>
      </w:r>
      <w:bookmarkEnd w:id="198"/>
      <w:r>
        <w:rPr>
          <w:rFonts w:hint="eastAsia" w:ascii="宋体" w:hAnsi="宋体" w:eastAsia="宋体" w:cs="Times New Roman"/>
          <w:kern w:val="0"/>
          <w:sz w:val="24"/>
          <w:szCs w:val="24"/>
          <w:highlight w:val="none"/>
          <w:lang w:val="en-US" w:eastAsia="zh-CN" w:bidi="ar-SA"/>
        </w:rPr>
        <w:t>。</w:t>
      </w:r>
    </w:p>
    <w:p w14:paraId="78C12E64">
      <w:pPr>
        <w:pStyle w:val="65"/>
        <w:widowControl w:val="0"/>
        <w:ind w:firstLine="420"/>
        <w:rPr>
          <w:rFonts w:hint="eastAsia" w:ascii="宋体" w:hAnsi="宋体" w:eastAsia="宋体" w:cs="Times New Roman"/>
          <w:kern w:val="0"/>
          <w:sz w:val="24"/>
          <w:szCs w:val="24"/>
          <w:highlight w:val="none"/>
          <w:lang w:val="en-US" w:eastAsia="zh-CN" w:bidi="ar-SA"/>
        </w:rPr>
      </w:pPr>
      <w:bookmarkStart w:id="199" w:name="_Toc163741374"/>
      <w:bookmarkStart w:id="200" w:name="_Toc26522595"/>
      <w:bookmarkStart w:id="201" w:name="_Toc63413063"/>
      <w:r>
        <w:rPr>
          <w:rFonts w:hint="eastAsia" w:ascii="宋体" w:hAnsi="宋体" w:eastAsia="宋体" w:cs="Times New Roman"/>
          <w:kern w:val="0"/>
          <w:sz w:val="24"/>
          <w:szCs w:val="24"/>
          <w:highlight w:val="none"/>
          <w:lang w:val="en-US" w:eastAsia="zh-CN" w:bidi="ar-SA"/>
        </w:rPr>
        <w:t>6.2高空作业</w:t>
      </w:r>
      <w:bookmarkEnd w:id="199"/>
      <w:bookmarkEnd w:id="200"/>
      <w:bookmarkEnd w:id="201"/>
    </w:p>
    <w:p w14:paraId="397682F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1）凡是进行高空作业施工应使用脚手架、平台、梯子、防护围栏、挡脚板、安全带和安全网等。作业前应认真检查所有的安全设施是否牢固、可靠。</w:t>
      </w:r>
    </w:p>
    <w:p w14:paraId="15EF2F4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2）凡是从事高处作业人员应接受高处作业安全知识的教育并取得相应资质后方可上岗。</w:t>
      </w:r>
    </w:p>
    <w:p w14:paraId="5219F35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3）高处作业人员应经过体检，合格后方可上岗。施工单位应为作业人员提供合格的安全帽、安全带等必备的个人安全防护用具，作业人员应按规定正确佩戴和使用。</w:t>
      </w:r>
    </w:p>
    <w:p w14:paraId="4E137E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4）施工单位应按类别，有针对性地将各类安全警示标志悬挂于施工现场各相应部位，夜间应设红灯警示。</w:t>
      </w:r>
    </w:p>
    <w:p w14:paraId="139587A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5）高处作业所用工具、材料严禁投掷，上下立体交叉作业确有需要时，中间须设隔离设施。</w:t>
      </w:r>
    </w:p>
    <w:p w14:paraId="653936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6）高处作业应设置可靠扶梯，作业人员应沿着扶梯上下，不得沿着立杆与栏杆攀登。</w:t>
      </w:r>
    </w:p>
    <w:p w14:paraId="13C1B5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7）雷电、暴雨、大雾、风速在10.8m/s以上不得进行露天高处作业。</w:t>
      </w:r>
    </w:p>
    <w:p w14:paraId="32CED6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8）在雨雪天应采取防滑措施。</w:t>
      </w:r>
      <w:bookmarkStart w:id="202" w:name="_Toc163741375"/>
      <w:bookmarkStart w:id="203" w:name="_Toc63413064"/>
    </w:p>
    <w:p w14:paraId="3FCF4F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竣工验收</w:t>
      </w:r>
      <w:bookmarkEnd w:id="202"/>
      <w:bookmarkEnd w:id="203"/>
    </w:p>
    <w:p w14:paraId="7941EA3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7.1施工单位在工程竣工后，应先对燃气管道及设备进行外观检验和严密性预试，合格后通知有关部门验收。</w:t>
      </w:r>
    </w:p>
    <w:p w14:paraId="3849E81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7.2验收时建设单位组织设计、监理及施工单位对工程进行验收。</w:t>
      </w:r>
    </w:p>
    <w:p w14:paraId="604773D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7.3竣工验收时应交付且不仅限于下列资料：</w:t>
      </w:r>
    </w:p>
    <w:p w14:paraId="5ABFE82A">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设计文件及设计变更文件；</w:t>
      </w:r>
    </w:p>
    <w:p w14:paraId="048E9CD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设备、制品、主要材料的合格证、质量证明书和阀门的试验记录；</w:t>
      </w:r>
    </w:p>
    <w:p w14:paraId="21C7596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隐蔽工程竣工验收记录；</w:t>
      </w:r>
    </w:p>
    <w:p w14:paraId="3D84530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管道和用气设备的安装工序质量检验记录；</w:t>
      </w:r>
    </w:p>
    <w:p w14:paraId="1D74A95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焊接外观检查记录和无损探伤检查记录；</w:t>
      </w:r>
    </w:p>
    <w:p w14:paraId="00CE980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管道系统压力试验记录；</w:t>
      </w:r>
    </w:p>
    <w:p w14:paraId="2BBBB11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强度和严密性试验记录；</w:t>
      </w:r>
    </w:p>
    <w:p w14:paraId="456EB5A1">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防腐绝缘措施检查记录；</w:t>
      </w:r>
    </w:p>
    <w:p w14:paraId="3A8E20C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质量事故处理记录；</w:t>
      </w:r>
    </w:p>
    <w:p w14:paraId="6A61D68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工程交接检验评定记录；</w:t>
      </w:r>
    </w:p>
    <w:p w14:paraId="6B1F02E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其他附属工程有关施工的完整资料；</w:t>
      </w:r>
    </w:p>
    <w:p w14:paraId="27D03125">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工程质量验收会议纪要；</w:t>
      </w:r>
    </w:p>
    <w:p w14:paraId="2033DBB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防雷、防静电接地检查记录；</w:t>
      </w:r>
    </w:p>
    <w:p w14:paraId="23C6B4A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城镇燃气报警控制系统安装过程质量管理检查记录；</w:t>
      </w:r>
    </w:p>
    <w:p w14:paraId="52DBF6F3">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城镇燃气报警控制系统设备的检验报告、合格证及相关材料；</w:t>
      </w:r>
    </w:p>
    <w:p w14:paraId="59F105D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其它相关资料。</w:t>
      </w:r>
    </w:p>
    <w:bookmarkEnd w:id="189"/>
    <w:bookmarkEnd w:id="190"/>
    <w:bookmarkEnd w:id="191"/>
    <w:bookmarkEnd w:id="192"/>
    <w:bookmarkEnd w:id="193"/>
    <w:p w14:paraId="28FB5C46">
      <w:pPr>
        <w:rPr>
          <w:rFonts w:ascii="宋体" w:hAnsi="宋体"/>
          <w:szCs w:val="21"/>
        </w:rPr>
      </w:pPr>
    </w:p>
    <w:p w14:paraId="7797D8C9">
      <w:pPr>
        <w:rPr>
          <w:rFonts w:hint="eastAsia" w:ascii="宋体" w:hAnsi="宋体" w:eastAsia="宋体"/>
          <w:szCs w:val="21"/>
          <w:lang w:val="en-US" w:eastAsia="zh-CN"/>
        </w:rPr>
      </w:pPr>
      <w:r>
        <w:rPr>
          <w:rFonts w:hint="eastAsia" w:ascii="宋体" w:hAnsi="宋体"/>
          <w:szCs w:val="21"/>
          <w:lang w:val="en-US" w:eastAsia="zh-CN"/>
        </w:rPr>
        <w:t xml:space="preserve"> </w:t>
      </w:r>
    </w:p>
    <w:p w14:paraId="3F04E960">
      <w:pPr>
        <w:rPr>
          <w:rFonts w:ascii="宋体" w:hAnsi="宋体"/>
          <w:szCs w:val="21"/>
        </w:rPr>
      </w:pPr>
    </w:p>
    <w:p w14:paraId="4FF42B1E">
      <w:pPr>
        <w:rPr>
          <w:rFonts w:ascii="宋体" w:hAnsi="宋体"/>
          <w:szCs w:val="21"/>
        </w:rPr>
      </w:pPr>
    </w:p>
    <w:p w14:paraId="4338AFFB">
      <w:pPr>
        <w:rPr>
          <w:rFonts w:ascii="宋体" w:hAnsi="宋体"/>
          <w:szCs w:val="21"/>
        </w:rPr>
      </w:pPr>
    </w:p>
    <w:p w14:paraId="2FAC85C8">
      <w:pPr>
        <w:rPr>
          <w:rFonts w:ascii="宋体" w:hAnsi="宋体"/>
          <w:szCs w:val="21"/>
        </w:rPr>
      </w:pPr>
    </w:p>
    <w:p w14:paraId="3DDFCC44">
      <w:pPr>
        <w:rPr>
          <w:rFonts w:ascii="宋体" w:hAnsi="宋体"/>
          <w:szCs w:val="21"/>
        </w:rPr>
      </w:pPr>
    </w:p>
    <w:p w14:paraId="6E496508">
      <w:pPr>
        <w:rPr>
          <w:rFonts w:ascii="宋体" w:hAnsi="宋体"/>
          <w:szCs w:val="21"/>
        </w:rPr>
      </w:pPr>
    </w:p>
    <w:p w14:paraId="3B2B93BB">
      <w:pPr>
        <w:rPr>
          <w:rFonts w:ascii="宋体" w:hAnsi="宋体"/>
          <w:szCs w:val="21"/>
        </w:rPr>
      </w:pPr>
    </w:p>
    <w:p w14:paraId="04863EFC">
      <w:pPr>
        <w:rPr>
          <w:rFonts w:ascii="宋体" w:hAnsi="宋体"/>
          <w:szCs w:val="21"/>
        </w:rPr>
      </w:pPr>
    </w:p>
    <w:p w14:paraId="51335820">
      <w:pPr>
        <w:rPr>
          <w:rFonts w:ascii="宋体" w:hAnsi="宋体"/>
          <w:szCs w:val="21"/>
        </w:rPr>
      </w:pPr>
    </w:p>
    <w:p w14:paraId="43987155">
      <w:pPr>
        <w:rPr>
          <w:rFonts w:ascii="宋体" w:hAnsi="宋体"/>
          <w:szCs w:val="21"/>
        </w:rPr>
      </w:pPr>
    </w:p>
    <w:p w14:paraId="06141C81">
      <w:pPr>
        <w:rPr>
          <w:rFonts w:ascii="宋体" w:hAnsi="宋体"/>
          <w:szCs w:val="21"/>
        </w:rPr>
      </w:pPr>
    </w:p>
    <w:p w14:paraId="65CC2077">
      <w:pPr>
        <w:rPr>
          <w:rFonts w:ascii="宋体" w:hAnsi="宋体"/>
          <w:szCs w:val="21"/>
        </w:rPr>
      </w:pPr>
    </w:p>
    <w:p w14:paraId="7984D91E">
      <w:pPr>
        <w:rPr>
          <w:rFonts w:ascii="宋体" w:hAnsi="宋体"/>
          <w:szCs w:val="21"/>
        </w:rPr>
      </w:pPr>
    </w:p>
    <w:p w14:paraId="36027C7A">
      <w:pPr>
        <w:rPr>
          <w:rFonts w:ascii="宋体" w:hAnsi="宋体"/>
          <w:szCs w:val="21"/>
        </w:rPr>
      </w:pPr>
    </w:p>
    <w:p w14:paraId="00A39AA8">
      <w:pPr>
        <w:rPr>
          <w:rFonts w:ascii="宋体" w:hAnsi="宋体"/>
          <w:szCs w:val="21"/>
        </w:rPr>
      </w:pPr>
    </w:p>
    <w:p w14:paraId="52ADD5AE">
      <w:pPr>
        <w:rPr>
          <w:rFonts w:ascii="宋体" w:hAnsi="宋体"/>
          <w:szCs w:val="21"/>
        </w:rPr>
      </w:pPr>
    </w:p>
    <w:p w14:paraId="32A97576">
      <w:pPr>
        <w:rPr>
          <w:rFonts w:ascii="宋体" w:hAnsi="宋体"/>
          <w:szCs w:val="21"/>
        </w:rPr>
      </w:pPr>
    </w:p>
    <w:p w14:paraId="2F486A18">
      <w:pPr>
        <w:rPr>
          <w:rFonts w:ascii="宋体" w:hAnsi="宋体"/>
          <w:szCs w:val="21"/>
        </w:rPr>
      </w:pPr>
    </w:p>
    <w:p w14:paraId="7D487CAD">
      <w:pPr>
        <w:rPr>
          <w:rFonts w:ascii="宋体" w:hAnsi="宋体"/>
          <w:szCs w:val="21"/>
        </w:rPr>
      </w:pPr>
    </w:p>
    <w:p w14:paraId="0456AE66">
      <w:pPr>
        <w:pStyle w:val="5"/>
      </w:pPr>
    </w:p>
    <w:p w14:paraId="15FE1521">
      <w:pPr>
        <w:rPr>
          <w:rFonts w:hint="eastAsia"/>
        </w:rPr>
      </w:pPr>
    </w:p>
    <w:p w14:paraId="4B514A5D">
      <w:pPr>
        <w:rPr>
          <w:rFonts w:ascii="宋体" w:hAnsi="宋体"/>
          <w:szCs w:val="21"/>
        </w:rPr>
      </w:pPr>
    </w:p>
    <w:p w14:paraId="2AD09382">
      <w:pPr>
        <w:rPr>
          <w:rFonts w:ascii="宋体" w:hAnsi="宋体"/>
          <w:szCs w:val="21"/>
        </w:rPr>
      </w:pPr>
    </w:p>
    <w:p w14:paraId="440B8EAA">
      <w:pPr>
        <w:rPr>
          <w:rFonts w:ascii="宋体" w:hAnsi="宋体"/>
          <w:sz w:val="24"/>
        </w:rPr>
      </w:pPr>
    </w:p>
    <w:p w14:paraId="2EA3C388">
      <w:pPr>
        <w:rPr>
          <w:rFonts w:ascii="宋体" w:hAnsi="宋体"/>
          <w:sz w:val="24"/>
        </w:rPr>
      </w:pPr>
    </w:p>
    <w:p w14:paraId="6A5063A0">
      <w:pPr>
        <w:rPr>
          <w:rFonts w:ascii="宋体" w:hAnsi="宋体"/>
          <w:sz w:val="24"/>
        </w:rPr>
      </w:pPr>
    </w:p>
    <w:p w14:paraId="2DD0045A">
      <w:pPr>
        <w:pStyle w:val="3"/>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14:paraId="1F2D59E1">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6A61059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073AB5F5">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34CD12A5">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28BC490E">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5F6DAE84">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3FB59105">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7010F8C2">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0445B262">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7A528BB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57C45208">
      <w:pPr>
        <w:spacing w:line="360" w:lineRule="auto"/>
        <w:ind w:firstLine="482" w:firstLineChars="200"/>
        <w:rPr>
          <w:rFonts w:ascii="宋体" w:hAnsi="宋体"/>
          <w:b/>
          <w:sz w:val="24"/>
          <w:highlight w:val="none"/>
        </w:rPr>
      </w:pPr>
      <w:r>
        <w:rPr>
          <w:rFonts w:ascii="宋体" w:hAnsi="宋体"/>
          <w:b/>
          <w:sz w:val="24"/>
          <w:highlight w:val="none"/>
        </w:rPr>
        <w:t>4.特别注意</w:t>
      </w:r>
    </w:p>
    <w:p w14:paraId="5F6E00FE">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6803F7DA">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532BA8B9">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45388B17">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10D6EF3E">
      <w:pPr>
        <w:spacing w:line="360" w:lineRule="auto"/>
        <w:ind w:firstLine="480" w:firstLineChars="200"/>
        <w:rPr>
          <w:rFonts w:ascii="宋体" w:hAnsi="宋体"/>
          <w:kern w:val="0"/>
          <w:sz w:val="24"/>
        </w:rPr>
      </w:pPr>
      <w:r>
        <w:rPr>
          <w:rFonts w:hint="eastAsia" w:ascii="宋体" w:hAnsi="宋体"/>
          <w:kern w:val="0"/>
          <w:sz w:val="24"/>
        </w:rPr>
        <w:t>（1）谈判公告</w:t>
      </w:r>
    </w:p>
    <w:p w14:paraId="37151650">
      <w:pPr>
        <w:spacing w:line="360" w:lineRule="auto"/>
        <w:ind w:firstLine="480" w:firstLineChars="200"/>
        <w:rPr>
          <w:rFonts w:ascii="宋体" w:hAnsi="宋体"/>
          <w:kern w:val="0"/>
          <w:sz w:val="24"/>
        </w:rPr>
      </w:pPr>
      <w:r>
        <w:rPr>
          <w:rFonts w:hint="eastAsia" w:ascii="宋体" w:hAnsi="宋体"/>
          <w:kern w:val="0"/>
          <w:sz w:val="24"/>
        </w:rPr>
        <w:t>（2）供应商</w:t>
      </w:r>
      <w:r>
        <w:rPr>
          <w:rFonts w:ascii="宋体" w:hAnsi="宋体"/>
          <w:kern w:val="0"/>
          <w:sz w:val="24"/>
        </w:rPr>
        <w:t>须知</w:t>
      </w:r>
    </w:p>
    <w:p w14:paraId="11F0885B">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4F0BA65D">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1D61B8F0">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270A107F">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6D03109D">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32694D04">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3575127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35BC6F7F">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51BE196C">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2B8EDB1E">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6D070603">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3285386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75758F41">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204E8EBA">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17C6D361">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271BC58D">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7FE477F3">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750B2CA8">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39F16928">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6A48F0F8">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7C9EC0BB">
      <w:pPr>
        <w:spacing w:line="360" w:lineRule="auto"/>
        <w:ind w:firstLine="482" w:firstLineChars="200"/>
        <w:rPr>
          <w:rFonts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352CEFC1">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593F5A35">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78285265">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49D6AB87">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6B036996">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7C8C84F7">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7329EDDF">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3A9F6654">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1D24BBF2">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473F4687">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0664D2C1">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37BEE572">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0008A402">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716391D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供应商</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一套和副本</w:t>
      </w:r>
      <w:r>
        <w:rPr>
          <w:rFonts w:hint="eastAsia" w:ascii="宋体" w:hAnsi="宋体" w:cs="宋体"/>
          <w:color w:val="auto"/>
          <w:kern w:val="0"/>
          <w:sz w:val="24"/>
          <w:lang w:val="en-US" w:eastAsia="zh-CN"/>
        </w:rPr>
        <w:t>一</w:t>
      </w:r>
      <w:r>
        <w:rPr>
          <w:rFonts w:ascii="宋体" w:hAnsi="宋体" w:cs="宋体"/>
          <w:color w:val="auto"/>
          <w:kern w:val="0"/>
          <w:sz w:val="24"/>
        </w:rPr>
        <w:t>套，每套“</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封面</w:t>
      </w:r>
      <w:r>
        <w:rPr>
          <w:rFonts w:ascii="宋体" w:hAnsi="宋体" w:cs="宋体"/>
          <w:color w:val="auto"/>
          <w:kern w:val="0"/>
          <w:sz w:val="24"/>
        </w:rPr>
        <w:t>的右上角应标明“</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或</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并提供电子版（盖鲜章的PDF格式扫描件）U盘一份</w:t>
      </w:r>
      <w:r>
        <w:rPr>
          <w:rFonts w:hint="eastAsia" w:ascii="宋体" w:hAnsi="宋体" w:cs="宋体"/>
          <w:color w:val="auto"/>
          <w:kern w:val="0"/>
          <w:sz w:val="24"/>
        </w:rPr>
        <w:t>。</w:t>
      </w:r>
    </w:p>
    <w:p w14:paraId="68CB86F9">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19952793">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1.2.1 </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保证金转账</w:t>
      </w:r>
      <w:r>
        <w:rPr>
          <w:rFonts w:ascii="宋体" w:hAnsi="宋体" w:cs="宋体"/>
          <w:color w:val="auto"/>
          <w:kern w:val="0"/>
          <w:sz w:val="24"/>
        </w:rPr>
        <w:t>证明文件应单独封装</w:t>
      </w:r>
      <w:r>
        <w:rPr>
          <w:rFonts w:hint="eastAsia" w:ascii="宋体" w:hAnsi="宋体" w:cs="宋体"/>
          <w:color w:val="auto"/>
          <w:kern w:val="0"/>
          <w:sz w:val="24"/>
        </w:rPr>
        <w:t>，一并</w:t>
      </w:r>
      <w:r>
        <w:rPr>
          <w:rFonts w:ascii="宋体" w:hAnsi="宋体" w:cs="宋体"/>
          <w:color w:val="auto"/>
          <w:kern w:val="0"/>
          <w:sz w:val="24"/>
        </w:rPr>
        <w:t>提交</w:t>
      </w:r>
      <w:r>
        <w:rPr>
          <w:rFonts w:hint="eastAsia" w:ascii="宋体" w:hAnsi="宋体" w:cs="宋体"/>
          <w:color w:val="auto"/>
          <w:kern w:val="0"/>
          <w:sz w:val="24"/>
        </w:rPr>
        <w:t>。</w:t>
      </w:r>
    </w:p>
    <w:p w14:paraId="78D98ADB">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.2.2 供应商</w:t>
      </w:r>
      <w:r>
        <w:rPr>
          <w:rFonts w:ascii="宋体" w:hAnsi="宋体" w:cs="宋体"/>
          <w:color w:val="auto"/>
          <w:kern w:val="0"/>
          <w:sz w:val="24"/>
        </w:rPr>
        <w:t>应将</w:t>
      </w:r>
      <w:r>
        <w:rPr>
          <w:rFonts w:hint="eastAsia" w:ascii="宋体" w:hAnsi="宋体" w:cs="宋体"/>
          <w:color w:val="auto"/>
          <w:kern w:val="0"/>
          <w:sz w:val="24"/>
        </w:rPr>
        <w:t>谈判文件</w:t>
      </w:r>
      <w:r>
        <w:rPr>
          <w:rFonts w:ascii="宋体" w:hAnsi="宋体" w:cs="宋体"/>
          <w:color w:val="auto"/>
          <w:kern w:val="0"/>
          <w:sz w:val="24"/>
        </w:rPr>
        <w:t>按正本、副本分别封装，并标明</w:t>
      </w:r>
      <w:r>
        <w:rPr>
          <w:rFonts w:hint="eastAsia" w:ascii="宋体" w:hAnsi="宋体" w:cs="宋体"/>
          <w:color w:val="auto"/>
          <w:kern w:val="0"/>
          <w:sz w:val="24"/>
        </w:rPr>
        <w:t>采购</w:t>
      </w:r>
      <w:r>
        <w:rPr>
          <w:rFonts w:ascii="宋体" w:hAnsi="宋体" w:cs="宋体"/>
          <w:color w:val="auto"/>
          <w:kern w:val="0"/>
          <w:sz w:val="24"/>
        </w:rPr>
        <w:t>项目名称、供应商名称、地址、邮政编码及“</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rPr>
        <w:t>字样</w:t>
      </w:r>
      <w:r>
        <w:rPr>
          <w:rFonts w:ascii="宋体" w:hAnsi="宋体" w:cs="宋体"/>
          <w:color w:val="auto"/>
          <w:kern w:val="0"/>
          <w:sz w:val="24"/>
        </w:rPr>
        <w:t>。再将</w:t>
      </w:r>
      <w:r>
        <w:rPr>
          <w:rFonts w:hint="eastAsia" w:ascii="宋体" w:hAnsi="宋体" w:cs="宋体"/>
          <w:color w:val="auto"/>
          <w:kern w:val="0"/>
          <w:sz w:val="24"/>
        </w:rPr>
        <w:t>单独</w:t>
      </w:r>
      <w:r>
        <w:rPr>
          <w:rFonts w:ascii="宋体" w:hAnsi="宋体" w:cs="宋体"/>
          <w:color w:val="auto"/>
          <w:kern w:val="0"/>
          <w:sz w:val="24"/>
        </w:rPr>
        <w:t>密封包装的</w:t>
      </w:r>
      <w:r>
        <w:rPr>
          <w:rFonts w:hint="eastAsia" w:ascii="宋体" w:hAnsi="宋体" w:cs="宋体"/>
          <w:color w:val="auto"/>
          <w:kern w:val="0"/>
          <w:sz w:val="24"/>
        </w:rPr>
        <w:t>全套</w:t>
      </w:r>
      <w:r>
        <w:rPr>
          <w:rFonts w:ascii="宋体" w:hAnsi="宋体" w:cs="宋体"/>
          <w:color w:val="auto"/>
          <w:kern w:val="0"/>
          <w:sz w:val="24"/>
        </w:rPr>
        <w:t>正本、副本文件统一封装在</w:t>
      </w:r>
      <w:r>
        <w:rPr>
          <w:rFonts w:hint="eastAsia" w:ascii="宋体" w:hAnsi="宋体" w:cs="宋体"/>
          <w:color w:val="auto"/>
          <w:kern w:val="0"/>
          <w:sz w:val="24"/>
        </w:rPr>
        <w:t>一件</w:t>
      </w:r>
      <w:r>
        <w:rPr>
          <w:rFonts w:ascii="宋体" w:hAnsi="宋体" w:cs="宋体"/>
          <w:color w:val="auto"/>
          <w:kern w:val="0"/>
          <w:sz w:val="24"/>
        </w:rPr>
        <w:t>包装内。</w:t>
      </w:r>
    </w:p>
    <w:p w14:paraId="57A8145F">
      <w:pPr>
        <w:spacing w:line="360" w:lineRule="auto"/>
        <w:ind w:firstLine="480" w:firstLineChars="200"/>
        <w:rPr>
          <w:rFonts w:ascii="宋体" w:hAnsi="宋体" w:cs="宋体"/>
          <w:color w:val="auto"/>
          <w:kern w:val="0"/>
          <w:sz w:val="24"/>
        </w:rPr>
      </w:pPr>
      <w:r>
        <w:rPr>
          <w:rFonts w:ascii="宋体" w:hAnsi="宋体" w:cs="宋体"/>
          <w:color w:val="auto"/>
          <w:kern w:val="0"/>
          <w:sz w:val="24"/>
        </w:rPr>
        <w:t>1.2.3 每一密封</w:t>
      </w:r>
      <w:r>
        <w:rPr>
          <w:rFonts w:hint="eastAsia" w:ascii="宋体" w:hAnsi="宋体" w:cs="宋体"/>
          <w:color w:val="auto"/>
          <w:kern w:val="0"/>
          <w:sz w:val="24"/>
        </w:rPr>
        <w:t>袋的封口处均应加盖密封章或供应商公章，</w:t>
      </w:r>
      <w:r>
        <w:rPr>
          <w:rFonts w:ascii="宋体" w:hAnsi="宋体" w:cs="宋体"/>
          <w:color w:val="auto"/>
          <w:kern w:val="0"/>
          <w:sz w:val="24"/>
        </w:rPr>
        <w:t>并在封面上标明</w:t>
      </w:r>
      <w:r>
        <w:rPr>
          <w:rFonts w:hint="eastAsia" w:ascii="宋体" w:hAnsi="宋体" w:cs="宋体"/>
          <w:color w:val="auto"/>
          <w:kern w:val="0"/>
          <w:sz w:val="24"/>
        </w:rPr>
        <w:t>采购项目名称、供应商名称及“在xxxx年xx月xx日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385B5B1F">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的提交：供应商应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3431CBE5">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供应商</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5D1AE0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47BAC839">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7FF955FD">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5F30C0D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75314EF8">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6325D453">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2AC1B2B6">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08CCEE59">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088519E0">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005F1C7F">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10C7AF0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6E0434EC">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59FC527D">
      <w:pPr>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72128B8C">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05031CF3">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44B77C93">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5C3890A1">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227ED2F4">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6646F613">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3D672A19">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53C8BEF3">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617F11D6">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48C16416">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5C9C2FC1">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054F5B26">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16F23A77">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72CB5140">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74283344">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4C724A94">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03D27777">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4B03DBCD">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79D4FDBB">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10091864">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7086F033">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658CA042">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5DAE33B0">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2055E8CB">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7DCD6B07">
      <w:pPr>
        <w:spacing w:line="360" w:lineRule="auto"/>
        <w:ind w:firstLine="480" w:firstLineChars="200"/>
        <w:rPr>
          <w:rFonts w:ascii="宋体" w:hAnsi="宋体"/>
          <w:kern w:val="0"/>
          <w:sz w:val="24"/>
        </w:rPr>
      </w:pPr>
      <w:r>
        <w:rPr>
          <w:rFonts w:hint="eastAsia" w:ascii="宋体" w:hAnsi="宋体"/>
          <w:kern w:val="0"/>
          <w:sz w:val="24"/>
          <w:lang w:val="en-US" w:eastAsia="zh-CN"/>
        </w:rPr>
        <w:t>1.1</w:t>
      </w:r>
      <w:r>
        <w:rPr>
          <w:rFonts w:hint="eastAsia" w:ascii="宋体" w:hAnsi="宋体"/>
          <w:kern w:val="0"/>
          <w:sz w:val="24"/>
        </w:rPr>
        <w:t>对报价不高于最高限价的所有竞选人的谈判文件，按照报价由低到高的顺序排序。</w:t>
      </w:r>
    </w:p>
    <w:p w14:paraId="483FFF33">
      <w:pPr>
        <w:spacing w:line="360" w:lineRule="auto"/>
        <w:ind w:firstLine="480" w:firstLineChars="200"/>
        <w:rPr>
          <w:rFonts w:ascii="宋体" w:hAnsi="宋体"/>
          <w:kern w:val="0"/>
          <w:sz w:val="24"/>
        </w:rPr>
      </w:pPr>
      <w:r>
        <w:rPr>
          <w:rFonts w:hint="eastAsia" w:ascii="宋体" w:hAnsi="宋体"/>
          <w:kern w:val="0"/>
          <w:sz w:val="24"/>
          <w:lang w:val="en-US" w:eastAsia="zh-CN"/>
        </w:rPr>
        <w:t>1.2</w:t>
      </w:r>
      <w:r>
        <w:rPr>
          <w:rFonts w:hint="eastAsia" w:ascii="宋体" w:hAnsi="宋体"/>
          <w:kern w:val="0"/>
          <w:sz w:val="24"/>
        </w:rPr>
        <w:t>符合性审查合格的竞选人中，报价最低的成为第一成交候选人，报价次低的成为第二成交候选人，依次类推。</w:t>
      </w:r>
    </w:p>
    <w:p w14:paraId="15FEE3B4">
      <w:pPr>
        <w:spacing w:line="360" w:lineRule="auto"/>
        <w:ind w:firstLine="480" w:firstLineChars="200"/>
        <w:rPr>
          <w:rFonts w:ascii="宋体" w:hAnsi="宋体"/>
          <w:kern w:val="0"/>
          <w:sz w:val="24"/>
        </w:rPr>
      </w:pPr>
      <w:r>
        <w:rPr>
          <w:rFonts w:hint="eastAsia" w:ascii="宋体" w:hAnsi="宋体"/>
          <w:kern w:val="0"/>
          <w:sz w:val="24"/>
          <w:lang w:val="en-US" w:eastAsia="zh-CN"/>
        </w:rPr>
        <w:t>1.3</w:t>
      </w:r>
      <w:r>
        <w:rPr>
          <w:rFonts w:hint="eastAsia" w:ascii="宋体" w:hAnsi="宋体"/>
          <w:kern w:val="0"/>
          <w:sz w:val="24"/>
        </w:rPr>
        <w:t>因谈判小组作否决处理，导致有效供应商不足三个的，谈判小组应当否决所有谈判文件。</w:t>
      </w:r>
    </w:p>
    <w:p w14:paraId="18B3F505">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lang w:val="en-US" w:eastAsia="zh-CN"/>
        </w:rPr>
        <w:t>4</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3891FC82">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3F329949">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7BC175E7">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02CBF69D">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20655CC5">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268FC468">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010D747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383F85D9">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36205A00">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418029A2">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101FB24F">
      <w:pPr>
        <w:widowControl/>
        <w:jc w:val="center"/>
        <w:rPr>
          <w:rFonts w:ascii="宋体" w:hAnsi="宋体"/>
          <w:kern w:val="0"/>
          <w:sz w:val="28"/>
          <w:szCs w:val="28"/>
        </w:rPr>
      </w:pPr>
    </w:p>
    <w:p w14:paraId="22F8E912">
      <w:pPr>
        <w:widowControl/>
        <w:jc w:val="center"/>
        <w:rPr>
          <w:rFonts w:ascii="宋体" w:hAnsi="宋体"/>
          <w:kern w:val="0"/>
          <w:sz w:val="28"/>
          <w:szCs w:val="28"/>
        </w:rPr>
      </w:pPr>
    </w:p>
    <w:p w14:paraId="01FC93BE">
      <w:pPr>
        <w:widowControl/>
        <w:jc w:val="center"/>
        <w:rPr>
          <w:rFonts w:ascii="宋体" w:hAnsi="宋体"/>
          <w:kern w:val="0"/>
          <w:sz w:val="28"/>
          <w:szCs w:val="28"/>
        </w:rPr>
      </w:pPr>
    </w:p>
    <w:p w14:paraId="6D09F875">
      <w:pPr>
        <w:widowControl/>
        <w:jc w:val="center"/>
        <w:rPr>
          <w:rFonts w:ascii="宋体" w:hAnsi="宋体"/>
          <w:kern w:val="0"/>
          <w:sz w:val="28"/>
          <w:szCs w:val="28"/>
        </w:rPr>
      </w:pPr>
    </w:p>
    <w:p w14:paraId="55AB4B13">
      <w:pPr>
        <w:widowControl/>
        <w:jc w:val="center"/>
        <w:rPr>
          <w:rFonts w:ascii="宋体" w:hAnsi="宋体"/>
          <w:kern w:val="0"/>
          <w:sz w:val="28"/>
          <w:szCs w:val="28"/>
        </w:rPr>
      </w:pPr>
    </w:p>
    <w:p w14:paraId="0B5A8D82">
      <w:pPr>
        <w:widowControl/>
        <w:jc w:val="center"/>
        <w:rPr>
          <w:rFonts w:ascii="宋体" w:hAnsi="宋体"/>
          <w:kern w:val="0"/>
          <w:sz w:val="28"/>
          <w:szCs w:val="28"/>
        </w:rPr>
      </w:pPr>
    </w:p>
    <w:p w14:paraId="01394DBF">
      <w:pPr>
        <w:widowControl/>
        <w:jc w:val="center"/>
        <w:rPr>
          <w:rFonts w:ascii="宋体" w:hAnsi="宋体"/>
          <w:kern w:val="0"/>
          <w:sz w:val="28"/>
          <w:szCs w:val="28"/>
        </w:rPr>
      </w:pPr>
    </w:p>
    <w:p w14:paraId="3E5F4D2F">
      <w:pPr>
        <w:widowControl/>
        <w:jc w:val="center"/>
        <w:rPr>
          <w:rFonts w:ascii="宋体" w:hAnsi="宋体"/>
          <w:kern w:val="0"/>
          <w:sz w:val="28"/>
          <w:szCs w:val="28"/>
        </w:rPr>
      </w:pPr>
    </w:p>
    <w:p w14:paraId="11301E6B">
      <w:pPr>
        <w:widowControl/>
        <w:jc w:val="center"/>
        <w:rPr>
          <w:rFonts w:ascii="宋体" w:hAnsi="宋体"/>
          <w:kern w:val="0"/>
          <w:sz w:val="28"/>
          <w:szCs w:val="28"/>
        </w:rPr>
      </w:pPr>
    </w:p>
    <w:p w14:paraId="032ABAD2">
      <w:pPr>
        <w:widowControl/>
        <w:jc w:val="center"/>
        <w:rPr>
          <w:rFonts w:ascii="宋体" w:hAnsi="宋体"/>
          <w:kern w:val="0"/>
          <w:sz w:val="28"/>
          <w:szCs w:val="28"/>
        </w:rPr>
      </w:pPr>
    </w:p>
    <w:p w14:paraId="63D7320B">
      <w:pPr>
        <w:widowControl/>
        <w:jc w:val="center"/>
        <w:rPr>
          <w:rFonts w:ascii="宋体" w:hAnsi="宋体"/>
          <w:kern w:val="0"/>
          <w:sz w:val="28"/>
          <w:szCs w:val="28"/>
        </w:rPr>
      </w:pPr>
    </w:p>
    <w:p w14:paraId="582C64C6">
      <w:pPr>
        <w:widowControl/>
        <w:jc w:val="center"/>
        <w:rPr>
          <w:rFonts w:ascii="宋体" w:hAnsi="宋体"/>
          <w:kern w:val="0"/>
          <w:sz w:val="28"/>
          <w:szCs w:val="28"/>
        </w:rPr>
      </w:pPr>
    </w:p>
    <w:p w14:paraId="21EEC5AD">
      <w:pPr>
        <w:widowControl/>
        <w:jc w:val="center"/>
        <w:rPr>
          <w:rFonts w:ascii="宋体" w:hAnsi="宋体"/>
          <w:kern w:val="0"/>
          <w:sz w:val="28"/>
          <w:szCs w:val="28"/>
        </w:rPr>
      </w:pPr>
    </w:p>
    <w:p w14:paraId="24DCFDB3">
      <w:pPr>
        <w:widowControl/>
        <w:jc w:val="center"/>
        <w:rPr>
          <w:rFonts w:ascii="宋体" w:hAnsi="宋体"/>
          <w:kern w:val="0"/>
          <w:sz w:val="28"/>
          <w:szCs w:val="28"/>
        </w:rPr>
      </w:pPr>
    </w:p>
    <w:p w14:paraId="169086AA">
      <w:pPr>
        <w:widowControl/>
        <w:jc w:val="center"/>
        <w:rPr>
          <w:rFonts w:ascii="宋体" w:hAnsi="宋体"/>
          <w:kern w:val="0"/>
          <w:sz w:val="28"/>
          <w:szCs w:val="28"/>
        </w:rPr>
      </w:pPr>
    </w:p>
    <w:p w14:paraId="4A5BF2CA">
      <w:pPr>
        <w:widowControl/>
        <w:jc w:val="both"/>
        <w:rPr>
          <w:rFonts w:ascii="宋体" w:hAnsi="宋体"/>
          <w:kern w:val="0"/>
          <w:sz w:val="28"/>
          <w:szCs w:val="28"/>
        </w:rPr>
      </w:pPr>
    </w:p>
    <w:p w14:paraId="449987C6">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07E47E94">
      <w:pPr>
        <w:rPr>
          <w:rFonts w:ascii="宋体" w:hAnsi="宋体"/>
          <w:b/>
          <w:kern w:val="0"/>
          <w:sz w:val="24"/>
        </w:rPr>
      </w:pPr>
    </w:p>
    <w:p w14:paraId="4992EDEE">
      <w:pPr>
        <w:ind w:firstLine="643" w:firstLineChars="200"/>
        <w:jc w:val="center"/>
        <w:rPr>
          <w:rFonts w:ascii="宋体" w:hAnsi="宋体"/>
          <w:b/>
          <w:kern w:val="0"/>
          <w:sz w:val="32"/>
        </w:rPr>
      </w:pPr>
      <w:r>
        <w:rPr>
          <w:rFonts w:hint="eastAsia" w:ascii="宋体" w:hAnsi="宋体"/>
          <w:b/>
          <w:kern w:val="0"/>
          <w:sz w:val="32"/>
        </w:rPr>
        <w:t>附件1 谈判响应书</w:t>
      </w:r>
    </w:p>
    <w:p w14:paraId="12FAF12E">
      <w:pPr>
        <w:rPr>
          <w:rFonts w:ascii="宋体" w:hAnsi="宋体"/>
          <w:sz w:val="24"/>
        </w:rPr>
      </w:pPr>
    </w:p>
    <w:p w14:paraId="3842EEF9">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2774F87B">
      <w:pPr>
        <w:rPr>
          <w:rFonts w:ascii="宋体" w:hAnsi="宋体"/>
          <w:sz w:val="24"/>
        </w:rPr>
      </w:pPr>
    </w:p>
    <w:p w14:paraId="61BDFB11">
      <w:pPr>
        <w:pStyle w:val="37"/>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5BFA9F2C">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1A0E993A">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0D87C6D6">
      <w:pPr>
        <w:pStyle w:val="37"/>
        <w:numPr>
          <w:ilvl w:val="0"/>
          <w:numId w:val="8"/>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63D72B8B">
      <w:pPr>
        <w:pStyle w:val="37"/>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12E0D569">
      <w:pPr>
        <w:pStyle w:val="37"/>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409997E2">
      <w:pPr>
        <w:pStyle w:val="37"/>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18048757">
      <w:pPr>
        <w:pStyle w:val="37"/>
        <w:numPr>
          <w:ilvl w:val="0"/>
          <w:numId w:val="9"/>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3CA8607F">
      <w:pPr>
        <w:pStyle w:val="37"/>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0CD10578">
      <w:pPr>
        <w:pStyle w:val="37"/>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C6997B6">
      <w:pPr>
        <w:pStyle w:val="37"/>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26A0F605">
      <w:pPr>
        <w:pStyle w:val="37"/>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A889FC0">
      <w:pPr>
        <w:pStyle w:val="37"/>
        <w:rPr>
          <w:rFonts w:ascii="宋体" w:hAnsi="宋体"/>
          <w:color w:val="auto"/>
        </w:rPr>
      </w:pPr>
      <w:r>
        <w:rPr>
          <w:rFonts w:ascii="宋体" w:hAnsi="宋体"/>
          <w:color w:val="auto"/>
        </w:rPr>
        <w:t>电子邮件：</w:t>
      </w:r>
      <w:r>
        <w:rPr>
          <w:rFonts w:ascii="宋体" w:hAnsi="宋体"/>
          <w:color w:val="auto"/>
          <w:u w:val="single"/>
        </w:rPr>
        <w:t xml:space="preserve">                             </w:t>
      </w:r>
    </w:p>
    <w:p w14:paraId="1D2E2C43">
      <w:pPr>
        <w:pStyle w:val="37"/>
        <w:spacing w:line="480" w:lineRule="auto"/>
        <w:ind w:firstLine="3120" w:firstLineChars="1300"/>
        <w:rPr>
          <w:rFonts w:ascii="宋体" w:hAnsi="宋体"/>
          <w:color w:val="auto"/>
        </w:rPr>
      </w:pPr>
      <w:r>
        <w:rPr>
          <w:rFonts w:ascii="宋体" w:hAnsi="宋体"/>
          <w:color w:val="auto"/>
        </w:rPr>
        <w:t xml:space="preserve">授权代表签字：                         </w:t>
      </w:r>
    </w:p>
    <w:p w14:paraId="18865EF7">
      <w:pPr>
        <w:pStyle w:val="37"/>
        <w:spacing w:line="480" w:lineRule="auto"/>
        <w:ind w:firstLine="3360" w:firstLineChars="1400"/>
        <w:rPr>
          <w:rFonts w:ascii="宋体" w:hAnsi="宋体"/>
          <w:color w:val="auto"/>
        </w:rPr>
      </w:pPr>
      <w:r>
        <w:rPr>
          <w:rFonts w:ascii="宋体" w:hAnsi="宋体"/>
          <w:color w:val="auto"/>
        </w:rPr>
        <w:t>供应商名称：              （加盖公章）</w:t>
      </w:r>
    </w:p>
    <w:p w14:paraId="29FB7D96">
      <w:pPr>
        <w:pStyle w:val="37"/>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2B5930C4">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4142B3AF">
      <w:pPr>
        <w:pStyle w:val="37"/>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5D6BD4F5">
      <w:pPr>
        <w:pStyle w:val="37"/>
        <w:spacing w:line="480" w:lineRule="auto"/>
        <w:ind w:firstLine="482"/>
        <w:jc w:val="center"/>
        <w:rPr>
          <w:rFonts w:ascii="宋体" w:hAnsi="宋体"/>
          <w:b/>
          <w:color w:val="auto"/>
          <w:kern w:val="0"/>
        </w:rPr>
      </w:pPr>
    </w:p>
    <w:p w14:paraId="53F1199F">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3E6DB07D">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ABC7B4B">
      <w:pPr>
        <w:spacing w:line="480" w:lineRule="auto"/>
        <w:rPr>
          <w:rFonts w:ascii="宋体" w:hAnsi="宋体"/>
          <w:color w:val="000000"/>
          <w:sz w:val="24"/>
        </w:rPr>
      </w:pPr>
    </w:p>
    <w:p w14:paraId="7B26E20D">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2E3301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D4ECFCD">
      <w:pPr>
        <w:rPr>
          <w:rFonts w:ascii="宋体" w:hAnsi="宋体"/>
          <w:color w:val="000000"/>
        </w:rPr>
      </w:pPr>
    </w:p>
    <w:p w14:paraId="74284269">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38D36477">
      <w:pPr>
        <w:spacing w:line="360" w:lineRule="auto"/>
        <w:rPr>
          <w:rFonts w:ascii="宋体" w:hAnsi="宋体"/>
          <w:color w:val="000000"/>
          <w:sz w:val="24"/>
        </w:rPr>
      </w:pPr>
    </w:p>
    <w:p w14:paraId="4ED522AB">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B848FE3">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A09C629">
      <w:pPr>
        <w:widowControl/>
        <w:jc w:val="center"/>
        <w:rPr>
          <w:rFonts w:ascii="宋体" w:hAnsi="宋体"/>
          <w:sz w:val="24"/>
        </w:rPr>
      </w:pPr>
    </w:p>
    <w:p w14:paraId="2D09790D">
      <w:pPr>
        <w:pStyle w:val="37"/>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1FB45FB0">
      <w:pPr>
        <w:pStyle w:val="37"/>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0D7DBDF3">
      <w:pPr>
        <w:pStyle w:val="37"/>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10C60A79">
      <w:pPr>
        <w:widowControl/>
        <w:jc w:val="left"/>
        <w:rPr>
          <w:rFonts w:ascii="宋体" w:hAnsi="宋体"/>
          <w:b/>
          <w:kern w:val="0"/>
          <w:sz w:val="28"/>
          <w:szCs w:val="28"/>
        </w:rPr>
      </w:pPr>
      <w:r>
        <w:rPr>
          <w:rFonts w:ascii="宋体" w:hAnsi="宋体"/>
          <w:b/>
          <w:kern w:val="0"/>
          <w:sz w:val="28"/>
          <w:szCs w:val="28"/>
        </w:rPr>
        <w:br w:type="page"/>
      </w:r>
    </w:p>
    <w:p w14:paraId="40662052">
      <w:pPr>
        <w:jc w:val="center"/>
        <w:rPr>
          <w:rFonts w:hint="default"/>
          <w:lang w:val="en-US" w:eastAsia="zh-CN"/>
        </w:rPr>
      </w:pPr>
      <w:r>
        <w:rPr>
          <w:rFonts w:hint="eastAsia" w:ascii="宋体" w:hAnsi="宋体" w:eastAsia="宋体" w:cs="Times New Roman"/>
          <w:b/>
          <w:bCs/>
          <w:kern w:val="44"/>
          <w:sz w:val="44"/>
          <w:szCs w:val="44"/>
          <w:lang w:val="en-US" w:eastAsia="zh-CN" w:bidi="ar-SA"/>
        </w:rPr>
        <w:t>第</w:t>
      </w:r>
      <w:r>
        <w:rPr>
          <w:rFonts w:hint="eastAsia" w:ascii="宋体" w:hAnsi="宋体" w:cs="Times New Roman"/>
          <w:b/>
          <w:bCs/>
          <w:kern w:val="44"/>
          <w:sz w:val="44"/>
          <w:szCs w:val="44"/>
          <w:lang w:val="en-US" w:eastAsia="zh-CN" w:bidi="ar-SA"/>
        </w:rPr>
        <w:t>五</w:t>
      </w:r>
      <w:r>
        <w:rPr>
          <w:rFonts w:hint="eastAsia" w:ascii="宋体" w:hAnsi="宋体" w:eastAsia="宋体" w:cs="Times New Roman"/>
          <w:b/>
          <w:bCs/>
          <w:kern w:val="44"/>
          <w:sz w:val="44"/>
          <w:szCs w:val="44"/>
          <w:lang w:val="en-US" w:eastAsia="zh-CN" w:bidi="ar-SA"/>
        </w:rPr>
        <w:t xml:space="preserve">章  </w:t>
      </w:r>
      <w:r>
        <w:rPr>
          <w:rFonts w:hint="eastAsia" w:ascii="宋体" w:hAnsi="宋体" w:cs="Times New Roman"/>
          <w:b/>
          <w:bCs/>
          <w:kern w:val="44"/>
          <w:sz w:val="44"/>
          <w:szCs w:val="44"/>
          <w:lang w:val="en-US" w:eastAsia="zh-CN" w:bidi="ar-SA"/>
        </w:rPr>
        <w:t>合同模板</w:t>
      </w:r>
      <w:r>
        <w:rPr>
          <w:rFonts w:hint="default"/>
          <w:lang w:val="en-US" w:eastAsia="zh-CN"/>
        </w:rPr>
        <w:br w:type="page"/>
      </w:r>
    </w:p>
    <w:p w14:paraId="1ADDDB63">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4AC096EE">
      <w:pPr>
        <w:jc w:val="center"/>
        <w:rPr>
          <w:rFonts w:eastAsia="华文中宋"/>
          <w:b/>
          <w:color w:val="000000"/>
          <w:sz w:val="52"/>
          <w:szCs w:val="52"/>
        </w:rPr>
      </w:pPr>
    </w:p>
    <w:p w14:paraId="7DAE31AD">
      <w:pPr>
        <w:jc w:val="center"/>
        <w:rPr>
          <w:rFonts w:eastAsia="华文中宋"/>
          <w:b/>
          <w:color w:val="000000"/>
          <w:sz w:val="52"/>
          <w:szCs w:val="52"/>
        </w:rPr>
      </w:pPr>
    </w:p>
    <w:p w14:paraId="6E05CDAD">
      <w:pPr>
        <w:jc w:val="center"/>
        <w:rPr>
          <w:rFonts w:eastAsia="华文中宋"/>
          <w:b/>
          <w:color w:val="000000"/>
          <w:sz w:val="52"/>
          <w:szCs w:val="52"/>
        </w:rPr>
      </w:pPr>
    </w:p>
    <w:p w14:paraId="1D5195B7">
      <w:pPr>
        <w:jc w:val="center"/>
        <w:rPr>
          <w:rFonts w:eastAsia="华文中宋"/>
          <w:b/>
          <w:color w:val="000000"/>
          <w:sz w:val="52"/>
          <w:szCs w:val="52"/>
        </w:rPr>
      </w:pPr>
    </w:p>
    <w:p w14:paraId="35367AAC">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08BA7D07">
      <w:pPr>
        <w:jc w:val="center"/>
        <w:rPr>
          <w:rFonts w:eastAsia="华文中宋"/>
          <w:b/>
          <w:color w:val="000000"/>
          <w:sz w:val="52"/>
          <w:szCs w:val="52"/>
        </w:rPr>
      </w:pPr>
    </w:p>
    <w:p w14:paraId="1D645E5A">
      <w:pPr>
        <w:jc w:val="center"/>
        <w:rPr>
          <w:rFonts w:eastAsia="黑体"/>
          <w:b/>
          <w:color w:val="000000"/>
          <w:sz w:val="72"/>
          <w:szCs w:val="72"/>
        </w:rPr>
      </w:pPr>
    </w:p>
    <w:p w14:paraId="381C4AE1">
      <w:pPr>
        <w:jc w:val="center"/>
        <w:rPr>
          <w:rFonts w:eastAsia="楷体_GB2312"/>
          <w:b/>
          <w:color w:val="000000"/>
          <w:sz w:val="72"/>
          <w:szCs w:val="72"/>
        </w:rPr>
      </w:pPr>
    </w:p>
    <w:p w14:paraId="19A91E5A">
      <w:pPr>
        <w:jc w:val="center"/>
        <w:rPr>
          <w:rFonts w:eastAsia="黑体"/>
          <w:b/>
          <w:color w:val="000000"/>
          <w:sz w:val="52"/>
          <w:szCs w:val="52"/>
        </w:rPr>
      </w:pPr>
    </w:p>
    <w:p w14:paraId="1755902A">
      <w:pPr>
        <w:rPr>
          <w:b/>
          <w:color w:val="000000"/>
          <w:sz w:val="28"/>
          <w:szCs w:val="28"/>
        </w:rPr>
      </w:pPr>
    </w:p>
    <w:p w14:paraId="09395EE2">
      <w:pPr>
        <w:rPr>
          <w:b/>
          <w:color w:val="000000"/>
          <w:sz w:val="28"/>
          <w:szCs w:val="28"/>
        </w:rPr>
      </w:pPr>
    </w:p>
    <w:p w14:paraId="7B6B45FF">
      <w:pPr>
        <w:rPr>
          <w:b/>
          <w:color w:val="000000"/>
          <w:sz w:val="28"/>
          <w:szCs w:val="28"/>
        </w:rPr>
      </w:pPr>
    </w:p>
    <w:p w14:paraId="167BDBD4">
      <w:pPr>
        <w:rPr>
          <w:b/>
          <w:color w:val="000000"/>
          <w:sz w:val="28"/>
          <w:szCs w:val="28"/>
        </w:rPr>
      </w:pPr>
    </w:p>
    <w:p w14:paraId="19CB63A5">
      <w:pPr>
        <w:rPr>
          <w:b/>
          <w:color w:val="000000"/>
          <w:sz w:val="28"/>
          <w:szCs w:val="28"/>
        </w:rPr>
      </w:pPr>
    </w:p>
    <w:p w14:paraId="4B8A3F01">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F599849">
                            <w:pPr>
                              <w:rPr>
                                <w:rFonts w:hint="eastAsia"/>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14:paraId="3F599849">
                      <w:pPr>
                        <w:rPr>
                          <w:rFonts w:hint="eastAsia"/>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761EC3A7">
      <w:pPr>
        <w:ind w:right="2719" w:rightChars="1295" w:firstLine="2750" w:firstLineChars="856"/>
        <w:jc w:val="distribute"/>
        <w:rPr>
          <w:rFonts w:hint="eastAsia"/>
          <w:b/>
          <w:color w:val="000000"/>
          <w:sz w:val="32"/>
          <w:szCs w:val="28"/>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204" w:name="_Toc296503025"/>
      <w:bookmarkStart w:id="205" w:name="_Toc296890982"/>
    </w:p>
    <w:p w14:paraId="19405D16">
      <w:pPr>
        <w:tabs>
          <w:tab w:val="left" w:pos="2424"/>
        </w:tabs>
        <w:rPr>
          <w:rFonts w:eastAsia="华文中宋"/>
          <w:b/>
          <w:color w:val="000000"/>
          <w:sz w:val="44"/>
          <w:szCs w:val="44"/>
        </w:rPr>
      </w:pPr>
      <w:bookmarkStart w:id="206"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204"/>
      <w:bookmarkEnd w:id="205"/>
      <w:bookmarkEnd w:id="206"/>
    </w:p>
    <w:p w14:paraId="7831B355">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44F1E38F">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0ABFE3B6">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3BDFF934">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6171FEF2">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07" w:name="_Toc351203481"/>
      <w:r>
        <w:rPr>
          <w:rFonts w:ascii="Times New Roman" w:hAnsi="Times New Roman" w:eastAsia="黑体" w:cs="Times New Roman"/>
          <w:b w:val="0"/>
          <w:bCs/>
          <w:color w:val="000000"/>
          <w:kern w:val="2"/>
          <w:sz w:val="32"/>
          <w:szCs w:val="32"/>
          <w:lang w:val="en-US" w:eastAsia="zh-CN" w:bidi="ar-SA"/>
        </w:rPr>
        <w:t>一、工程概况</w:t>
      </w:r>
      <w:bookmarkEnd w:id="207"/>
    </w:p>
    <w:p w14:paraId="78AA1CB6">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58399DA3">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02F5F8DE">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140D62BA">
      <w:pPr>
        <w:spacing w:line="360" w:lineRule="auto"/>
        <w:ind w:firstLine="588" w:firstLineChars="196"/>
        <w:rPr>
          <w:rFonts w:hint="eastAsia"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5E230BFA">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39E8C3CE">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7D096A65">
      <w:pPr>
        <w:widowControl w:val="0"/>
        <w:adjustRightInd w:val="0"/>
        <w:spacing w:after="60" w:afterLines="0" w:line="360" w:lineRule="atLeast"/>
        <w:ind w:left="0" w:leftChars="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bCs/>
          <w:color w:val="000000"/>
          <w:kern w:val="0"/>
          <w:sz w:val="30"/>
          <w:szCs w:val="30"/>
          <w:lang w:val="en-US" w:eastAsia="zh-CN" w:bidi="ar-SA"/>
        </w:rPr>
        <w:t>7</w:t>
      </w:r>
      <w:r>
        <w:rPr>
          <w:rFonts w:ascii="Times New Roman" w:hAnsi="Times New Roman" w:eastAsia="仿宋_GB2312" w:cs="Times New Roman"/>
          <w:bCs/>
          <w:color w:val="000000"/>
          <w:kern w:val="0"/>
          <w:sz w:val="30"/>
          <w:szCs w:val="30"/>
          <w:lang w:val="en-US" w:eastAsia="zh-CN" w:bidi="ar-SA"/>
        </w:rPr>
        <w:t>.</w:t>
      </w:r>
      <w:r>
        <w:rPr>
          <w:rFonts w:hint="eastAsia" w:ascii="Times New Roman" w:hAnsi="Times New Roman" w:eastAsia="仿宋_GB2312" w:cs="Times New Roman"/>
          <w:bCs/>
          <w:color w:val="000000"/>
          <w:kern w:val="0"/>
          <w:sz w:val="30"/>
          <w:szCs w:val="30"/>
          <w:lang w:val="en-US" w:eastAsia="zh-CN" w:bidi="ar-SA"/>
        </w:rPr>
        <w:t>甲供材</w:t>
      </w:r>
      <w:r>
        <w:rPr>
          <w:rFonts w:ascii="Times New Roman" w:hAnsi="Times New Roman" w:eastAsia="仿宋_GB2312" w:cs="Times New Roman"/>
          <w:bCs/>
          <w:color w:val="000000"/>
          <w:kern w:val="0"/>
          <w:sz w:val="30"/>
          <w:szCs w:val="30"/>
          <w:lang w:val="en-US" w:eastAsia="zh-CN" w:bidi="ar-SA"/>
        </w:rPr>
        <w:t>范围：</w:t>
      </w:r>
      <w:r>
        <w:rPr>
          <w:rFonts w:ascii="Times New Roman" w:hAnsi="Times New Roman" w:eastAsia="仿宋_GB2312" w:cs="Times New Roman"/>
          <w:color w:val="000000"/>
          <w:kern w:val="0"/>
          <w:sz w:val="30"/>
          <w:szCs w:val="30"/>
          <w:u w:val="single"/>
          <w:lang w:val="en-US" w:eastAsia="zh-CN" w:bidi="ar-SA"/>
        </w:rPr>
        <w:t xml:space="preserve">                            </w:t>
      </w:r>
      <w:r>
        <w:rPr>
          <w:rFonts w:ascii="Times New Roman" w:hAnsi="Times New Roman" w:eastAsia="仿宋_GB2312" w:cs="Times New Roman"/>
          <w:color w:val="000000"/>
          <w:kern w:val="0"/>
          <w:sz w:val="30"/>
          <w:szCs w:val="30"/>
          <w:lang w:val="en-US" w:eastAsia="zh-CN" w:bidi="ar-SA"/>
        </w:rPr>
        <w:t>。</w:t>
      </w:r>
    </w:p>
    <w:p w14:paraId="0764B904">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40E426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   </w:t>
      </w:r>
      <w:bookmarkStart w:id="208" w:name="_Toc351203482"/>
      <w:r>
        <w:rPr>
          <w:rFonts w:ascii="Times New Roman" w:hAnsi="Times New Roman" w:eastAsia="黑体" w:cs="Times New Roman"/>
          <w:b w:val="0"/>
          <w:bCs/>
          <w:color w:val="000000"/>
          <w:kern w:val="2"/>
          <w:sz w:val="32"/>
          <w:szCs w:val="32"/>
          <w:lang w:val="en-US" w:eastAsia="zh-CN" w:bidi="ar-SA"/>
        </w:rPr>
        <w:t>二、合同工期</w:t>
      </w:r>
      <w:bookmarkEnd w:id="208"/>
    </w:p>
    <w:p w14:paraId="644472F6">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092257E1">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5D153413">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1CA9F7D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09" w:name="_Toc351203483"/>
      <w:r>
        <w:rPr>
          <w:rFonts w:ascii="Times New Roman" w:hAnsi="Times New Roman" w:eastAsia="黑体" w:cs="Times New Roman"/>
          <w:b w:val="0"/>
          <w:bCs/>
          <w:color w:val="000000"/>
          <w:kern w:val="2"/>
          <w:sz w:val="32"/>
          <w:szCs w:val="32"/>
          <w:lang w:val="en-US" w:eastAsia="zh-CN" w:bidi="ar-SA"/>
        </w:rPr>
        <w:t>三、质量标准</w:t>
      </w:r>
      <w:bookmarkEnd w:id="209"/>
    </w:p>
    <w:p w14:paraId="631D315B">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728DC20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0" w:name="_Toc351203484"/>
      <w:r>
        <w:rPr>
          <w:rFonts w:ascii="Times New Roman" w:hAnsi="Times New Roman" w:eastAsia="黑体" w:cs="Times New Roman"/>
          <w:b w:val="0"/>
          <w:bCs/>
          <w:color w:val="000000"/>
          <w:kern w:val="2"/>
          <w:sz w:val="32"/>
          <w:szCs w:val="32"/>
          <w:lang w:val="en-US" w:eastAsia="zh-CN" w:bidi="ar-SA"/>
        </w:rPr>
        <w:t>四、签约合同价与合同价格形式</w:t>
      </w:r>
      <w:bookmarkEnd w:id="210"/>
      <w:r>
        <w:rPr>
          <w:rFonts w:ascii="Times New Roman" w:hAnsi="Times New Roman" w:eastAsia="黑体" w:cs="Times New Roman"/>
          <w:b w:val="0"/>
          <w:bCs/>
          <w:color w:val="000000"/>
          <w:kern w:val="2"/>
          <w:sz w:val="32"/>
          <w:szCs w:val="32"/>
          <w:lang w:val="en-US" w:eastAsia="zh-CN" w:bidi="ar-SA"/>
        </w:rPr>
        <w:tab/>
      </w:r>
    </w:p>
    <w:p w14:paraId="591B2D29">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6BE630D1">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r>
        <w:rPr>
          <w:rFonts w:hint="eastAsia" w:eastAsia="仿宋_GB2312"/>
          <w:color w:val="000000"/>
          <w:sz w:val="30"/>
          <w:szCs w:val="30"/>
          <w:lang w:eastAsia="zh-CN"/>
        </w:rPr>
        <w:t>（</w:t>
      </w:r>
      <w:r>
        <w:rPr>
          <w:rFonts w:hint="eastAsia" w:eastAsia="仿宋_GB2312"/>
          <w:color w:val="000000"/>
          <w:sz w:val="30"/>
          <w:szCs w:val="30"/>
          <w:lang w:val="en-US" w:eastAsia="zh-CN"/>
        </w:rPr>
        <w:t>含9%增值税</w:t>
      </w:r>
      <w:r>
        <w:rPr>
          <w:rFonts w:hint="eastAsia" w:eastAsia="仿宋_GB2312"/>
          <w:color w:val="000000"/>
          <w:sz w:val="30"/>
          <w:szCs w:val="30"/>
          <w:lang w:eastAsia="zh-CN"/>
        </w:rPr>
        <w:t>）</w:t>
      </w:r>
      <w:r>
        <w:rPr>
          <w:rFonts w:eastAsia="仿宋_GB2312"/>
          <w:color w:val="000000"/>
          <w:sz w:val="30"/>
          <w:szCs w:val="30"/>
        </w:rPr>
        <w:t>；</w:t>
      </w:r>
    </w:p>
    <w:p w14:paraId="65FBBE89">
      <w:pPr>
        <w:spacing w:line="360" w:lineRule="auto"/>
        <w:ind w:firstLine="600" w:firstLineChars="200"/>
        <w:rPr>
          <w:rFonts w:eastAsia="仿宋_GB2312"/>
          <w:color w:val="000000"/>
          <w:sz w:val="30"/>
          <w:szCs w:val="30"/>
        </w:rPr>
      </w:pPr>
      <w:r>
        <w:rPr>
          <w:rFonts w:eastAsia="仿宋_GB2312"/>
          <w:color w:val="000000"/>
          <w:sz w:val="30"/>
          <w:szCs w:val="30"/>
        </w:rPr>
        <w:t>其中：</w:t>
      </w:r>
    </w:p>
    <w:p w14:paraId="3612DD37">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344ADF05">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103F0B97">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085607EF">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03B73E7A">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08A9C276">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6B2F3BD5">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1746A01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1" w:name="_Toc351203485"/>
      <w:r>
        <w:rPr>
          <w:rFonts w:ascii="Times New Roman" w:hAnsi="Times New Roman" w:eastAsia="黑体" w:cs="Times New Roman"/>
          <w:b w:val="0"/>
          <w:bCs/>
          <w:color w:val="000000"/>
          <w:kern w:val="2"/>
          <w:sz w:val="32"/>
          <w:szCs w:val="32"/>
          <w:lang w:val="en-US" w:eastAsia="zh-CN" w:bidi="ar-SA"/>
        </w:rPr>
        <w:t>五、</w:t>
      </w:r>
      <w:bookmarkEnd w:id="211"/>
      <w:r>
        <w:rPr>
          <w:rFonts w:ascii="Times New Roman" w:hAnsi="Times New Roman" w:eastAsia="黑体" w:cs="Times New Roman"/>
          <w:b w:val="0"/>
          <w:bCs/>
          <w:color w:val="000000"/>
          <w:kern w:val="2"/>
          <w:sz w:val="32"/>
          <w:szCs w:val="32"/>
          <w:lang w:val="en-US" w:eastAsia="zh-CN" w:bidi="ar-SA"/>
        </w:rPr>
        <w:t>项目经理</w:t>
      </w:r>
    </w:p>
    <w:p w14:paraId="7D7FBD8F">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265639E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2" w:name="_Toc351203486"/>
      <w:r>
        <w:rPr>
          <w:rFonts w:ascii="Times New Roman" w:hAnsi="Times New Roman" w:eastAsia="黑体" w:cs="Times New Roman"/>
          <w:b w:val="0"/>
          <w:bCs/>
          <w:color w:val="000000"/>
          <w:kern w:val="2"/>
          <w:sz w:val="32"/>
          <w:szCs w:val="32"/>
          <w:lang w:val="en-US" w:eastAsia="zh-CN" w:bidi="ar-SA"/>
        </w:rPr>
        <w:t>六、合同文件构成</w:t>
      </w:r>
      <w:bookmarkEnd w:id="212"/>
    </w:p>
    <w:p w14:paraId="25C397A9">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235D01D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lang w:eastAsia="zh-CN"/>
        </w:rPr>
        <w:t>中选</w:t>
      </w:r>
      <w:r>
        <w:rPr>
          <w:rFonts w:eastAsia="仿宋_GB2312"/>
          <w:color w:val="000000"/>
          <w:sz w:val="30"/>
          <w:szCs w:val="30"/>
        </w:rPr>
        <w:t>通知书（如果有）；</w:t>
      </w:r>
    </w:p>
    <w:p w14:paraId="4FC518E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2F3A16E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2C5AAAE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1FC4048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55472F48">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7CBAB69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35D1C8EE">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（8）</w:t>
      </w:r>
      <w:r>
        <w:rPr>
          <w:rFonts w:hint="eastAsia" w:eastAsia="仿宋_GB2312"/>
          <w:color w:val="000000"/>
          <w:sz w:val="30"/>
          <w:szCs w:val="30"/>
        </w:rPr>
        <w:t>招标文件</w:t>
      </w:r>
    </w:p>
    <w:p w14:paraId="4019A6A6">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6D2802BA">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759FF6CF">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17D7C246">
      <w:pPr>
        <w:keepNext/>
        <w:keepLines/>
        <w:widowControl w:val="0"/>
        <w:spacing w:before="120" w:beforeLines="0" w:after="120" w:afterLines="0" w:line="360" w:lineRule="auto"/>
        <w:jc w:val="both"/>
        <w:outlineLvl w:val="3"/>
        <w:rPr>
          <w:rFonts w:ascii="Times New Roman" w:hAnsi="Times New Roman" w:eastAsia="黑体" w:cs="Times New Roman"/>
          <w:b w:val="0"/>
          <w:bCs w:val="0"/>
          <w:color w:val="000000"/>
          <w:kern w:val="2"/>
          <w:sz w:val="32"/>
          <w:szCs w:val="32"/>
          <w:lang w:val="en-US" w:eastAsia="zh-CN" w:bidi="ar-SA"/>
        </w:rPr>
      </w:pPr>
      <w:r>
        <w:rPr>
          <w:rFonts w:ascii="Times New Roman" w:hAnsi="Times New Roman" w:eastAsia="黑体" w:cs="Times New Roman"/>
          <w:b w:val="0"/>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3" w:name="_Toc351203487"/>
      <w:r>
        <w:rPr>
          <w:rFonts w:ascii="Times New Roman" w:hAnsi="Times New Roman" w:eastAsia="黑体" w:cs="Times New Roman"/>
          <w:b w:val="0"/>
          <w:bCs/>
          <w:color w:val="000000"/>
          <w:kern w:val="2"/>
          <w:sz w:val="32"/>
          <w:szCs w:val="32"/>
          <w:lang w:val="en-US" w:eastAsia="zh-CN" w:bidi="ar-SA"/>
        </w:rPr>
        <w:t>七、承诺</w:t>
      </w:r>
      <w:bookmarkEnd w:id="213"/>
    </w:p>
    <w:p w14:paraId="77112293">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0DAC9C46">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45434214">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4946EB3C">
      <w:pPr>
        <w:spacing w:line="360" w:lineRule="auto"/>
        <w:rPr>
          <w:rFonts w:eastAsia="黑体"/>
          <w:bCs/>
          <w:color w:val="000000"/>
          <w:sz w:val="32"/>
          <w:szCs w:val="32"/>
        </w:rPr>
      </w:pPr>
      <w:bookmarkStart w:id="214" w:name="_Toc351203488"/>
      <w:r>
        <w:rPr>
          <w:rFonts w:hint="eastAsia" w:eastAsia="黑体"/>
          <w:b/>
          <w:color w:val="000000"/>
          <w:sz w:val="32"/>
          <w:szCs w:val="32"/>
        </w:rPr>
        <w:t xml:space="preserve">    </w:t>
      </w:r>
      <w:r>
        <w:rPr>
          <w:rFonts w:eastAsia="黑体"/>
          <w:b/>
          <w:color w:val="000000"/>
          <w:sz w:val="32"/>
          <w:szCs w:val="32"/>
        </w:rPr>
        <w:t>八、词语含义</w:t>
      </w:r>
      <w:bookmarkEnd w:id="214"/>
    </w:p>
    <w:p w14:paraId="3BF90C97">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52CBD850">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5" w:name="_Toc351203489"/>
      <w:r>
        <w:rPr>
          <w:rFonts w:ascii="Times New Roman" w:hAnsi="Times New Roman" w:eastAsia="黑体" w:cs="Times New Roman"/>
          <w:b w:val="0"/>
          <w:bCs/>
          <w:color w:val="000000"/>
          <w:kern w:val="2"/>
          <w:sz w:val="32"/>
          <w:szCs w:val="32"/>
          <w:lang w:val="en-US" w:eastAsia="zh-CN" w:bidi="ar-SA"/>
        </w:rPr>
        <w:t>九、签订时间</w:t>
      </w:r>
      <w:bookmarkEnd w:id="215"/>
    </w:p>
    <w:p w14:paraId="696BE3CA">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549C961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6" w:name="_Toc351203490"/>
      <w:r>
        <w:rPr>
          <w:rFonts w:ascii="Times New Roman" w:hAnsi="Times New Roman" w:eastAsia="黑体" w:cs="Times New Roman"/>
          <w:b w:val="0"/>
          <w:bCs/>
          <w:color w:val="000000"/>
          <w:kern w:val="2"/>
          <w:sz w:val="32"/>
          <w:szCs w:val="32"/>
          <w:lang w:val="en-US" w:eastAsia="zh-CN" w:bidi="ar-SA"/>
        </w:rPr>
        <w:t>十、签订地点</w:t>
      </w:r>
      <w:bookmarkEnd w:id="216"/>
    </w:p>
    <w:p w14:paraId="2AA69BFD">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66E3C2CC">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7" w:name="_Toc351203491"/>
      <w:r>
        <w:rPr>
          <w:rFonts w:ascii="Times New Roman" w:hAnsi="Times New Roman" w:eastAsia="黑体" w:cs="Times New Roman"/>
          <w:b w:val="0"/>
          <w:bCs/>
          <w:color w:val="000000"/>
          <w:kern w:val="2"/>
          <w:sz w:val="32"/>
          <w:szCs w:val="32"/>
          <w:lang w:val="en-US" w:eastAsia="zh-CN" w:bidi="ar-SA"/>
        </w:rPr>
        <w:t>十一、补充协议</w:t>
      </w:r>
      <w:bookmarkEnd w:id="217"/>
    </w:p>
    <w:p w14:paraId="7817D473">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77CFB968">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8" w:name="_Toc351203492"/>
      <w:r>
        <w:rPr>
          <w:rFonts w:ascii="Times New Roman" w:hAnsi="Times New Roman" w:eastAsia="黑体" w:cs="Times New Roman"/>
          <w:b w:val="0"/>
          <w:bCs/>
          <w:color w:val="000000"/>
          <w:kern w:val="2"/>
          <w:sz w:val="32"/>
          <w:szCs w:val="32"/>
          <w:lang w:val="en-US" w:eastAsia="zh-CN" w:bidi="ar-SA"/>
        </w:rPr>
        <w:t>十二、合同生效</w:t>
      </w:r>
      <w:bookmarkEnd w:id="218"/>
    </w:p>
    <w:p w14:paraId="399DB9EB">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0D7651FA">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9" w:name="_Toc351203493"/>
      <w:r>
        <w:rPr>
          <w:rFonts w:ascii="Times New Roman" w:hAnsi="Times New Roman" w:eastAsia="黑体" w:cs="Times New Roman"/>
          <w:b w:val="0"/>
          <w:bCs/>
          <w:color w:val="000000"/>
          <w:kern w:val="2"/>
          <w:sz w:val="32"/>
          <w:szCs w:val="32"/>
          <w:lang w:val="en-US" w:eastAsia="zh-CN" w:bidi="ar-SA"/>
        </w:rPr>
        <w:t>十三、合同份数</w:t>
      </w:r>
      <w:bookmarkEnd w:id="219"/>
    </w:p>
    <w:p w14:paraId="697259A1">
      <w:pPr>
        <w:spacing w:line="360" w:lineRule="auto"/>
        <w:ind w:firstLine="600" w:firstLineChars="200"/>
        <w:rPr>
          <w:rFonts w:hint="eastAsia"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287586BE">
      <w:pPr>
        <w:spacing w:line="360" w:lineRule="auto"/>
        <w:rPr>
          <w:rFonts w:hint="eastAsia" w:eastAsia="仿宋_GB2312"/>
          <w:bCs/>
          <w:color w:val="000000"/>
          <w:sz w:val="30"/>
          <w:szCs w:val="30"/>
        </w:rPr>
      </w:pPr>
    </w:p>
    <w:p w14:paraId="3B78E174">
      <w:pPr>
        <w:spacing w:line="360" w:lineRule="auto"/>
        <w:rPr>
          <w:rFonts w:hint="eastAsia" w:eastAsia="仿宋_GB2312"/>
          <w:color w:val="000000"/>
          <w:sz w:val="30"/>
          <w:szCs w:val="30"/>
        </w:rPr>
      </w:pPr>
    </w:p>
    <w:p w14:paraId="0E3F9267">
      <w:pPr>
        <w:spacing w:line="360" w:lineRule="auto"/>
        <w:rPr>
          <w:rFonts w:hint="eastAsia"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4EFBEBCC">
      <w:pPr>
        <w:spacing w:line="360" w:lineRule="auto"/>
        <w:rPr>
          <w:rFonts w:hint="eastAsia" w:eastAsia="仿宋_GB2312"/>
          <w:color w:val="000000"/>
          <w:sz w:val="30"/>
          <w:szCs w:val="30"/>
          <w:u w:val="single"/>
        </w:rPr>
      </w:pPr>
      <w:r>
        <w:rPr>
          <w:rFonts w:hint="eastAsia" w:eastAsia="仿宋_GB2312"/>
          <w:color w:val="000000"/>
          <w:sz w:val="30"/>
          <w:szCs w:val="30"/>
        </w:rPr>
        <w:t xml:space="preserve">                                 </w:t>
      </w:r>
    </w:p>
    <w:p w14:paraId="39D915CF">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14:paraId="1839C61B">
      <w:pPr>
        <w:spacing w:line="360" w:lineRule="auto"/>
        <w:rPr>
          <w:rFonts w:hint="eastAsia" w:eastAsia="仿宋_GB2312"/>
          <w:color w:val="000000"/>
          <w:sz w:val="30"/>
          <w:szCs w:val="30"/>
        </w:rPr>
      </w:pPr>
      <w:r>
        <w:rPr>
          <w:rFonts w:hint="eastAsia" w:eastAsia="仿宋_GB2312"/>
          <w:color w:val="000000"/>
          <w:sz w:val="30"/>
          <w:szCs w:val="30"/>
        </w:rPr>
        <w:t>（签字）                    （签字）</w:t>
      </w:r>
    </w:p>
    <w:p w14:paraId="1FE1AF67">
      <w:pPr>
        <w:spacing w:line="360" w:lineRule="auto"/>
        <w:rPr>
          <w:rFonts w:hint="eastAsia" w:eastAsia="仿宋_GB2312"/>
          <w:color w:val="000000"/>
          <w:sz w:val="30"/>
          <w:szCs w:val="30"/>
          <w:u w:val="single"/>
        </w:rPr>
      </w:pPr>
    </w:p>
    <w:p w14:paraId="6C7B1557">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2FE10920">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154C601">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468FF2E5">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85461B3">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6D6128B">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7731AF6">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F4EF453">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6CBD8457">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2A5979FF">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388D38C4">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仿宋_GB2312" w:cs="Times New Roman"/>
          <w:b/>
          <w:bCs/>
          <w:kern w:val="2"/>
          <w:sz w:val="32"/>
          <w:szCs w:val="32"/>
          <w:lang w:val="en-US" w:eastAsia="zh-CN" w:bidi="ar-SA"/>
        </w:rPr>
        <w:br w:type="page"/>
      </w:r>
      <w:bookmarkStart w:id="220" w:name="_Toc351203494"/>
      <w:r>
        <w:rPr>
          <w:rFonts w:ascii="华文中宋" w:hAnsi="华文中宋" w:eastAsia="华文中宋" w:cs="Times New Roman"/>
          <w:b/>
          <w:bCs/>
          <w:kern w:val="2"/>
          <w:sz w:val="44"/>
          <w:szCs w:val="44"/>
          <w:lang w:val="en-US" w:eastAsia="zh-CN" w:bidi="ar-SA"/>
        </w:rPr>
        <w:t>第二部分 通用合同条款</w:t>
      </w:r>
      <w:bookmarkEnd w:id="220"/>
      <w:bookmarkStart w:id="221" w:name="_Toc337558727"/>
    </w:p>
    <w:p w14:paraId="2A649A0D">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4542BC4B">
      <w:pPr>
        <w:keepNext/>
        <w:keepLines/>
        <w:widowControl w:val="0"/>
        <w:spacing w:before="260" w:beforeLines="0" w:after="260" w:afterLines="0" w:line="413" w:lineRule="auto"/>
        <w:jc w:val="both"/>
        <w:outlineLvl w:val="2"/>
        <w:rPr>
          <w:rFonts w:ascii="华文中宋" w:hAnsi="华文中宋" w:eastAsia="华文中宋" w:cs="Times New Roman"/>
          <w:b/>
          <w:bCs/>
          <w:kern w:val="2"/>
          <w:sz w:val="44"/>
          <w:szCs w:val="44"/>
          <w:lang w:val="en-US" w:eastAsia="zh-CN" w:bidi="ar-SA"/>
        </w:rPr>
      </w:pPr>
    </w:p>
    <w:p w14:paraId="620B621C">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宋体" w:cs="Times New Roman"/>
          <w:b/>
          <w:bCs/>
          <w:kern w:val="2"/>
          <w:sz w:val="32"/>
          <w:szCs w:val="32"/>
          <w:lang w:val="en-US" w:eastAsia="zh-CN" w:bidi="ar-SA"/>
        </w:rPr>
        <w:br w:type="page"/>
      </w:r>
      <w:bookmarkEnd w:id="221"/>
      <w:bookmarkStart w:id="222" w:name="_Toc351203632"/>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222"/>
    </w:p>
    <w:p w14:paraId="4076FCC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23" w:name="_Toc351203633"/>
      <w:r>
        <w:rPr>
          <w:rFonts w:ascii="Times New Roman" w:hAnsi="Times New Roman" w:eastAsia="黑体" w:cs="Times New Roman"/>
          <w:b w:val="0"/>
          <w:bCs/>
          <w:color w:val="000000"/>
          <w:kern w:val="2"/>
          <w:sz w:val="32"/>
          <w:szCs w:val="32"/>
          <w:lang w:val="en-US" w:eastAsia="zh-CN" w:bidi="ar-SA"/>
        </w:rPr>
        <w:t>1</w:t>
      </w:r>
      <w:bookmarkStart w:id="224" w:name="_Toc296891196"/>
      <w:bookmarkStart w:id="225" w:name="_Toc292559866"/>
      <w:bookmarkStart w:id="226" w:name="_Toc296503156"/>
      <w:bookmarkStart w:id="227" w:name="_Toc296944495"/>
      <w:bookmarkStart w:id="228" w:name="_Toc296346657"/>
      <w:bookmarkStart w:id="229" w:name="_Toc296890984"/>
      <w:bookmarkStart w:id="230" w:name="_Toc297048342"/>
      <w:bookmarkStart w:id="231" w:name="_Toc292559361"/>
      <w:bookmarkStart w:id="232" w:name="_Toc297120456"/>
      <w:bookmarkStart w:id="233" w:name="_Toc296347155"/>
      <w:r>
        <w:rPr>
          <w:rFonts w:ascii="Times New Roman" w:hAnsi="Times New Roman" w:eastAsia="黑体" w:cs="Times New Roman"/>
          <w:b w:val="0"/>
          <w:bCs/>
          <w:color w:val="000000"/>
          <w:kern w:val="2"/>
          <w:sz w:val="32"/>
          <w:szCs w:val="32"/>
          <w:lang w:val="en-US" w:eastAsia="zh-CN" w:bidi="ar-SA"/>
        </w:rPr>
        <w:t>. 一般约定</w:t>
      </w:r>
      <w:bookmarkEnd w:id="223"/>
    </w:p>
    <w:bookmarkEnd w:id="224"/>
    <w:bookmarkEnd w:id="225"/>
    <w:bookmarkEnd w:id="226"/>
    <w:bookmarkEnd w:id="227"/>
    <w:bookmarkEnd w:id="228"/>
    <w:bookmarkEnd w:id="229"/>
    <w:bookmarkEnd w:id="230"/>
    <w:bookmarkEnd w:id="231"/>
    <w:bookmarkEnd w:id="232"/>
    <w:bookmarkEnd w:id="233"/>
    <w:p w14:paraId="2A9C62E5">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1EADC25A">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0440617C">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6241630B">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43986BF0">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2BD6CB17">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3D33B592">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6B845BE4">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60DCAA7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4C276D0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1AF732A5">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lang w:eastAsia="zh-CN"/>
        </w:rPr>
        <w:t>中选</w:t>
      </w:r>
      <w:r>
        <w:rPr>
          <w:rFonts w:hint="eastAsia" w:eastAsia="仿宋_GB2312"/>
          <w:color w:val="000000"/>
          <w:sz w:val="30"/>
          <w:szCs w:val="32"/>
        </w:rPr>
        <w:t>通知书</w:t>
      </w:r>
      <w:r>
        <w:rPr>
          <w:rFonts w:eastAsia="仿宋_GB2312"/>
          <w:color w:val="000000"/>
          <w:sz w:val="30"/>
          <w:szCs w:val="32"/>
        </w:rPr>
        <w:t>；</w:t>
      </w:r>
    </w:p>
    <w:p w14:paraId="519F179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64699FF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748047C9">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7306EBD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16FD704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5848219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1C130D5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招标文件</w:t>
      </w:r>
      <w:r>
        <w:rPr>
          <w:rFonts w:eastAsia="仿宋_GB2312"/>
          <w:color w:val="000000"/>
          <w:sz w:val="30"/>
          <w:szCs w:val="32"/>
        </w:rPr>
        <w:t>；</w:t>
      </w:r>
    </w:p>
    <w:p w14:paraId="436D30A1">
      <w:pPr>
        <w:autoSpaceDE w:val="0"/>
        <w:autoSpaceDN w:val="0"/>
        <w:adjustRightInd w:val="0"/>
        <w:spacing w:line="360" w:lineRule="auto"/>
        <w:ind w:firstLine="600" w:firstLineChars="200"/>
        <w:rPr>
          <w:rFonts w:hint="eastAsia"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4FA7BC61">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41778A86">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011EC109">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7494AD8B">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52392B6E">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w:t>
      </w:r>
      <w:r>
        <w:rPr>
          <w:rFonts w:hint="eastAsia" w:eastAsia="仿宋_GB2312"/>
          <w:color w:val="000000"/>
          <w:sz w:val="30"/>
          <w:szCs w:val="32"/>
          <w:u w:val="single"/>
          <w:lang w:val="en-US" w:eastAsia="zh-CN"/>
        </w:rPr>
        <w:t>三</w:t>
      </w:r>
      <w:r>
        <w:rPr>
          <w:rFonts w:hint="eastAsia" w:eastAsia="仿宋_GB2312"/>
          <w:color w:val="000000"/>
          <w:sz w:val="30"/>
          <w:szCs w:val="32"/>
          <w:u w:val="single"/>
        </w:rPr>
        <w:t>万元。逾期支付，承包人应额外向发包人支付未付违约金额0.5‰/天的逾期违约金直至完全支付为止。发包人有权单方解除合同且不承担违约责任。</w:t>
      </w:r>
    </w:p>
    <w:p w14:paraId="44708221">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485ECFF2">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631E163E">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5D6FC308">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78F199AA">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46D464FE">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33C1CF80">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74D24233">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2FE54753">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1AE6225A">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0256D156">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16118A3">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3C84E892">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31C6097D">
      <w:pPr>
        <w:spacing w:line="360" w:lineRule="auto"/>
        <w:ind w:firstLine="600" w:firstLineChars="200"/>
        <w:jc w:val="left"/>
        <w:outlineLvl w:val="0"/>
        <w:rPr>
          <w:rFonts w:eastAsia="仿宋_GB2312"/>
          <w:sz w:val="30"/>
          <w:szCs w:val="32"/>
        </w:rPr>
      </w:pPr>
      <w:r>
        <w:rPr>
          <w:rFonts w:eastAsia="仿宋_GB2312"/>
          <w:sz w:val="30"/>
          <w:szCs w:val="32"/>
        </w:rPr>
        <w:t>1</w:t>
      </w:r>
      <w:bookmarkStart w:id="234" w:name="_Toc318581156"/>
      <w:bookmarkStart w:id="235" w:name="_Toc303539101"/>
      <w:bookmarkStart w:id="236" w:name="_Toc304295522"/>
      <w:bookmarkStart w:id="237" w:name="_Toc300934944"/>
      <w:bookmarkStart w:id="238" w:name="_Toc312677987"/>
      <w:r>
        <w:rPr>
          <w:rFonts w:eastAsia="仿宋_GB2312"/>
          <w:sz w:val="30"/>
          <w:szCs w:val="32"/>
        </w:rPr>
        <w:t>.10.3 场内交通</w:t>
      </w:r>
    </w:p>
    <w:p w14:paraId="3048FC2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440F8B24">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234"/>
      <w:bookmarkEnd w:id="235"/>
      <w:bookmarkEnd w:id="236"/>
      <w:bookmarkEnd w:id="237"/>
      <w:bookmarkEnd w:id="238"/>
      <w:r>
        <w:rPr>
          <w:rFonts w:eastAsia="仿宋_GB2312"/>
          <w:sz w:val="30"/>
          <w:szCs w:val="32"/>
        </w:rPr>
        <w:t xml:space="preserve">  </w:t>
      </w:r>
      <w:bookmarkStart w:id="239" w:name="_Toc318581157"/>
    </w:p>
    <w:bookmarkEnd w:id="239"/>
    <w:p w14:paraId="688F184E">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7163D8BA">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1BFF43F9">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30FECDDE">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446EF29A">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1E8064E2">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40" w:name="_Toc351203634"/>
      <w:r>
        <w:rPr>
          <w:rFonts w:ascii="Times New Roman" w:hAnsi="Times New Roman" w:eastAsia="黑体" w:cs="Times New Roman"/>
          <w:b w:val="0"/>
          <w:bCs/>
          <w:color w:val="000000"/>
          <w:kern w:val="2"/>
          <w:sz w:val="32"/>
          <w:szCs w:val="32"/>
          <w:lang w:val="en-US" w:eastAsia="zh-CN" w:bidi="ar-SA"/>
        </w:rPr>
        <w:t>2</w:t>
      </w:r>
      <w:bookmarkStart w:id="241" w:name="_Toc296346658"/>
      <w:bookmarkStart w:id="242" w:name="_Toc296944496"/>
      <w:bookmarkStart w:id="243" w:name="_Toc297048343"/>
      <w:bookmarkStart w:id="244" w:name="_Toc296891197"/>
      <w:bookmarkStart w:id="245" w:name="_Toc292559867"/>
      <w:bookmarkStart w:id="246" w:name="_Toc292559362"/>
      <w:bookmarkStart w:id="247" w:name="_Toc297120457"/>
      <w:bookmarkStart w:id="248" w:name="_Toc296890985"/>
      <w:bookmarkStart w:id="249" w:name="_Toc296347156"/>
      <w:bookmarkStart w:id="250" w:name="_Toc296503157"/>
      <w:r>
        <w:rPr>
          <w:rFonts w:ascii="Times New Roman" w:hAnsi="Times New Roman" w:eastAsia="黑体" w:cs="Times New Roman"/>
          <w:b w:val="0"/>
          <w:bCs/>
          <w:color w:val="000000"/>
          <w:kern w:val="2"/>
          <w:sz w:val="32"/>
          <w:szCs w:val="32"/>
          <w:lang w:val="en-US" w:eastAsia="zh-CN" w:bidi="ar-SA"/>
        </w:rPr>
        <w:t>. 发包人</w:t>
      </w:r>
      <w:bookmarkEnd w:id="240"/>
    </w:p>
    <w:bookmarkEnd w:id="241"/>
    <w:bookmarkEnd w:id="242"/>
    <w:bookmarkEnd w:id="243"/>
    <w:bookmarkEnd w:id="244"/>
    <w:bookmarkEnd w:id="245"/>
    <w:bookmarkEnd w:id="246"/>
    <w:bookmarkEnd w:id="247"/>
    <w:bookmarkEnd w:id="248"/>
    <w:bookmarkEnd w:id="249"/>
    <w:bookmarkEnd w:id="250"/>
    <w:p w14:paraId="583541DB">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42CCFE51">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299EEDE3">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E8461A1">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9214246">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6BBA2082">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26DFCB6">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7F98307">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714476C2">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41DF4203">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51327151">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57EC9A57">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6991A752">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5DAF4F1A">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472A2C48">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2DD331FC">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12CFCD79">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472022B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51" w:name="_Toc351203635"/>
      <w:r>
        <w:rPr>
          <w:rFonts w:ascii="Times New Roman" w:hAnsi="Times New Roman" w:eastAsia="黑体" w:cs="Times New Roman"/>
          <w:b w:val="0"/>
          <w:bCs/>
          <w:color w:val="000000"/>
          <w:kern w:val="2"/>
          <w:sz w:val="32"/>
          <w:szCs w:val="32"/>
          <w:lang w:val="en-US" w:eastAsia="zh-CN" w:bidi="ar-SA"/>
        </w:rPr>
        <w:t>3</w:t>
      </w:r>
      <w:bookmarkStart w:id="252" w:name="_Toc296890986"/>
      <w:bookmarkStart w:id="253" w:name="_Toc296347157"/>
      <w:bookmarkStart w:id="254" w:name="_Toc292559363"/>
      <w:bookmarkStart w:id="255" w:name="_Toc296346659"/>
      <w:bookmarkStart w:id="256" w:name="_Toc297120458"/>
      <w:bookmarkStart w:id="257" w:name="_Toc297048344"/>
      <w:bookmarkStart w:id="258" w:name="_Toc296503158"/>
      <w:bookmarkStart w:id="259" w:name="_Toc292559868"/>
      <w:bookmarkStart w:id="260" w:name="_Toc296891198"/>
      <w:bookmarkStart w:id="261" w:name="_Toc296944497"/>
      <w:r>
        <w:rPr>
          <w:rFonts w:ascii="Times New Roman" w:hAnsi="Times New Roman" w:eastAsia="黑体" w:cs="Times New Roman"/>
          <w:b w:val="0"/>
          <w:bCs/>
          <w:color w:val="000000"/>
          <w:kern w:val="2"/>
          <w:sz w:val="32"/>
          <w:szCs w:val="32"/>
          <w:lang w:val="en-US" w:eastAsia="zh-CN" w:bidi="ar-SA"/>
        </w:rPr>
        <w:t>. 承包人</w:t>
      </w:r>
      <w:bookmarkEnd w:id="251"/>
    </w:p>
    <w:bookmarkEnd w:id="252"/>
    <w:bookmarkEnd w:id="253"/>
    <w:bookmarkEnd w:id="254"/>
    <w:bookmarkEnd w:id="255"/>
    <w:bookmarkEnd w:id="256"/>
    <w:bookmarkEnd w:id="257"/>
    <w:bookmarkEnd w:id="258"/>
    <w:bookmarkEnd w:id="259"/>
    <w:bookmarkEnd w:id="260"/>
    <w:bookmarkEnd w:id="261"/>
    <w:p w14:paraId="49D4A712">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5295D485">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4C0A50A5">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0E2D1132">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E689AFC">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yellow"/>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53CA499E">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7BEFF633">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211A6E40">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60F9393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04660712">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4C199F1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6F82D508">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52C968C4">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5A2FFC49">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7166731A">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48B7D84E">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w:t>
      </w:r>
      <w:r>
        <w:rPr>
          <w:rFonts w:hint="eastAsia" w:eastAsia="仿宋_GB2312"/>
          <w:color w:val="000000"/>
          <w:sz w:val="30"/>
          <w:szCs w:val="32"/>
          <w:u w:val="single"/>
          <w:lang w:eastAsia="zh-CN"/>
        </w:rPr>
        <w:t>报价文件</w:t>
      </w:r>
      <w:r>
        <w:rPr>
          <w:rFonts w:hint="eastAsia" w:eastAsia="仿宋_GB2312"/>
          <w:color w:val="000000"/>
          <w:sz w:val="30"/>
          <w:szCs w:val="32"/>
          <w:u w:val="single"/>
        </w:rPr>
        <w:t>中的相关项目管理人员的从业资质证书交发包人保管至工程竣工。项目管理人员未经发包人书面同意不得擅自更换；</w:t>
      </w:r>
    </w:p>
    <w:p w14:paraId="5A7EBC5A">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3BADC10F">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65C8BCAE">
      <w:pPr>
        <w:spacing w:line="360" w:lineRule="auto"/>
        <w:ind w:firstLine="600" w:firstLineChars="200"/>
        <w:rPr>
          <w:rFonts w:hint="eastAsia"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w:t>
      </w:r>
      <w:r>
        <w:rPr>
          <w:rFonts w:hint="eastAsia" w:eastAsia="仿宋_GB2312"/>
          <w:color w:val="000000"/>
          <w:sz w:val="30"/>
          <w:szCs w:val="32"/>
          <w:u w:val="single"/>
          <w:lang w:val="en-US" w:eastAsia="zh-CN"/>
        </w:rPr>
        <w:t>三千</w:t>
      </w:r>
      <w:r>
        <w:rPr>
          <w:rFonts w:hint="eastAsia" w:eastAsia="仿宋_GB2312"/>
          <w:color w:val="000000"/>
          <w:sz w:val="30"/>
          <w:szCs w:val="32"/>
          <w:u w:val="single"/>
        </w:rPr>
        <w:t>元/日历天。</w:t>
      </w:r>
    </w:p>
    <w:p w14:paraId="5314FECA">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41DCBB3B">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2B52C4EF">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48753A2">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9AA6178">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30D9836F">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5706DF47">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2F3D389C">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27042251">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3077CDC">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517BF54">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0B93F282">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18E1D14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5221D51A">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万元的违约金，并限期予以纠正；逾期不纠正，发包人有权单方解除合同，不承担违约责任。承包人应于发包人解除合同之日起5日内向发包人支付违约金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二</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60B35403">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36F1E0E8">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39C4667A">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7CDCBBC6">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五千</w:t>
      </w:r>
      <w:r>
        <w:rPr>
          <w:rFonts w:hint="eastAsia" w:eastAsia="仿宋_GB2312"/>
          <w:color w:val="000000"/>
          <w:sz w:val="30"/>
          <w:szCs w:val="32"/>
          <w:u w:val="single"/>
        </w:rPr>
        <w:t>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1D0BD469">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0393F824">
      <w:pPr>
        <w:spacing w:after="120" w:line="360" w:lineRule="auto"/>
        <w:ind w:firstLine="600" w:firstLineChars="200"/>
        <w:rPr>
          <w:rFonts w:eastAsia="黑体"/>
          <w:color w:val="000000"/>
          <w:sz w:val="30"/>
          <w:szCs w:val="32"/>
        </w:rPr>
      </w:pPr>
      <w:r>
        <w:rPr>
          <w:rFonts w:eastAsia="黑体"/>
          <w:color w:val="000000"/>
          <w:sz w:val="30"/>
          <w:szCs w:val="32"/>
        </w:rPr>
        <w:t>3</w:t>
      </w:r>
      <w:bookmarkStart w:id="262" w:name="_Toc296944498"/>
      <w:bookmarkStart w:id="263" w:name="_Toc296347158"/>
      <w:bookmarkStart w:id="264" w:name="_Toc304295523"/>
      <w:bookmarkStart w:id="265" w:name="_Toc297120459"/>
      <w:bookmarkStart w:id="266" w:name="_Toc296503159"/>
      <w:bookmarkStart w:id="267" w:name="_Toc296891199"/>
      <w:bookmarkStart w:id="268" w:name="_Toc296890987"/>
      <w:bookmarkStart w:id="269" w:name="_Toc292559869"/>
      <w:bookmarkStart w:id="270" w:name="_Toc297048345"/>
      <w:bookmarkStart w:id="271" w:name="_Toc300934945"/>
      <w:bookmarkStart w:id="272" w:name="_Toc297123492"/>
      <w:bookmarkStart w:id="273" w:name="_Toc296346660"/>
      <w:bookmarkStart w:id="274" w:name="_Toc292559364"/>
      <w:bookmarkStart w:id="275" w:name="_Toc312677988"/>
      <w:bookmarkStart w:id="276" w:name="_Toc297216151"/>
      <w:bookmarkStart w:id="277" w:name="_Toc303539102"/>
      <w:r>
        <w:rPr>
          <w:rFonts w:eastAsia="黑体"/>
          <w:color w:val="000000"/>
          <w:sz w:val="30"/>
          <w:szCs w:val="32"/>
        </w:rPr>
        <w:t>.5 分包</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5ADB5F1E">
      <w:pPr>
        <w:spacing w:line="360" w:lineRule="auto"/>
        <w:ind w:firstLine="600" w:firstLineChars="200"/>
        <w:rPr>
          <w:rFonts w:eastAsia="仿宋_GB2312"/>
          <w:sz w:val="30"/>
          <w:szCs w:val="32"/>
        </w:rPr>
      </w:pPr>
      <w:r>
        <w:rPr>
          <w:rFonts w:eastAsia="仿宋_GB2312"/>
          <w:sz w:val="30"/>
          <w:szCs w:val="32"/>
        </w:rPr>
        <w:t>3</w:t>
      </w:r>
      <w:bookmarkStart w:id="278" w:name="_Toc297123493"/>
      <w:bookmarkStart w:id="279" w:name="_Toc296347159"/>
      <w:bookmarkStart w:id="280" w:name="_Toc297216152"/>
      <w:bookmarkStart w:id="281" w:name="_Toc292559365"/>
      <w:bookmarkStart w:id="282" w:name="_Toc296890988"/>
      <w:bookmarkStart w:id="283" w:name="_Toc297120460"/>
      <w:bookmarkStart w:id="284" w:name="_Toc292559870"/>
      <w:bookmarkStart w:id="285" w:name="_Toc300934946"/>
      <w:bookmarkStart w:id="286" w:name="_Toc297048346"/>
      <w:bookmarkStart w:id="287" w:name="_Toc296503160"/>
      <w:bookmarkStart w:id="288" w:name="_Toc304295524"/>
      <w:bookmarkStart w:id="289" w:name="_Toc303539103"/>
      <w:bookmarkStart w:id="290" w:name="_Toc312677989"/>
      <w:bookmarkStart w:id="291" w:name="_Toc296891200"/>
      <w:bookmarkStart w:id="292" w:name="_Toc296944499"/>
      <w:bookmarkStart w:id="293" w:name="_Toc318581158"/>
      <w:bookmarkStart w:id="294" w:name="_Toc296346661"/>
      <w:r>
        <w:rPr>
          <w:rFonts w:eastAsia="仿宋_GB2312"/>
          <w:sz w:val="30"/>
          <w:szCs w:val="32"/>
        </w:rPr>
        <w:t>.5.1 分包的一般约定</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3DDAD09B">
      <w:pPr>
        <w:spacing w:line="360" w:lineRule="auto"/>
        <w:ind w:firstLine="600" w:firstLineChars="200"/>
        <w:rPr>
          <w:rFonts w:eastAsia="仿宋_GB2312"/>
          <w:sz w:val="30"/>
          <w:szCs w:val="32"/>
        </w:rPr>
      </w:pPr>
      <w:bookmarkStart w:id="295" w:name="_Toc312677990"/>
      <w:bookmarkStart w:id="296" w:name="_Toc318581159"/>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295"/>
    <w:bookmarkEnd w:id="296"/>
    <w:p w14:paraId="76552B08">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329CB7EC">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3E23D30C">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7E605554">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657059C4">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3665A2A5">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647E5B40">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55BDE003">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0BCCAD8A">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仿宋_GB2312" w:cs="Times New Roman"/>
          <w:color w:val="000000"/>
          <w:kern w:val="2"/>
          <w:sz w:val="30"/>
          <w:szCs w:val="32"/>
          <w:lang w:val="en-US" w:eastAsia="zh-CN" w:bidi="ar-SA"/>
        </w:rPr>
        <w:t>履约担保提交时间：</w:t>
      </w:r>
      <w:r>
        <w:rPr>
          <w:rFonts w:hint="eastAsia" w:ascii="Times New Roman" w:hAnsi="Times New Roman" w:eastAsia="仿宋_GB2312" w:cs="Times New Roman"/>
          <w:color w:val="000000"/>
          <w:kern w:val="2"/>
          <w:sz w:val="30"/>
          <w:szCs w:val="32"/>
          <w:u w:val="single"/>
          <w:lang w:val="en-US" w:eastAsia="zh-CN" w:bidi="ar-SA"/>
        </w:rPr>
        <w:t xml:space="preserve"> </w:t>
      </w:r>
      <w:r>
        <w:rPr>
          <w:rFonts w:ascii="Times New Roman" w:hAnsi="Times New Roman" w:eastAsia="仿宋_GB2312" w:cs="Times New Roman"/>
          <w:color w:val="000000"/>
          <w:kern w:val="2"/>
          <w:sz w:val="30"/>
          <w:szCs w:val="32"/>
          <w:u w:val="single"/>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 xml:space="preserve"> </w:t>
      </w: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逾期提交履约担保发包人有权单方解除合同，不承担违约责任。承包人应于发包人解除合同之日起5日内向发包人支付逾期提交履约担保违约金，违约金金额为：</w:t>
      </w:r>
      <w:r>
        <w:rPr>
          <w:rFonts w:hint="eastAsia" w:ascii="Times New Roman" w:hAnsi="Times New Roman" w:eastAsia="仿宋_GB2312" w:cs="Times New Roman"/>
          <w:color w:val="000000"/>
          <w:kern w:val="2"/>
          <w:sz w:val="30"/>
          <w:szCs w:val="32"/>
          <w:u w:val="single"/>
          <w:lang w:val="en-US" w:eastAsia="zh-CN" w:bidi="ar-SA"/>
        </w:rPr>
        <w:t>合同金额的2</w:t>
      </w:r>
      <w:r>
        <w:rPr>
          <w:rFonts w:ascii="Times New Roman" w:hAnsi="Times New Roman" w:eastAsia="仿宋_GB2312" w:cs="Times New Roman"/>
          <w:color w:val="000000"/>
          <w:kern w:val="2"/>
          <w:sz w:val="30"/>
          <w:szCs w:val="32"/>
          <w:u w:val="single"/>
          <w:lang w:val="en-US" w:eastAsia="zh-CN" w:bidi="ar-SA"/>
        </w:rPr>
        <w:t>%</w:t>
      </w:r>
      <w:r>
        <w:rPr>
          <w:rFonts w:hint="eastAsia" w:ascii="Times New Roman" w:hAnsi="Times New Roman" w:eastAsia="仿宋_GB2312" w:cs="Times New Roman"/>
          <w:color w:val="000000"/>
          <w:kern w:val="2"/>
          <w:sz w:val="30"/>
          <w:szCs w:val="32"/>
          <w:lang w:val="en-US" w:eastAsia="zh-CN" w:bidi="ar-SA"/>
        </w:rPr>
        <w:t>。逾期支付，承包人应额外向发包人支付未付违约金金额0.5‰/天的逾期违约金直至完全支付时。</w:t>
      </w:r>
    </w:p>
    <w:p w14:paraId="59D8BA95">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履约担保退还时间</w:t>
      </w:r>
      <w:r>
        <w:rPr>
          <w:rFonts w:hint="eastAsia" w:ascii="宋体" w:hAnsi="宋体" w:eastAsia="宋体" w:cs="Times New Roman"/>
          <w:snapToGrid w:val="0"/>
          <w:color w:val="000000"/>
          <w:kern w:val="0"/>
          <w:sz w:val="20"/>
          <w:szCs w:val="21"/>
          <w:lang w:val="en-US" w:eastAsia="zh-CN" w:bidi="ar-SA"/>
        </w:rPr>
        <w:t>：</w:t>
      </w:r>
      <w:r>
        <w:rPr>
          <w:rFonts w:hint="eastAsia" w:ascii="Times New Roman" w:hAnsi="Times New Roman" w:eastAsia="仿宋_GB2312" w:cs="Times New Roman"/>
          <w:color w:val="000000"/>
          <w:kern w:val="0"/>
          <w:sz w:val="30"/>
          <w:szCs w:val="32"/>
          <w:u w:val="single"/>
          <w:lang w:val="en-US" w:eastAsia="zh-CN" w:bidi="ar-SA"/>
        </w:rPr>
        <w:t xml:space="preserve">竣工验收合格15个工作日内，发包人向承包人无息退还   </w:t>
      </w:r>
      <w:r>
        <w:rPr>
          <w:rFonts w:hint="eastAsia" w:ascii="Times New Roman" w:hAnsi="Times New Roman" w:eastAsia="仿宋_GB2312" w:cs="Times New Roman"/>
          <w:color w:val="000000"/>
          <w:kern w:val="0"/>
          <w:sz w:val="30"/>
          <w:szCs w:val="32"/>
          <w:lang w:val="en-US" w:eastAsia="zh-CN" w:bidi="ar-SA"/>
        </w:rPr>
        <w:t>。</w:t>
      </w:r>
    </w:p>
    <w:p w14:paraId="2FEFD2E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w:t>
      </w:r>
    </w:p>
    <w:p w14:paraId="32DDFCB7">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306733C7">
      <w:pPr>
        <w:adjustRightInd w:val="0"/>
        <w:snapToGrid w:val="0"/>
        <w:spacing w:line="360" w:lineRule="auto"/>
        <w:ind w:firstLine="600" w:firstLineChars="200"/>
        <w:rPr>
          <w:rFonts w:eastAsia="仿宋_GB2312"/>
          <w:color w:val="000000"/>
          <w:sz w:val="30"/>
          <w:szCs w:val="32"/>
        </w:rPr>
      </w:pPr>
      <w:bookmarkStart w:id="297"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57BE89F7">
      <w:pPr>
        <w:adjustRightInd w:val="0"/>
        <w:snapToGrid w:val="0"/>
        <w:spacing w:line="360" w:lineRule="auto"/>
        <w:ind w:firstLine="600" w:firstLineChars="200"/>
        <w:rPr>
          <w:rFonts w:hint="eastAsia"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73BC363B">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13CB2FB3">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20"/>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7B6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CD3D3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序号</w:t>
            </w:r>
          </w:p>
        </w:tc>
        <w:tc>
          <w:tcPr>
            <w:tcW w:w="2992" w:type="dxa"/>
            <w:noWrap w:val="0"/>
            <w:vAlign w:val="top"/>
          </w:tcPr>
          <w:p w14:paraId="4AD25875">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承包商业务类型</w:t>
            </w:r>
          </w:p>
        </w:tc>
        <w:tc>
          <w:tcPr>
            <w:tcW w:w="2992" w:type="dxa"/>
            <w:noWrap w:val="0"/>
            <w:vAlign w:val="top"/>
          </w:tcPr>
          <w:p w14:paraId="146CEDE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安全生产履约保证金交纳金额</w:t>
            </w:r>
          </w:p>
        </w:tc>
      </w:tr>
      <w:tr w14:paraId="4C5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7DB84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1</w:t>
            </w:r>
          </w:p>
        </w:tc>
        <w:tc>
          <w:tcPr>
            <w:tcW w:w="2992" w:type="dxa"/>
            <w:noWrap w:val="0"/>
            <w:vAlign w:val="top"/>
          </w:tcPr>
          <w:p w14:paraId="0D58FE5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土建工程项目、安装工程项目、设备维修维保项目</w:t>
            </w:r>
          </w:p>
        </w:tc>
        <w:tc>
          <w:tcPr>
            <w:tcW w:w="2992" w:type="dxa"/>
            <w:noWrap w:val="0"/>
            <w:vAlign w:val="top"/>
          </w:tcPr>
          <w:p w14:paraId="00B28CA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按照合同标的物总额的5%进行缴纳,最低缴纳1万元，最高交纳200万元。</w:t>
            </w:r>
          </w:p>
        </w:tc>
      </w:tr>
      <w:tr w14:paraId="5C7F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2C4FE35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2</w:t>
            </w:r>
          </w:p>
        </w:tc>
        <w:tc>
          <w:tcPr>
            <w:tcW w:w="2992" w:type="dxa"/>
            <w:noWrap w:val="0"/>
            <w:vAlign w:val="top"/>
          </w:tcPr>
          <w:p w14:paraId="4CDEDFDA">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公司原辅料、产品运输</w:t>
            </w:r>
          </w:p>
        </w:tc>
        <w:tc>
          <w:tcPr>
            <w:tcW w:w="2992" w:type="dxa"/>
            <w:vMerge w:val="restart"/>
            <w:noWrap w:val="0"/>
            <w:vAlign w:val="top"/>
          </w:tcPr>
          <w:p w14:paraId="747118D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按照合同标的物总额的1%进行缴纳,最低缴纳10万元,最高交纳100万元。</w:t>
            </w:r>
          </w:p>
        </w:tc>
      </w:tr>
      <w:tr w14:paraId="140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DFEFC4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3</w:t>
            </w:r>
          </w:p>
        </w:tc>
        <w:tc>
          <w:tcPr>
            <w:tcW w:w="2992" w:type="dxa"/>
            <w:noWrap w:val="0"/>
            <w:vAlign w:val="top"/>
          </w:tcPr>
          <w:p w14:paraId="58D2E83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承租公司设备、厂房</w:t>
            </w:r>
          </w:p>
        </w:tc>
        <w:tc>
          <w:tcPr>
            <w:tcW w:w="2992" w:type="dxa"/>
            <w:vMerge w:val="continue"/>
            <w:noWrap w:val="0"/>
            <w:vAlign w:val="top"/>
          </w:tcPr>
          <w:p w14:paraId="423E4BC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2566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8647BC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4</w:t>
            </w:r>
          </w:p>
        </w:tc>
        <w:tc>
          <w:tcPr>
            <w:tcW w:w="2992" w:type="dxa"/>
            <w:noWrap w:val="0"/>
            <w:vAlign w:val="top"/>
          </w:tcPr>
          <w:p w14:paraId="1203B40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在公司内投资建厂（装置)</w:t>
            </w:r>
          </w:p>
        </w:tc>
        <w:tc>
          <w:tcPr>
            <w:tcW w:w="2992" w:type="dxa"/>
            <w:vMerge w:val="continue"/>
            <w:noWrap w:val="0"/>
            <w:vAlign w:val="top"/>
          </w:tcPr>
          <w:p w14:paraId="11BF6B8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5C8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AEC4160">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5</w:t>
            </w:r>
          </w:p>
        </w:tc>
        <w:tc>
          <w:tcPr>
            <w:tcW w:w="2992" w:type="dxa"/>
            <w:noWrap w:val="0"/>
            <w:vAlign w:val="top"/>
          </w:tcPr>
          <w:p w14:paraId="170E2B7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食堂、回收废弃物处置</w:t>
            </w:r>
          </w:p>
        </w:tc>
        <w:tc>
          <w:tcPr>
            <w:tcW w:w="2992" w:type="dxa"/>
            <w:noWrap w:val="0"/>
            <w:vAlign w:val="top"/>
          </w:tcPr>
          <w:p w14:paraId="7FC6778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按照预计年度结算金额的1%进行缴纳，最低缴纳5万元，最高20万元。</w:t>
            </w:r>
          </w:p>
        </w:tc>
      </w:tr>
      <w:tr w14:paraId="32FC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noWrap w:val="0"/>
            <w:vAlign w:val="top"/>
          </w:tcPr>
          <w:p w14:paraId="6AB1AD9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 xml:space="preserve"> </w:t>
            </w:r>
            <w:r>
              <w:rPr>
                <w:rFonts w:hint="default" w:ascii="Times New Roman" w:hAnsi="Times New Roman" w:eastAsia="等线" w:cs="Times New Roman"/>
                <w:kern w:val="0"/>
                <w:sz w:val="20"/>
                <w:szCs w:val="20"/>
                <w:lang w:val="en-US" w:eastAsia="zh-CN" w:bidi="ar-SA"/>
              </w:rPr>
              <w:t xml:space="preserve">   </w:t>
            </w:r>
            <w:r>
              <w:rPr>
                <w:rFonts w:hint="eastAsia" w:ascii="Times New Roman" w:hAnsi="Times New Roman" w:eastAsia="等线" w:cs="Times New Roman"/>
                <w:kern w:val="0"/>
                <w:sz w:val="20"/>
                <w:szCs w:val="20"/>
                <w:lang w:val="en-US" w:eastAsia="zh-CN" w:bidi="ar-SA"/>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227749BF">
      <w:pPr>
        <w:adjustRightInd w:val="0"/>
        <w:snapToGrid w:val="0"/>
        <w:spacing w:line="360" w:lineRule="auto"/>
        <w:ind w:firstLine="600" w:firstLineChars="200"/>
        <w:rPr>
          <w:rFonts w:eastAsia="仿宋_GB2312"/>
          <w:color w:val="000000"/>
          <w:sz w:val="30"/>
          <w:szCs w:val="32"/>
        </w:rPr>
      </w:pPr>
    </w:p>
    <w:p w14:paraId="59227187">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5949E43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2234B274">
      <w:pPr>
        <w:widowControl w:val="0"/>
        <w:adjustRightInd w:val="0"/>
        <w:spacing w:after="60" w:afterLines="0" w:line="360" w:lineRule="atLeast"/>
        <w:ind w:left="63" w:leftChars="30" w:right="63" w:rightChars="3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宋体" w:cs="Times New Roman"/>
          <w:kern w:val="0"/>
          <w:sz w:val="20"/>
          <w:szCs w:val="20"/>
          <w:lang w:val="en-US" w:eastAsia="zh-CN" w:bidi="ar-SA"/>
        </w:rPr>
        <w:t xml:space="preserve"> </w:t>
      </w:r>
      <w:r>
        <w:rPr>
          <w:rFonts w:ascii="Times New Roman" w:hAnsi="Times New Roman" w:eastAsia="宋体" w:cs="Times New Roman"/>
          <w:kern w:val="0"/>
          <w:sz w:val="20"/>
          <w:szCs w:val="20"/>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承包商年度考核评价为优秀等级的，安全生产履约保证金可以按标准比例的80%缴纳。</w:t>
      </w:r>
    </w:p>
    <w:p w14:paraId="0070077D">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72A38778">
      <w:pPr>
        <w:widowControl w:val="0"/>
        <w:adjustRightInd w:val="0"/>
        <w:spacing w:after="60" w:afterLines="0" w:line="360" w:lineRule="atLeast"/>
        <w:ind w:left="63" w:leftChars="30" w:right="63" w:rightChars="30"/>
        <w:jc w:val="left"/>
        <w:textAlignment w:val="baseline"/>
        <w:rPr>
          <w:rFonts w:ascii="Times New Roman" w:hAnsi="Times New Roman" w:eastAsia="仿宋_GB2312" w:cs="Times New Roman"/>
          <w:color w:val="000000"/>
          <w:kern w:val="2"/>
          <w:sz w:val="30"/>
          <w:szCs w:val="32"/>
          <w:lang w:val="en-US" w:eastAsia="zh-CN" w:bidi="ar-SA"/>
        </w:rPr>
      </w:pP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承包商属于公司内部单位的，可以不缴纳安全生产履约保证金。</w:t>
      </w:r>
    </w:p>
    <w:p w14:paraId="40CE38BC">
      <w:pPr>
        <w:ind w:firstLine="600" w:firstLineChars="200"/>
        <w:rPr>
          <w:rFonts w:hint="eastAsia"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0B3E1CF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2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0F0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noWrap w:val="0"/>
            <w:vAlign w:val="center"/>
          </w:tcPr>
          <w:p w14:paraId="74C6CE5D">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事故等级</w:t>
            </w:r>
          </w:p>
        </w:tc>
        <w:tc>
          <w:tcPr>
            <w:tcW w:w="3503" w:type="dxa"/>
            <w:noWrap w:val="0"/>
            <w:vAlign w:val="center"/>
          </w:tcPr>
          <w:p w14:paraId="4C316802">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安全生产履约保证金扣除金额</w:t>
            </w:r>
          </w:p>
        </w:tc>
      </w:tr>
      <w:tr w14:paraId="6AE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noWrap w:val="0"/>
            <w:vAlign w:val="center"/>
          </w:tcPr>
          <w:p w14:paraId="091510F3">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发生重伤或直接经济损失30-</w:t>
            </w:r>
            <w:r>
              <w:rPr>
                <w:rFonts w:hint="default"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noWrap w:val="0"/>
            <w:vAlign w:val="center"/>
          </w:tcPr>
          <w:p w14:paraId="447ECDA7">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50万元</w:t>
            </w:r>
          </w:p>
        </w:tc>
      </w:tr>
      <w:tr w14:paraId="73B5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noWrap w:val="0"/>
            <w:vAlign w:val="center"/>
          </w:tcPr>
          <w:p w14:paraId="3C404925">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发生重伤3人、死亡事故或直接经济损失1</w:t>
            </w:r>
            <w:r>
              <w:rPr>
                <w:rFonts w:hint="default"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noWrap w:val="0"/>
            <w:vAlign w:val="center"/>
          </w:tcPr>
          <w:p w14:paraId="71CA2C42">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r>
              <w:rPr>
                <w:rFonts w:hint="default" w:ascii="宋体" w:hAnsi="宋体"/>
                <w:szCs w:val="21"/>
              </w:rPr>
              <w:t>00</w:t>
            </w:r>
            <w:r>
              <w:rPr>
                <w:rFonts w:hint="eastAsia" w:ascii="宋体" w:hAnsi="宋体"/>
                <w:szCs w:val="21"/>
              </w:rPr>
              <w:t>-</w:t>
            </w:r>
            <w:r>
              <w:rPr>
                <w:rFonts w:hint="default" w:ascii="宋体" w:hAnsi="宋体"/>
                <w:szCs w:val="21"/>
              </w:rPr>
              <w:t>500万元</w:t>
            </w:r>
          </w:p>
        </w:tc>
      </w:tr>
      <w:tr w14:paraId="45D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noWrap w:val="0"/>
            <w:vAlign w:val="center"/>
          </w:tcPr>
          <w:p w14:paraId="7B4C6678">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说明：</w:t>
            </w:r>
          </w:p>
          <w:p w14:paraId="09401C98">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1</w:t>
            </w:r>
            <w:r>
              <w:rPr>
                <w:rFonts w:hint="eastAsia" w:ascii="宋体" w:hAnsi="宋体"/>
                <w:szCs w:val="21"/>
              </w:rPr>
              <w:t>、发生在国家法定节假日、两会等重要特殊时期的事故从严扣款。</w:t>
            </w:r>
          </w:p>
          <w:p w14:paraId="70F3F487">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2</w:t>
            </w:r>
            <w:r>
              <w:rPr>
                <w:rFonts w:hint="eastAsia" w:ascii="宋体" w:hAnsi="宋体"/>
                <w:szCs w:val="21"/>
              </w:rPr>
              <w:t>、谎报、瞒报事故的安全生产履约保证金全额扣除。</w:t>
            </w:r>
          </w:p>
          <w:p w14:paraId="0726A35B">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kern w:val="0"/>
                <w:szCs w:val="20"/>
              </w:rPr>
              <w:t>3</w:t>
            </w:r>
            <w:r>
              <w:rPr>
                <w:rFonts w:hint="eastAsia" w:ascii="宋体"/>
                <w:kern w:val="0"/>
                <w:szCs w:val="20"/>
              </w:rPr>
              <w:t>、发生安全环保事故</w:t>
            </w:r>
            <w:r>
              <w:rPr>
                <w:rFonts w:hint="default" w:ascii="宋体"/>
                <w:kern w:val="0"/>
                <w:szCs w:val="20"/>
              </w:rPr>
              <w:t>0.5</w:t>
            </w:r>
            <w:r>
              <w:rPr>
                <w:rFonts w:hint="eastAsia" w:ascii="宋体"/>
                <w:kern w:val="0"/>
                <w:szCs w:val="20"/>
              </w:rPr>
              <w:t>小时内报告到对口管理部门，对口管理部门接报后立即报告到安全环保部。超过报告时限的，</w:t>
            </w:r>
            <w:r>
              <w:rPr>
                <w:rFonts w:hint="default" w:ascii="宋体" w:hAnsi="宋体"/>
                <w:szCs w:val="21"/>
              </w:rPr>
              <w:t xml:space="preserve"> 每次扣安全生产履约保证金</w:t>
            </w:r>
            <w:r>
              <w:rPr>
                <w:rFonts w:hint="eastAsia" w:ascii="宋体" w:hAnsi="宋体"/>
                <w:szCs w:val="21"/>
              </w:rPr>
              <w:t>5万元。</w:t>
            </w:r>
            <w:r>
              <w:rPr>
                <w:rFonts w:hint="default" w:ascii="宋体" w:hAnsi="宋体"/>
                <w:szCs w:val="21"/>
              </w:rPr>
              <w:t xml:space="preserve"> </w:t>
            </w:r>
          </w:p>
          <w:p w14:paraId="03DBCF7A">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4、交纳的安全生产风险金低于相应扣除标准的，全部扣除。</w:t>
            </w:r>
          </w:p>
        </w:tc>
      </w:tr>
    </w:tbl>
    <w:p w14:paraId="297639A1">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67CB47B1">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297"/>
    <w:p w14:paraId="7AC5D2A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98" w:name="_Toc267251418"/>
      <w:bookmarkStart w:id="299" w:name="_Toc351203637"/>
      <w:r>
        <w:rPr>
          <w:rFonts w:ascii="Times New Roman" w:hAnsi="Times New Roman" w:eastAsia="黑体" w:cs="Times New Roman"/>
          <w:b w:val="0"/>
          <w:bCs/>
          <w:color w:val="000000"/>
          <w:kern w:val="2"/>
          <w:sz w:val="32"/>
          <w:szCs w:val="32"/>
          <w:lang w:val="en-US" w:eastAsia="zh-CN" w:bidi="ar-SA"/>
        </w:rPr>
        <w:t>5</w:t>
      </w:r>
      <w:bookmarkEnd w:id="298"/>
      <w:bookmarkStart w:id="300" w:name="_Toc292559367"/>
      <w:bookmarkStart w:id="301" w:name="_Toc292559872"/>
      <w:bookmarkStart w:id="302" w:name="_Toc296347162"/>
      <w:bookmarkStart w:id="303" w:name="_Toc296890991"/>
      <w:bookmarkStart w:id="304" w:name="_Toc297048349"/>
      <w:bookmarkStart w:id="305" w:name="_Toc296346664"/>
      <w:bookmarkStart w:id="306" w:name="_Toc296891203"/>
      <w:bookmarkStart w:id="307" w:name="_Toc296503163"/>
      <w:bookmarkStart w:id="308" w:name="_Toc296944502"/>
      <w:bookmarkStart w:id="309" w:name="_Toc297120463"/>
      <w:r>
        <w:rPr>
          <w:rFonts w:ascii="Times New Roman" w:hAnsi="Times New Roman" w:eastAsia="黑体" w:cs="Times New Roman"/>
          <w:b w:val="0"/>
          <w:bCs/>
          <w:color w:val="000000"/>
          <w:kern w:val="2"/>
          <w:sz w:val="32"/>
          <w:szCs w:val="32"/>
          <w:lang w:val="en-US" w:eastAsia="zh-CN" w:bidi="ar-SA"/>
        </w:rPr>
        <w:t>. 工程质量</w:t>
      </w:r>
      <w:bookmarkEnd w:id="299"/>
    </w:p>
    <w:p w14:paraId="340AFC9A">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78F0FE0C">
      <w:pPr>
        <w:spacing w:line="360" w:lineRule="auto"/>
        <w:jc w:val="left"/>
        <w:rPr>
          <w:rFonts w:eastAsia="仿宋_GB2312"/>
          <w:sz w:val="30"/>
          <w:szCs w:val="32"/>
        </w:rPr>
      </w:pPr>
      <w:r>
        <w:rPr>
          <w:rFonts w:eastAsia="仿宋_GB2312"/>
          <w:sz w:val="30"/>
          <w:szCs w:val="32"/>
        </w:rPr>
        <w:t>5</w:t>
      </w:r>
      <w:bookmarkStart w:id="310" w:name="_Toc297216155"/>
      <w:bookmarkStart w:id="311" w:name="_Toc312677997"/>
      <w:bookmarkStart w:id="312" w:name="_Toc304295527"/>
      <w:bookmarkStart w:id="313" w:name="_Toc297123496"/>
      <w:bookmarkStart w:id="314" w:name="_Toc318581164"/>
      <w:bookmarkStart w:id="315" w:name="_Toc300934949"/>
      <w:bookmarkStart w:id="316" w:name="_Toc303539106"/>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5B6EDA6B">
      <w:pPr>
        <w:spacing w:line="360" w:lineRule="auto"/>
        <w:jc w:val="left"/>
        <w:rPr>
          <w:rFonts w:hint="eastAsia"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2D52C8B3">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07EF7F47">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1AE54865">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622AF318">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3C065F5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7" w:name="_Toc351203638"/>
      <w:r>
        <w:rPr>
          <w:rFonts w:ascii="Times New Roman" w:hAnsi="Times New Roman" w:eastAsia="黑体" w:cs="Times New Roman"/>
          <w:b w:val="0"/>
          <w:bCs/>
          <w:color w:val="000000"/>
          <w:kern w:val="2"/>
          <w:sz w:val="32"/>
          <w:szCs w:val="32"/>
          <w:lang w:val="en-US" w:eastAsia="zh-CN" w:bidi="ar-SA"/>
        </w:rPr>
        <w:t>6. 安全文明施工与环境保护</w:t>
      </w:r>
      <w:bookmarkEnd w:id="317"/>
    </w:p>
    <w:p w14:paraId="0EB11CE2">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0F129F2D">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18A8B9AC">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0189E238">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0EF11BBE">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388D1EB7">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14256F4F">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6862D7F6">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6D5A83E2">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612395B0">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79D5C8EF">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1E022EE2">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1A77CEFF">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6C1A6B08">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43E71927">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5D7D433B">
      <w:pPr>
        <w:spacing w:line="360" w:lineRule="auto"/>
        <w:ind w:firstLine="600" w:firstLineChars="200"/>
        <w:jc w:val="left"/>
        <w:rPr>
          <w:rFonts w:hint="eastAsia"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4BDB5AFE">
      <w:pPr>
        <w:spacing w:line="360" w:lineRule="auto"/>
        <w:ind w:firstLine="600" w:firstLineChars="200"/>
        <w:jc w:val="left"/>
        <w:rPr>
          <w:rFonts w:hint="eastAsia" w:eastAsia="仿宋_GB2312"/>
          <w:sz w:val="30"/>
          <w:szCs w:val="32"/>
        </w:rPr>
      </w:pPr>
      <w:r>
        <w:rPr>
          <w:rFonts w:hint="eastAsia" w:eastAsia="仿宋_GB2312"/>
          <w:sz w:val="30"/>
          <w:szCs w:val="32"/>
        </w:rPr>
        <w:t>6.1.5 文明施工</w:t>
      </w:r>
    </w:p>
    <w:p w14:paraId="2456D00F">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310"/>
    <w:bookmarkEnd w:id="311"/>
    <w:bookmarkEnd w:id="312"/>
    <w:bookmarkEnd w:id="313"/>
    <w:bookmarkEnd w:id="314"/>
    <w:bookmarkEnd w:id="315"/>
    <w:bookmarkEnd w:id="316"/>
    <w:p w14:paraId="2CE00DD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8" w:name="_Toc351203639"/>
      <w:r>
        <w:rPr>
          <w:rFonts w:ascii="Times New Roman" w:hAnsi="Times New Roman" w:eastAsia="黑体" w:cs="Times New Roman"/>
          <w:b w:val="0"/>
          <w:bCs/>
          <w:color w:val="000000"/>
          <w:kern w:val="2"/>
          <w:sz w:val="32"/>
          <w:szCs w:val="32"/>
          <w:lang w:val="en-US" w:eastAsia="zh-CN" w:bidi="ar-SA"/>
        </w:rPr>
        <w:t>7. 工期和进度</w:t>
      </w:r>
      <w:bookmarkEnd w:id="318"/>
    </w:p>
    <w:p w14:paraId="262963EC">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1747E25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67C84CF5">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3FB906AE">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42425974">
      <w:pPr>
        <w:spacing w:after="120" w:line="360" w:lineRule="auto"/>
        <w:ind w:firstLine="600" w:firstLineChars="200"/>
        <w:rPr>
          <w:rFonts w:eastAsia="黑体"/>
          <w:color w:val="000000"/>
          <w:sz w:val="30"/>
          <w:szCs w:val="32"/>
        </w:rPr>
      </w:pPr>
      <w:r>
        <w:rPr>
          <w:rFonts w:eastAsia="黑体"/>
          <w:color w:val="000000"/>
          <w:sz w:val="30"/>
          <w:szCs w:val="32"/>
        </w:rPr>
        <w:t>7</w:t>
      </w:r>
      <w:bookmarkStart w:id="319" w:name="_Toc300934966"/>
      <w:bookmarkStart w:id="320" w:name="_Toc312678005"/>
      <w:bookmarkStart w:id="321" w:name="_Toc304295541"/>
      <w:bookmarkStart w:id="322" w:name="_Toc303539123"/>
      <w:bookmarkStart w:id="323" w:name="_Toc312677479"/>
      <w:bookmarkStart w:id="324" w:name="_Toc297123514"/>
      <w:bookmarkStart w:id="325" w:name="_Toc297216173"/>
      <w:r>
        <w:rPr>
          <w:rFonts w:eastAsia="黑体"/>
          <w:color w:val="000000"/>
          <w:sz w:val="30"/>
          <w:szCs w:val="32"/>
        </w:rPr>
        <w:t>.2 施工进度计划</w:t>
      </w:r>
    </w:p>
    <w:p w14:paraId="441C63D8">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7B741244">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1EC6DAD1">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47C587C0">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7707768E">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09443D09">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3、发包人对工程进度计划的确认不免除承包人应承担的工期延误责任。</w:t>
      </w:r>
    </w:p>
    <w:p w14:paraId="51A4CA94">
      <w:pPr>
        <w:spacing w:line="360" w:lineRule="auto"/>
        <w:ind w:firstLine="600" w:firstLineChars="200"/>
        <w:jc w:val="left"/>
        <w:rPr>
          <w:rFonts w:hint="eastAsia"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205E4F1D">
      <w:pPr>
        <w:spacing w:after="120" w:line="360" w:lineRule="auto"/>
        <w:ind w:firstLine="600" w:firstLineChars="200"/>
        <w:rPr>
          <w:rFonts w:eastAsia="黑体"/>
          <w:color w:val="000000"/>
          <w:sz w:val="30"/>
          <w:szCs w:val="32"/>
        </w:rPr>
      </w:pPr>
      <w:r>
        <w:rPr>
          <w:rFonts w:eastAsia="黑体"/>
          <w:color w:val="000000"/>
          <w:sz w:val="30"/>
          <w:szCs w:val="32"/>
        </w:rPr>
        <w:t>7.3 开工</w:t>
      </w:r>
    </w:p>
    <w:p w14:paraId="6CCC610F">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103227E5">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319"/>
    <w:bookmarkEnd w:id="320"/>
    <w:bookmarkEnd w:id="321"/>
    <w:bookmarkEnd w:id="322"/>
    <w:bookmarkEnd w:id="323"/>
    <w:bookmarkEnd w:id="324"/>
    <w:bookmarkEnd w:id="325"/>
    <w:p w14:paraId="68BCEA0B">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2CF2BD85">
      <w:pPr>
        <w:spacing w:line="360" w:lineRule="auto"/>
        <w:ind w:firstLine="600" w:firstLineChars="200"/>
        <w:jc w:val="left"/>
        <w:rPr>
          <w:rFonts w:hint="eastAsia"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367AE42F">
      <w:pPr>
        <w:spacing w:after="120" w:line="360" w:lineRule="auto"/>
        <w:ind w:firstLine="600" w:firstLineChars="200"/>
        <w:rPr>
          <w:rFonts w:eastAsia="黑体"/>
          <w:color w:val="000000"/>
          <w:sz w:val="30"/>
          <w:szCs w:val="32"/>
        </w:rPr>
      </w:pPr>
      <w:r>
        <w:rPr>
          <w:rFonts w:eastAsia="黑体"/>
          <w:color w:val="000000"/>
          <w:sz w:val="30"/>
          <w:szCs w:val="32"/>
        </w:rPr>
        <w:t>7</w:t>
      </w:r>
      <w:bookmarkStart w:id="326" w:name="_Toc297216175"/>
      <w:bookmarkStart w:id="327" w:name="_Toc304295546"/>
      <w:bookmarkStart w:id="328" w:name="_Toc312678010"/>
      <w:bookmarkStart w:id="329" w:name="_Toc312677484"/>
      <w:bookmarkStart w:id="330" w:name="_Toc300934968"/>
      <w:bookmarkStart w:id="331" w:name="_Toc303539125"/>
      <w:bookmarkStart w:id="332" w:name="_Toc297123516"/>
      <w:r>
        <w:rPr>
          <w:rFonts w:eastAsia="黑体"/>
          <w:color w:val="000000"/>
          <w:sz w:val="30"/>
          <w:szCs w:val="32"/>
        </w:rPr>
        <w:t>.5 工期延误</w:t>
      </w:r>
    </w:p>
    <w:bookmarkEnd w:id="326"/>
    <w:bookmarkEnd w:id="327"/>
    <w:bookmarkEnd w:id="328"/>
    <w:bookmarkEnd w:id="329"/>
    <w:bookmarkEnd w:id="330"/>
    <w:bookmarkEnd w:id="331"/>
    <w:bookmarkEnd w:id="332"/>
    <w:p w14:paraId="3E855155">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722AD7ED">
      <w:pPr>
        <w:spacing w:line="360" w:lineRule="auto"/>
        <w:ind w:firstLine="600" w:firstLineChars="200"/>
        <w:jc w:val="left"/>
        <w:rPr>
          <w:rFonts w:eastAsia="仿宋_GB2312"/>
          <w:sz w:val="30"/>
          <w:szCs w:val="32"/>
        </w:rPr>
      </w:pPr>
      <w:r>
        <w:rPr>
          <w:rFonts w:eastAsia="仿宋_GB2312"/>
          <w:sz w:val="30"/>
          <w:szCs w:val="32"/>
        </w:rPr>
        <w:t>7</w:t>
      </w:r>
      <w:bookmarkStart w:id="333" w:name="_Toc312677486"/>
      <w:bookmarkStart w:id="334" w:name="_Toc312678012"/>
      <w:bookmarkStart w:id="335" w:name="_Toc318581169"/>
      <w:bookmarkStart w:id="336" w:name="_Toc300934970"/>
      <w:bookmarkStart w:id="337" w:name="_Toc303539127"/>
      <w:bookmarkStart w:id="338" w:name="_Toc304295548"/>
      <w:bookmarkStart w:id="339" w:name="_Toc297216177"/>
      <w:bookmarkStart w:id="340" w:name="_Toc297123518"/>
      <w:r>
        <w:rPr>
          <w:rFonts w:eastAsia="仿宋_GB2312"/>
          <w:sz w:val="30"/>
          <w:szCs w:val="32"/>
        </w:rPr>
        <w:t>.5.2 因承包人原因导致工期延误</w:t>
      </w:r>
    </w:p>
    <w:bookmarkEnd w:id="333"/>
    <w:bookmarkEnd w:id="334"/>
    <w:bookmarkEnd w:id="335"/>
    <w:p w14:paraId="4C75E042">
      <w:pPr>
        <w:spacing w:line="360" w:lineRule="auto"/>
        <w:ind w:firstLine="600" w:firstLineChars="200"/>
        <w:jc w:val="left"/>
        <w:rPr>
          <w:rFonts w:eastAsia="仿宋_GB2312"/>
          <w:sz w:val="30"/>
          <w:szCs w:val="32"/>
        </w:rPr>
      </w:pPr>
      <w:r>
        <w:rPr>
          <w:rFonts w:eastAsia="仿宋_GB2312"/>
          <w:sz w:val="30"/>
          <w:szCs w:val="32"/>
        </w:rPr>
        <w:t>因</w:t>
      </w:r>
      <w:bookmarkStart w:id="341" w:name="_Toc312677487"/>
      <w:bookmarkStart w:id="342" w:name="_Toc312678013"/>
      <w:bookmarkStart w:id="343" w:name="_Toc318581170"/>
      <w:r>
        <w:rPr>
          <w:rFonts w:eastAsia="仿宋_GB2312"/>
          <w:sz w:val="30"/>
          <w:szCs w:val="32"/>
        </w:rPr>
        <w:t>承包人原因造成工期延误，逾期竣工违约金的计算方法为：</w:t>
      </w:r>
      <w:bookmarkEnd w:id="336"/>
      <w:bookmarkEnd w:id="337"/>
      <w:bookmarkEnd w:id="338"/>
      <w:bookmarkEnd w:id="339"/>
      <w:bookmarkEnd w:id="340"/>
      <w:bookmarkEnd w:id="341"/>
      <w:bookmarkEnd w:id="342"/>
      <w:r>
        <w:rPr>
          <w:rFonts w:hint="eastAsia" w:eastAsia="仿宋_GB2312"/>
          <w:sz w:val="30"/>
          <w:szCs w:val="32"/>
          <w:u w:val="single"/>
        </w:rPr>
        <w:t>每日历天赔付额度为：伍</w:t>
      </w:r>
      <w:r>
        <w:rPr>
          <w:rFonts w:hint="eastAsia" w:eastAsia="仿宋_GB2312"/>
          <w:sz w:val="30"/>
          <w:szCs w:val="32"/>
          <w:u w:val="single"/>
          <w:lang w:val="en-US" w:eastAsia="zh-CN"/>
        </w:rPr>
        <w:t>仟</w:t>
      </w:r>
      <w:r>
        <w:rPr>
          <w:rFonts w:hint="eastAsia" w:eastAsia="仿宋_GB2312"/>
          <w:sz w:val="30"/>
          <w:szCs w:val="32"/>
          <w:u w:val="single"/>
        </w:rPr>
        <w:t>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42E445A9">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ascii="Times New Roman" w:hAnsi="Times New Roman" w:eastAsia="仿宋_GB2312" w:cs="Times New Roman"/>
          <w:kern w:val="0"/>
          <w:sz w:val="30"/>
          <w:szCs w:val="32"/>
          <w:lang w:val="en-US" w:eastAsia="zh-CN" w:bidi="ar-SA"/>
        </w:rPr>
        <w:t>因承包人原因造成</w:t>
      </w:r>
      <w:r>
        <w:rPr>
          <w:rFonts w:hint="eastAsia" w:ascii="Times New Roman" w:hAnsi="Times New Roman" w:eastAsia="仿宋_GB2312" w:cs="Times New Roman"/>
          <w:kern w:val="0"/>
          <w:sz w:val="30"/>
          <w:szCs w:val="32"/>
          <w:lang w:val="en-US" w:eastAsia="zh-CN" w:bidi="ar-SA"/>
        </w:rPr>
        <w:t>节点</w:t>
      </w:r>
      <w:r>
        <w:rPr>
          <w:rFonts w:ascii="Times New Roman" w:hAnsi="Times New Roman" w:eastAsia="仿宋_GB2312" w:cs="Times New Roman"/>
          <w:kern w:val="0"/>
          <w:sz w:val="30"/>
          <w:szCs w:val="32"/>
          <w:lang w:val="en-US" w:eastAsia="zh-CN" w:bidi="ar-SA"/>
        </w:rPr>
        <w:t>工期延误，</w:t>
      </w:r>
      <w:r>
        <w:rPr>
          <w:rFonts w:hint="eastAsia" w:ascii="Times New Roman" w:hAnsi="Times New Roman" w:eastAsia="仿宋_GB2312" w:cs="Times New Roman"/>
          <w:kern w:val="0"/>
          <w:sz w:val="30"/>
          <w:szCs w:val="32"/>
          <w:lang w:val="en-US" w:eastAsia="zh-CN" w:bidi="ar-SA"/>
        </w:rPr>
        <w:t>单个节点工期</w:t>
      </w:r>
      <w:r>
        <w:rPr>
          <w:rFonts w:ascii="Times New Roman" w:hAnsi="Times New Roman" w:eastAsia="仿宋_GB2312" w:cs="Times New Roman"/>
          <w:kern w:val="0"/>
          <w:sz w:val="30"/>
          <w:szCs w:val="32"/>
          <w:lang w:val="en-US" w:eastAsia="zh-CN" w:bidi="ar-SA"/>
        </w:rPr>
        <w:t>逾期违约金的计算方法为：</w:t>
      </w:r>
      <w:r>
        <w:rPr>
          <w:rFonts w:hint="eastAsia" w:ascii="Times New Roman" w:hAnsi="Times New Roman" w:eastAsia="仿宋_GB2312" w:cs="Times New Roman"/>
          <w:kern w:val="0"/>
          <w:sz w:val="30"/>
          <w:szCs w:val="32"/>
          <w:u w:val="single"/>
          <w:lang w:val="en-US" w:eastAsia="zh-CN" w:bidi="ar-SA"/>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343"/>
    <w:p w14:paraId="59EA4A30">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344" w:name="_Toc312678014"/>
      <w:bookmarkStart w:id="345" w:name="_Toc318581171"/>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344"/>
    <w:bookmarkEnd w:id="345"/>
    <w:p w14:paraId="78CE3C47">
      <w:pPr>
        <w:spacing w:after="120" w:line="360" w:lineRule="auto"/>
        <w:ind w:firstLine="600" w:firstLineChars="200"/>
        <w:rPr>
          <w:rFonts w:eastAsia="黑体"/>
          <w:color w:val="000000"/>
          <w:sz w:val="30"/>
          <w:szCs w:val="32"/>
        </w:rPr>
      </w:pPr>
      <w:r>
        <w:rPr>
          <w:rFonts w:eastAsia="黑体"/>
          <w:color w:val="000000"/>
          <w:sz w:val="30"/>
          <w:szCs w:val="32"/>
        </w:rPr>
        <w:t>7</w:t>
      </w:r>
      <w:bookmarkStart w:id="346" w:name="_Toc304295549"/>
      <w:bookmarkStart w:id="347" w:name="_Toc297216178"/>
      <w:bookmarkStart w:id="348" w:name="_Toc297123519"/>
      <w:bookmarkStart w:id="349" w:name="_Toc303539128"/>
      <w:bookmarkStart w:id="350" w:name="_Toc312678015"/>
      <w:bookmarkStart w:id="351" w:name="_Toc300934971"/>
      <w:r>
        <w:rPr>
          <w:rFonts w:eastAsia="黑体"/>
          <w:color w:val="000000"/>
          <w:sz w:val="30"/>
          <w:szCs w:val="32"/>
        </w:rPr>
        <w:t>.6 不</w:t>
      </w:r>
      <w:bookmarkEnd w:id="346"/>
      <w:bookmarkEnd w:id="347"/>
      <w:bookmarkEnd w:id="348"/>
      <w:bookmarkEnd w:id="349"/>
      <w:bookmarkEnd w:id="350"/>
      <w:bookmarkEnd w:id="351"/>
      <w:r>
        <w:rPr>
          <w:rFonts w:eastAsia="黑体"/>
          <w:color w:val="000000"/>
          <w:sz w:val="30"/>
          <w:szCs w:val="32"/>
        </w:rPr>
        <w:t>利物质条件</w:t>
      </w:r>
    </w:p>
    <w:p w14:paraId="4824CB45">
      <w:pPr>
        <w:spacing w:line="360" w:lineRule="auto"/>
        <w:ind w:firstLine="600" w:firstLineChars="200"/>
        <w:jc w:val="left"/>
        <w:rPr>
          <w:rFonts w:eastAsia="仿宋_GB2312"/>
          <w:sz w:val="30"/>
          <w:szCs w:val="32"/>
        </w:rPr>
      </w:pPr>
      <w:bookmarkStart w:id="352" w:name="_Toc312678016"/>
      <w:bookmarkStart w:id="353" w:name="_Toc297123520"/>
      <w:bookmarkStart w:id="354" w:name="_Toc304295550"/>
      <w:bookmarkStart w:id="355" w:name="_Toc300934972"/>
      <w:bookmarkStart w:id="356" w:name="_Toc318581172"/>
      <w:bookmarkStart w:id="357" w:name="_Toc303539129"/>
      <w:bookmarkStart w:id="358" w:name="_Toc297216179"/>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352"/>
    <w:bookmarkEnd w:id="353"/>
    <w:bookmarkEnd w:id="354"/>
    <w:bookmarkEnd w:id="355"/>
    <w:bookmarkEnd w:id="356"/>
    <w:bookmarkEnd w:id="357"/>
    <w:bookmarkEnd w:id="358"/>
    <w:p w14:paraId="20788FBB">
      <w:pPr>
        <w:spacing w:after="120" w:line="360" w:lineRule="auto"/>
        <w:ind w:firstLine="600" w:firstLineChars="200"/>
        <w:rPr>
          <w:rFonts w:eastAsia="黑体"/>
          <w:color w:val="000000"/>
          <w:sz w:val="30"/>
          <w:szCs w:val="32"/>
        </w:rPr>
      </w:pPr>
      <w:r>
        <w:rPr>
          <w:rFonts w:eastAsia="黑体"/>
          <w:color w:val="000000"/>
          <w:sz w:val="30"/>
          <w:szCs w:val="32"/>
        </w:rPr>
        <w:t>7</w:t>
      </w:r>
      <w:bookmarkStart w:id="359" w:name="_Toc304295551"/>
      <w:bookmarkStart w:id="360" w:name="_Toc297216180"/>
      <w:bookmarkStart w:id="361" w:name="_Toc303539130"/>
      <w:bookmarkStart w:id="362" w:name="_Toc300934973"/>
      <w:bookmarkStart w:id="363" w:name="_Toc297123521"/>
      <w:bookmarkStart w:id="364" w:name="_Toc312678017"/>
      <w:r>
        <w:rPr>
          <w:rFonts w:eastAsia="黑体"/>
          <w:color w:val="000000"/>
          <w:sz w:val="30"/>
          <w:szCs w:val="32"/>
        </w:rPr>
        <w:t>.7异常恶劣的气候条件</w:t>
      </w:r>
    </w:p>
    <w:bookmarkEnd w:id="359"/>
    <w:bookmarkEnd w:id="360"/>
    <w:bookmarkEnd w:id="361"/>
    <w:bookmarkEnd w:id="362"/>
    <w:bookmarkEnd w:id="363"/>
    <w:bookmarkEnd w:id="364"/>
    <w:p w14:paraId="094F6282">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4BD58B8A">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25AEABC6">
      <w:pPr>
        <w:spacing w:line="360" w:lineRule="auto"/>
        <w:ind w:firstLine="600" w:firstLineChars="200"/>
        <w:jc w:val="left"/>
        <w:rPr>
          <w:rFonts w:hint="eastAsia"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15E2344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65" w:name="_Toc351203640"/>
      <w:r>
        <w:rPr>
          <w:rFonts w:ascii="Times New Roman" w:hAnsi="Times New Roman" w:eastAsia="黑体" w:cs="Times New Roman"/>
          <w:b w:val="0"/>
          <w:bCs/>
          <w:color w:val="000000"/>
          <w:kern w:val="2"/>
          <w:sz w:val="32"/>
          <w:szCs w:val="32"/>
          <w:lang w:val="en-US" w:eastAsia="zh-CN" w:bidi="ar-SA"/>
        </w:rPr>
        <w:t>8. 材料与设备</w:t>
      </w:r>
      <w:bookmarkEnd w:id="365"/>
    </w:p>
    <w:bookmarkEnd w:id="300"/>
    <w:bookmarkEnd w:id="301"/>
    <w:bookmarkEnd w:id="302"/>
    <w:bookmarkEnd w:id="303"/>
    <w:bookmarkEnd w:id="304"/>
    <w:bookmarkEnd w:id="305"/>
    <w:bookmarkEnd w:id="306"/>
    <w:bookmarkEnd w:id="307"/>
    <w:bookmarkEnd w:id="308"/>
    <w:bookmarkEnd w:id="309"/>
    <w:p w14:paraId="7CB4503B">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46F403A3">
      <w:pPr>
        <w:spacing w:after="120" w:line="360" w:lineRule="auto"/>
        <w:ind w:firstLine="600" w:firstLineChars="200"/>
        <w:rPr>
          <w:rFonts w:hint="eastAsia"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78BF1CC4">
      <w:pPr>
        <w:widowControl w:val="0"/>
        <w:adjustRightInd w:val="0"/>
        <w:spacing w:after="60" w:afterLines="0" w:line="360" w:lineRule="atLeast"/>
        <w:ind w:left="63" w:leftChars="30" w:right="63" w:rightChars="30" w:firstLine="600" w:firstLineChars="200"/>
        <w:jc w:val="left"/>
        <w:textAlignment w:val="baseline"/>
        <w:rPr>
          <w:rFonts w:hint="eastAsia"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3BF057D3">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427038F3">
      <w:pPr>
        <w:spacing w:after="120" w:line="360" w:lineRule="auto"/>
        <w:ind w:firstLine="600" w:firstLineChars="200"/>
        <w:rPr>
          <w:rFonts w:hint="eastAsia"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6EA6CCFD">
      <w:pPr>
        <w:widowControl w:val="0"/>
        <w:adjustRightInd w:val="0"/>
        <w:spacing w:after="60" w:afterLines="0" w:line="360" w:lineRule="atLeast"/>
        <w:ind w:left="63" w:leftChars="30" w:right="63" w:rightChars="30" w:firstLine="600"/>
        <w:jc w:val="left"/>
        <w:textAlignment w:val="baseline"/>
        <w:rPr>
          <w:rFonts w:hint="eastAsia"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01867A81">
      <w:pPr>
        <w:ind w:firstLine="600"/>
        <w:rPr>
          <w:rFonts w:hint="eastAsia"/>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4EE8C9B0">
      <w:pPr>
        <w:spacing w:after="120" w:line="360" w:lineRule="auto"/>
        <w:ind w:firstLine="600" w:firstLineChars="200"/>
        <w:rPr>
          <w:rFonts w:hint="eastAsia"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2AD4840E">
      <w:pPr>
        <w:spacing w:after="120" w:line="360" w:lineRule="auto"/>
        <w:ind w:firstLine="600" w:firstLineChars="200"/>
        <w:rPr>
          <w:rFonts w:eastAsia="黑体"/>
          <w:color w:val="000000"/>
          <w:sz w:val="30"/>
          <w:szCs w:val="32"/>
        </w:rPr>
      </w:pPr>
      <w:r>
        <w:rPr>
          <w:rFonts w:eastAsia="黑体"/>
          <w:color w:val="000000"/>
          <w:sz w:val="30"/>
          <w:szCs w:val="32"/>
        </w:rPr>
        <w:t>8</w:t>
      </w:r>
      <w:bookmarkStart w:id="366" w:name="_Toc297123527"/>
      <w:bookmarkStart w:id="367" w:name="_Toc296346668"/>
      <w:bookmarkStart w:id="368" w:name="_Toc296891207"/>
      <w:bookmarkStart w:id="369" w:name="_Toc304295556"/>
      <w:bookmarkStart w:id="370" w:name="_Toc312678019"/>
      <w:bookmarkStart w:id="371" w:name="_Toc303539136"/>
      <w:bookmarkStart w:id="372" w:name="_Toc280868654"/>
      <w:bookmarkStart w:id="373" w:name="_Toc296890995"/>
      <w:bookmarkStart w:id="374" w:name="_Toc296347166"/>
      <w:bookmarkStart w:id="375" w:name="_Toc297120467"/>
      <w:bookmarkStart w:id="376" w:name="_Toc297216186"/>
      <w:bookmarkStart w:id="377" w:name="_Toc296944506"/>
      <w:bookmarkStart w:id="378" w:name="_Toc300934979"/>
      <w:bookmarkStart w:id="379" w:name="_Toc312677493"/>
      <w:bookmarkStart w:id="380" w:name="_Toc292559372"/>
      <w:bookmarkStart w:id="381" w:name="_Toc297048353"/>
      <w:bookmarkStart w:id="382" w:name="_Toc296503167"/>
      <w:bookmarkStart w:id="383" w:name="_Toc292559877"/>
      <w:bookmarkStart w:id="384" w:name="_Toc280868656"/>
      <w:bookmarkStart w:id="385" w:name="_Toc280868655"/>
      <w:bookmarkStart w:id="386" w:name="_Toc267251424"/>
      <w:r>
        <w:rPr>
          <w:rFonts w:eastAsia="黑体"/>
          <w:color w:val="000000"/>
          <w:sz w:val="30"/>
          <w:szCs w:val="32"/>
        </w:rPr>
        <w:t>.4材料与工程设备的保管与使用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75F90B95">
      <w:pPr>
        <w:spacing w:line="360" w:lineRule="auto"/>
        <w:ind w:firstLine="600" w:firstLineChars="200"/>
        <w:jc w:val="left"/>
        <w:rPr>
          <w:rFonts w:eastAsia="仿宋_GB2312"/>
          <w:sz w:val="30"/>
          <w:szCs w:val="32"/>
        </w:rPr>
      </w:pPr>
      <w:r>
        <w:rPr>
          <w:rFonts w:eastAsia="仿宋_GB2312"/>
          <w:sz w:val="30"/>
          <w:szCs w:val="32"/>
        </w:rPr>
        <w:t>8</w:t>
      </w:r>
      <w:bookmarkStart w:id="387" w:name="_Toc292559373"/>
      <w:bookmarkStart w:id="388" w:name="_Toc292559878"/>
      <w:bookmarkStart w:id="389" w:name="_Toc303539137"/>
      <w:bookmarkStart w:id="390" w:name="_Toc304295557"/>
      <w:bookmarkStart w:id="391" w:name="_Toc297216187"/>
      <w:bookmarkStart w:id="392" w:name="_Toc297123528"/>
      <w:bookmarkStart w:id="393" w:name="_Toc296347167"/>
      <w:bookmarkStart w:id="394" w:name="_Toc312677494"/>
      <w:bookmarkStart w:id="395" w:name="_Toc296944507"/>
      <w:bookmarkStart w:id="396" w:name="_Toc312678020"/>
      <w:bookmarkStart w:id="397" w:name="_Toc296891208"/>
      <w:bookmarkStart w:id="398" w:name="_Toc296890996"/>
      <w:bookmarkStart w:id="399" w:name="_Toc297120468"/>
      <w:bookmarkStart w:id="400" w:name="_Toc296346669"/>
      <w:bookmarkStart w:id="401" w:name="_Toc297048354"/>
      <w:bookmarkStart w:id="402" w:name="_Toc296503168"/>
      <w:bookmarkStart w:id="403" w:name="_Toc300934980"/>
      <w:bookmarkStart w:id="404" w:name="_Toc318581173"/>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387"/>
      <w:bookmarkEnd w:id="388"/>
    </w:p>
    <w:p w14:paraId="3E4D8FFC">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4A096D88">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3A152036">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6ED80C4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05" w:name="_Toc351203641"/>
      <w:r>
        <w:rPr>
          <w:rFonts w:ascii="Times New Roman" w:hAnsi="Times New Roman" w:eastAsia="黑体" w:cs="Times New Roman"/>
          <w:b w:val="0"/>
          <w:bCs/>
          <w:color w:val="000000"/>
          <w:kern w:val="2"/>
          <w:sz w:val="32"/>
          <w:szCs w:val="32"/>
          <w:lang w:val="en-US" w:eastAsia="zh-CN" w:bidi="ar-SA"/>
        </w:rPr>
        <w:t>9</w:t>
      </w:r>
      <w:bookmarkEnd w:id="384"/>
      <w:bookmarkEnd w:id="385"/>
      <w:bookmarkEnd w:id="386"/>
      <w:bookmarkStart w:id="406" w:name="_Toc300934982"/>
      <w:bookmarkStart w:id="407" w:name="_Toc312677495"/>
      <w:bookmarkStart w:id="408" w:name="_Toc297123533"/>
      <w:bookmarkStart w:id="409" w:name="_Toc297216192"/>
      <w:bookmarkStart w:id="410" w:name="_Toc303539139"/>
      <w:bookmarkStart w:id="411" w:name="_Toc312678021"/>
      <w:bookmarkStart w:id="412" w:name="_Toc304295559"/>
      <w:bookmarkStart w:id="413" w:name="_Toc267251428"/>
      <w:bookmarkStart w:id="414" w:name="_Toc296346674"/>
      <w:bookmarkStart w:id="415" w:name="_Toc296503173"/>
      <w:bookmarkStart w:id="416" w:name="_Toc297120473"/>
      <w:bookmarkStart w:id="417" w:name="_Toc296944512"/>
      <w:bookmarkStart w:id="418" w:name="_Toc296891213"/>
      <w:bookmarkStart w:id="419" w:name="_Toc296347172"/>
      <w:bookmarkStart w:id="420" w:name="_Toc292559378"/>
      <w:bookmarkStart w:id="421" w:name="_Toc267251427"/>
      <w:bookmarkStart w:id="422" w:name="_Toc297048359"/>
      <w:bookmarkStart w:id="423" w:name="_Toc296891001"/>
      <w:bookmarkStart w:id="424" w:name="_Toc292559883"/>
      <w:r>
        <w:rPr>
          <w:rFonts w:ascii="Times New Roman" w:hAnsi="Times New Roman" w:eastAsia="黑体" w:cs="Times New Roman"/>
          <w:b w:val="0"/>
          <w:bCs/>
          <w:color w:val="000000"/>
          <w:kern w:val="2"/>
          <w:sz w:val="32"/>
          <w:szCs w:val="32"/>
          <w:lang w:val="en-US" w:eastAsia="zh-CN" w:bidi="ar-SA"/>
        </w:rPr>
        <w:t>. 试验与检验</w:t>
      </w:r>
      <w:bookmarkEnd w:id="405"/>
    </w:p>
    <w:bookmarkEnd w:id="406"/>
    <w:bookmarkEnd w:id="407"/>
    <w:bookmarkEnd w:id="408"/>
    <w:bookmarkEnd w:id="409"/>
    <w:bookmarkEnd w:id="410"/>
    <w:bookmarkEnd w:id="411"/>
    <w:bookmarkEnd w:id="412"/>
    <w:p w14:paraId="416591DB">
      <w:pPr>
        <w:spacing w:after="120" w:line="360" w:lineRule="auto"/>
        <w:ind w:firstLine="600" w:firstLineChars="200"/>
        <w:rPr>
          <w:rFonts w:eastAsia="黑体"/>
          <w:color w:val="000000"/>
          <w:sz w:val="30"/>
          <w:szCs w:val="32"/>
        </w:rPr>
      </w:pPr>
      <w:r>
        <w:rPr>
          <w:rFonts w:eastAsia="黑体"/>
          <w:color w:val="000000"/>
          <w:sz w:val="30"/>
          <w:szCs w:val="32"/>
        </w:rPr>
        <w:t>9</w:t>
      </w:r>
      <w:bookmarkStart w:id="425" w:name="_Toc303539140"/>
      <w:bookmarkStart w:id="426" w:name="_Toc312678022"/>
      <w:bookmarkStart w:id="427" w:name="_Toc304295560"/>
      <w:bookmarkStart w:id="428" w:name="_Toc312677496"/>
      <w:bookmarkStart w:id="429" w:name="_Toc300934983"/>
      <w:bookmarkStart w:id="430" w:name="_Toc297216193"/>
      <w:bookmarkStart w:id="431" w:name="_Toc297123534"/>
      <w:r>
        <w:rPr>
          <w:rFonts w:eastAsia="黑体"/>
          <w:color w:val="000000"/>
          <w:sz w:val="30"/>
          <w:szCs w:val="32"/>
        </w:rPr>
        <w:t>.1试验设备与试验人员</w:t>
      </w:r>
    </w:p>
    <w:bookmarkEnd w:id="425"/>
    <w:bookmarkEnd w:id="426"/>
    <w:bookmarkEnd w:id="427"/>
    <w:bookmarkEnd w:id="428"/>
    <w:bookmarkEnd w:id="429"/>
    <w:bookmarkEnd w:id="430"/>
    <w:bookmarkEnd w:id="431"/>
    <w:p w14:paraId="7FD9DFBC">
      <w:pPr>
        <w:spacing w:line="360" w:lineRule="auto"/>
        <w:ind w:firstLine="600" w:firstLineChars="200"/>
        <w:jc w:val="left"/>
        <w:rPr>
          <w:rFonts w:eastAsia="仿宋_GB2312"/>
          <w:sz w:val="30"/>
          <w:szCs w:val="32"/>
        </w:rPr>
      </w:pPr>
      <w:r>
        <w:rPr>
          <w:rFonts w:eastAsia="仿宋_GB2312"/>
          <w:sz w:val="30"/>
          <w:szCs w:val="32"/>
        </w:rPr>
        <w:t>9</w:t>
      </w:r>
      <w:bookmarkStart w:id="432" w:name="_Toc303539141"/>
      <w:bookmarkStart w:id="433" w:name="_Toc297216194"/>
      <w:bookmarkStart w:id="434" w:name="_Toc312678023"/>
      <w:bookmarkStart w:id="435" w:name="_Toc304295561"/>
      <w:bookmarkStart w:id="436" w:name="_Toc300934984"/>
      <w:bookmarkStart w:id="437" w:name="_Toc312677497"/>
      <w:bookmarkStart w:id="438" w:name="_Toc297123535"/>
      <w:bookmarkStart w:id="439" w:name="_Toc318581174"/>
      <w:r>
        <w:rPr>
          <w:rFonts w:eastAsia="仿宋_GB2312"/>
          <w:sz w:val="30"/>
          <w:szCs w:val="32"/>
        </w:rPr>
        <w:t>.1.2 试验设备</w:t>
      </w:r>
    </w:p>
    <w:p w14:paraId="2FFB8032">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432"/>
      <w:bookmarkEnd w:id="433"/>
      <w:bookmarkEnd w:id="434"/>
      <w:bookmarkEnd w:id="435"/>
      <w:bookmarkEnd w:id="436"/>
      <w:bookmarkEnd w:id="437"/>
      <w:bookmarkEnd w:id="438"/>
      <w:bookmarkStart w:id="440" w:name="_Toc312678024"/>
      <w:bookmarkStart w:id="441" w:name="_Toc312677498"/>
      <w:bookmarkStart w:id="442" w:name="_Toc304295562"/>
      <w:bookmarkStart w:id="443" w:name="_Toc297216195"/>
      <w:bookmarkStart w:id="444" w:name="_Toc297123536"/>
      <w:bookmarkStart w:id="445" w:name="_Toc303539142"/>
      <w:bookmarkStart w:id="446" w:name="_Toc300934985"/>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6AEC3C5C">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439"/>
    <w:bookmarkEnd w:id="440"/>
    <w:bookmarkEnd w:id="441"/>
    <w:bookmarkEnd w:id="442"/>
    <w:bookmarkEnd w:id="443"/>
    <w:bookmarkEnd w:id="444"/>
    <w:bookmarkEnd w:id="445"/>
    <w:bookmarkEnd w:id="446"/>
    <w:p w14:paraId="36B3E56A">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47" w:name="_Toc351203642"/>
      <w:r>
        <w:rPr>
          <w:rFonts w:ascii="Times New Roman" w:hAnsi="Times New Roman" w:eastAsia="黑体" w:cs="Times New Roman"/>
          <w:b w:val="0"/>
          <w:bCs/>
          <w:color w:val="000000"/>
          <w:kern w:val="2"/>
          <w:sz w:val="32"/>
          <w:szCs w:val="32"/>
          <w:lang w:val="en-US" w:eastAsia="zh-CN" w:bidi="ar-SA"/>
        </w:rPr>
        <w:t>1</w:t>
      </w:r>
      <w:bookmarkEnd w:id="413"/>
      <w:bookmarkEnd w:id="414"/>
      <w:bookmarkEnd w:id="415"/>
      <w:bookmarkEnd w:id="416"/>
      <w:bookmarkEnd w:id="417"/>
      <w:bookmarkEnd w:id="418"/>
      <w:bookmarkEnd w:id="419"/>
      <w:bookmarkEnd w:id="420"/>
      <w:bookmarkEnd w:id="421"/>
      <w:bookmarkEnd w:id="422"/>
      <w:bookmarkEnd w:id="423"/>
      <w:bookmarkEnd w:id="424"/>
      <w:bookmarkStart w:id="448" w:name="_Toc300934989"/>
      <w:bookmarkStart w:id="449" w:name="_Toc304295566"/>
      <w:bookmarkStart w:id="450" w:name="_Toc297123540"/>
      <w:bookmarkStart w:id="451" w:name="_Toc296891233"/>
      <w:bookmarkStart w:id="452" w:name="_Toc297120493"/>
      <w:bookmarkStart w:id="453" w:name="_Toc296944532"/>
      <w:bookmarkStart w:id="454" w:name="_Toc303539146"/>
      <w:bookmarkStart w:id="455" w:name="_Toc297216199"/>
      <w:bookmarkStart w:id="456" w:name="_Toc292559398"/>
      <w:bookmarkStart w:id="457" w:name="_Toc296891021"/>
      <w:bookmarkStart w:id="458" w:name="_Toc297048379"/>
      <w:bookmarkStart w:id="459" w:name="_Toc296346694"/>
      <w:bookmarkStart w:id="460" w:name="_Toc292559903"/>
      <w:bookmarkStart w:id="461" w:name="_Toc296347192"/>
      <w:bookmarkStart w:id="462" w:name="_Toc296503193"/>
      <w:bookmarkStart w:id="463" w:name="_Toc312678025"/>
      <w:bookmarkStart w:id="464" w:name="_Toc312677499"/>
      <w:bookmarkStart w:id="465" w:name="_Toc267251435"/>
      <w:bookmarkStart w:id="466" w:name="_Toc267251439"/>
      <w:bookmarkStart w:id="467" w:name="_Toc267251441"/>
      <w:bookmarkStart w:id="468" w:name="_Toc267251440"/>
      <w:bookmarkStart w:id="469" w:name="_Toc267251437"/>
      <w:bookmarkStart w:id="470" w:name="_Toc267251433"/>
      <w:bookmarkStart w:id="471" w:name="_Toc267251442"/>
      <w:r>
        <w:rPr>
          <w:rFonts w:ascii="Times New Roman" w:hAnsi="Times New Roman" w:eastAsia="黑体" w:cs="Times New Roman"/>
          <w:b w:val="0"/>
          <w:bCs/>
          <w:color w:val="000000"/>
          <w:kern w:val="2"/>
          <w:sz w:val="32"/>
          <w:szCs w:val="32"/>
          <w:lang w:val="en-US" w:eastAsia="zh-CN" w:bidi="ar-SA"/>
        </w:rPr>
        <w:t>0. 变更</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bookmarkEnd w:id="463"/>
    <w:bookmarkEnd w:id="464"/>
    <w:p w14:paraId="6478D688">
      <w:pPr>
        <w:spacing w:after="120" w:line="360" w:lineRule="auto"/>
        <w:ind w:firstLine="600" w:firstLineChars="200"/>
        <w:rPr>
          <w:rFonts w:eastAsia="黑体"/>
          <w:color w:val="000000"/>
          <w:sz w:val="30"/>
          <w:szCs w:val="32"/>
        </w:rPr>
      </w:pPr>
      <w:r>
        <w:rPr>
          <w:rFonts w:eastAsia="黑体"/>
          <w:color w:val="000000"/>
          <w:sz w:val="30"/>
          <w:szCs w:val="32"/>
        </w:rPr>
        <w:t>1</w:t>
      </w:r>
      <w:bookmarkStart w:id="472" w:name="_Toc303539147"/>
      <w:bookmarkStart w:id="473" w:name="_Toc297120494"/>
      <w:bookmarkStart w:id="474" w:name="_Toc296347193"/>
      <w:bookmarkStart w:id="475" w:name="_Toc297216200"/>
      <w:bookmarkStart w:id="476" w:name="_Toc296346695"/>
      <w:bookmarkStart w:id="477" w:name="_Toc296944533"/>
      <w:bookmarkStart w:id="478" w:name="_Toc297048380"/>
      <w:bookmarkStart w:id="479" w:name="_Toc292559904"/>
      <w:bookmarkStart w:id="480" w:name="_Toc296891022"/>
      <w:bookmarkStart w:id="481" w:name="_Toc312677500"/>
      <w:bookmarkStart w:id="482" w:name="_Toc296891234"/>
      <w:bookmarkStart w:id="483" w:name="_Toc292559399"/>
      <w:bookmarkStart w:id="484" w:name="_Toc296503194"/>
      <w:bookmarkStart w:id="485" w:name="_Toc304295567"/>
      <w:bookmarkStart w:id="486" w:name="_Toc312678026"/>
      <w:bookmarkStart w:id="487" w:name="_Toc300934990"/>
      <w:bookmarkStart w:id="488" w:name="_Toc297123541"/>
      <w:r>
        <w:rPr>
          <w:rFonts w:eastAsia="黑体"/>
          <w:color w:val="000000"/>
          <w:sz w:val="30"/>
          <w:szCs w:val="32"/>
        </w:rPr>
        <w:t>0.1变更的范围</w:t>
      </w:r>
    </w:p>
    <w:p w14:paraId="0932EFF9">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4520A8E7">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24EC89B7">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3445A2B0">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06B1A09B">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17E45A65">
      <w:pPr>
        <w:spacing w:line="360" w:lineRule="auto"/>
        <w:ind w:firstLine="600"/>
        <w:jc w:val="left"/>
        <w:rPr>
          <w:rFonts w:hint="eastAsia"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0CC788E3">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078A8FB9">
      <w:pPr>
        <w:spacing w:line="360" w:lineRule="auto"/>
        <w:ind w:firstLine="600" w:firstLineChars="200"/>
        <w:jc w:val="left"/>
        <w:rPr>
          <w:rFonts w:hint="eastAsia" w:eastAsia="仿宋_GB2312"/>
          <w:sz w:val="30"/>
          <w:szCs w:val="32"/>
        </w:rPr>
      </w:pPr>
      <w:r>
        <w:rPr>
          <w:rFonts w:hint="eastAsia" w:eastAsia="仿宋_GB2312"/>
          <w:sz w:val="30"/>
          <w:szCs w:val="32"/>
        </w:rPr>
        <w:t>10.4.1 变更估价原则</w:t>
      </w:r>
    </w:p>
    <w:p w14:paraId="4AA4884D">
      <w:pPr>
        <w:spacing w:line="360" w:lineRule="auto"/>
        <w:ind w:firstLine="600" w:firstLineChars="200"/>
        <w:jc w:val="left"/>
        <w:rPr>
          <w:rFonts w:hint="eastAsia"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51F423DC">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2DCE1486">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37B9FB2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89" w:name="_Toc351203643"/>
      <w:r>
        <w:rPr>
          <w:rFonts w:ascii="Times New Roman" w:hAnsi="Times New Roman" w:eastAsia="黑体" w:cs="Times New Roman"/>
          <w:b w:val="0"/>
          <w:bCs/>
          <w:color w:val="000000"/>
          <w:kern w:val="2"/>
          <w:sz w:val="32"/>
          <w:szCs w:val="32"/>
          <w:lang w:val="en-US" w:eastAsia="zh-CN" w:bidi="ar-SA"/>
        </w:rPr>
        <w:t>11. 价格调整</w:t>
      </w:r>
      <w:bookmarkEnd w:id="489"/>
    </w:p>
    <w:p w14:paraId="7A1D071E">
      <w:pPr>
        <w:spacing w:after="120" w:line="360" w:lineRule="auto"/>
        <w:ind w:firstLine="600" w:firstLineChars="200"/>
        <w:rPr>
          <w:rFonts w:eastAsia="黑体"/>
          <w:color w:val="000000"/>
          <w:sz w:val="30"/>
          <w:szCs w:val="32"/>
        </w:rPr>
      </w:pPr>
      <w:bookmarkStart w:id="490" w:name="_Toc303539157"/>
      <w:bookmarkStart w:id="491" w:name="_Toc297123550"/>
      <w:bookmarkStart w:id="492" w:name="_Toc292559911"/>
      <w:bookmarkStart w:id="493" w:name="_Toc300935000"/>
      <w:bookmarkStart w:id="494" w:name="_Toc296891029"/>
      <w:bookmarkStart w:id="495" w:name="_Toc296346702"/>
      <w:bookmarkStart w:id="496" w:name="_Toc296891241"/>
      <w:bookmarkStart w:id="497" w:name="_Toc304295577"/>
      <w:bookmarkStart w:id="498" w:name="_Toc297048387"/>
      <w:bookmarkStart w:id="499" w:name="_Toc296944540"/>
      <w:bookmarkStart w:id="500" w:name="_Toc297120501"/>
      <w:bookmarkStart w:id="501" w:name="_Toc292559406"/>
      <w:bookmarkStart w:id="502" w:name="_Toc296503201"/>
      <w:bookmarkStart w:id="503" w:name="_Toc312678039"/>
      <w:bookmarkStart w:id="504" w:name="_Toc297216209"/>
      <w:bookmarkStart w:id="505" w:name="_Toc296347200"/>
      <w:r>
        <w:rPr>
          <w:rFonts w:eastAsia="黑体"/>
          <w:color w:val="000000"/>
          <w:sz w:val="30"/>
          <w:szCs w:val="32"/>
        </w:rPr>
        <w:t>11.1 市场价格波动引起的调整</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5065DB17">
      <w:pPr>
        <w:spacing w:line="360" w:lineRule="auto"/>
        <w:ind w:firstLine="600" w:firstLineChars="200"/>
        <w:jc w:val="left"/>
        <w:rPr>
          <w:rFonts w:hint="eastAsia" w:eastAsia="仿宋_GB2312"/>
          <w:color w:val="000000"/>
          <w:kern w:val="0"/>
          <w:sz w:val="30"/>
          <w:szCs w:val="32"/>
          <w:lang w:val="en-US" w:eastAsia="zh-CN"/>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lang w:val="en-US" w:eastAsia="zh-CN"/>
        </w:rPr>
        <w:t>不调整</w:t>
      </w:r>
    </w:p>
    <w:bookmarkEnd w:id="465"/>
    <w:bookmarkEnd w:id="466"/>
    <w:bookmarkEnd w:id="467"/>
    <w:bookmarkEnd w:id="468"/>
    <w:bookmarkEnd w:id="469"/>
    <w:bookmarkEnd w:id="470"/>
    <w:p w14:paraId="0FC240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06" w:name="_Toc296346706"/>
      <w:bookmarkStart w:id="507" w:name="_Toc296891245"/>
      <w:bookmarkStart w:id="508" w:name="_Toc297120505"/>
      <w:bookmarkStart w:id="509" w:name="_Toc296347204"/>
      <w:bookmarkStart w:id="510" w:name="_Toc297048391"/>
      <w:bookmarkStart w:id="511" w:name="_Toc292559410"/>
      <w:bookmarkStart w:id="512" w:name="_Toc296503205"/>
      <w:bookmarkStart w:id="513" w:name="_Toc292559915"/>
      <w:bookmarkStart w:id="514" w:name="_Toc296891033"/>
      <w:bookmarkStart w:id="515" w:name="_Toc296944544"/>
      <w:bookmarkStart w:id="516" w:name="_Toc351203644"/>
      <w:bookmarkStart w:id="517" w:name="_Toc297123552"/>
      <w:bookmarkStart w:id="518" w:name="_Toc300935002"/>
      <w:bookmarkStart w:id="519" w:name="_Toc304295579"/>
      <w:bookmarkStart w:id="520" w:name="_Toc303539159"/>
      <w:bookmarkStart w:id="521" w:name="_Toc297216211"/>
      <w:bookmarkStart w:id="522" w:name="_Toc312678040"/>
      <w:r>
        <w:rPr>
          <w:rFonts w:ascii="Times New Roman" w:hAnsi="Times New Roman" w:eastAsia="黑体" w:cs="Times New Roman"/>
          <w:b w:val="0"/>
          <w:bCs/>
          <w:color w:val="000000"/>
          <w:kern w:val="2"/>
          <w:sz w:val="32"/>
          <w:szCs w:val="32"/>
          <w:lang w:val="en-US" w:eastAsia="zh-CN" w:bidi="ar-SA"/>
        </w:rPr>
        <w:t xml:space="preserve">12. </w:t>
      </w:r>
      <w:bookmarkEnd w:id="506"/>
      <w:bookmarkEnd w:id="507"/>
      <w:bookmarkEnd w:id="508"/>
      <w:bookmarkEnd w:id="509"/>
      <w:bookmarkEnd w:id="510"/>
      <w:bookmarkEnd w:id="511"/>
      <w:bookmarkEnd w:id="512"/>
      <w:bookmarkEnd w:id="513"/>
      <w:bookmarkEnd w:id="514"/>
      <w:bookmarkEnd w:id="515"/>
      <w:r>
        <w:rPr>
          <w:rFonts w:ascii="Times New Roman" w:hAnsi="Times New Roman" w:eastAsia="黑体" w:cs="Times New Roman"/>
          <w:b w:val="0"/>
          <w:bCs/>
          <w:color w:val="000000"/>
          <w:kern w:val="2"/>
          <w:sz w:val="32"/>
          <w:szCs w:val="32"/>
          <w:lang w:val="en-US" w:eastAsia="zh-CN" w:bidi="ar-SA"/>
        </w:rPr>
        <w:t>合同价格、计量与支付</w:t>
      </w:r>
      <w:bookmarkEnd w:id="516"/>
    </w:p>
    <w:bookmarkEnd w:id="517"/>
    <w:bookmarkEnd w:id="518"/>
    <w:bookmarkEnd w:id="519"/>
    <w:bookmarkEnd w:id="520"/>
    <w:bookmarkEnd w:id="521"/>
    <w:bookmarkEnd w:id="522"/>
    <w:p w14:paraId="3CC01CEC">
      <w:pPr>
        <w:spacing w:after="120" w:line="360" w:lineRule="auto"/>
        <w:ind w:firstLine="600" w:firstLineChars="200"/>
        <w:rPr>
          <w:rFonts w:eastAsia="黑体"/>
          <w:color w:val="000000"/>
          <w:sz w:val="30"/>
          <w:szCs w:val="32"/>
          <w:u w:val="single"/>
        </w:rPr>
      </w:pPr>
      <w:bookmarkStart w:id="523" w:name="_Toc267251461"/>
      <w:bookmarkStart w:id="524" w:name="_Toc292559916"/>
      <w:bookmarkStart w:id="525" w:name="_Toc292559411"/>
      <w:bookmarkStart w:id="526" w:name="_Toc296944545"/>
      <w:bookmarkStart w:id="527" w:name="_Toc296891246"/>
      <w:bookmarkStart w:id="528" w:name="_Toc296347205"/>
      <w:bookmarkStart w:id="529" w:name="_Toc297048392"/>
      <w:bookmarkStart w:id="530" w:name="_Toc297120506"/>
      <w:bookmarkStart w:id="531" w:name="_Toc296503206"/>
      <w:bookmarkStart w:id="532" w:name="_Toc296891034"/>
      <w:bookmarkStart w:id="533" w:name="_Toc296346707"/>
      <w:bookmarkStart w:id="534" w:name="_Toc300935003"/>
      <w:bookmarkStart w:id="535" w:name="_Toc297123553"/>
      <w:bookmarkStart w:id="536" w:name="_Toc312678041"/>
      <w:bookmarkStart w:id="537" w:name="_Toc303539160"/>
      <w:bookmarkStart w:id="538" w:name="_Toc304295580"/>
      <w:bookmarkStart w:id="539" w:name="_Toc297216212"/>
      <w:r>
        <w:rPr>
          <w:rFonts w:eastAsia="黑体"/>
          <w:color w:val="000000"/>
          <w:sz w:val="30"/>
          <w:szCs w:val="32"/>
        </w:rPr>
        <w:t>12.1 合</w:t>
      </w:r>
      <w:bookmarkEnd w:id="523"/>
      <w:bookmarkEnd w:id="524"/>
      <w:bookmarkEnd w:id="525"/>
      <w:r>
        <w:rPr>
          <w:rFonts w:eastAsia="黑体"/>
          <w:color w:val="000000"/>
          <w:sz w:val="30"/>
          <w:szCs w:val="32"/>
        </w:rPr>
        <w:t>同价</w:t>
      </w:r>
      <w:bookmarkEnd w:id="526"/>
      <w:bookmarkEnd w:id="527"/>
      <w:bookmarkEnd w:id="528"/>
      <w:bookmarkEnd w:id="529"/>
      <w:bookmarkEnd w:id="530"/>
      <w:bookmarkEnd w:id="531"/>
      <w:bookmarkEnd w:id="532"/>
      <w:bookmarkEnd w:id="533"/>
      <w:r>
        <w:rPr>
          <w:rFonts w:eastAsia="黑体"/>
          <w:color w:val="000000"/>
          <w:sz w:val="30"/>
          <w:szCs w:val="32"/>
        </w:rPr>
        <w:t>格形式：</w:t>
      </w:r>
      <w:r>
        <w:rPr>
          <w:rFonts w:hint="eastAsia" w:eastAsia="黑体"/>
          <w:color w:val="000000"/>
          <w:sz w:val="30"/>
          <w:szCs w:val="32"/>
          <w:u w:val="single"/>
        </w:rPr>
        <w:t>固定单价合同  。</w:t>
      </w:r>
    </w:p>
    <w:bookmarkEnd w:id="534"/>
    <w:bookmarkEnd w:id="535"/>
    <w:bookmarkEnd w:id="536"/>
    <w:bookmarkEnd w:id="537"/>
    <w:bookmarkEnd w:id="538"/>
    <w:bookmarkEnd w:id="539"/>
    <w:p w14:paraId="64412D22">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7AF697D5">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0C7B6BCF">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11EDEFCF">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0644A878">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55201FD7">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164AED0F">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48E2163F">
      <w:pPr>
        <w:spacing w:after="120" w:line="360" w:lineRule="auto"/>
        <w:ind w:firstLine="600" w:firstLineChars="200"/>
        <w:rPr>
          <w:rFonts w:eastAsia="黑体"/>
          <w:color w:val="000000"/>
          <w:sz w:val="30"/>
          <w:szCs w:val="32"/>
        </w:rPr>
      </w:pPr>
      <w:bookmarkStart w:id="540" w:name="_Toc303539161"/>
      <w:bookmarkStart w:id="541" w:name="_Toc297123554"/>
      <w:bookmarkStart w:id="542" w:name="_Toc304295581"/>
      <w:bookmarkStart w:id="543" w:name="_Toc312678042"/>
      <w:bookmarkStart w:id="544" w:name="_Toc297216213"/>
      <w:bookmarkStart w:id="545" w:name="_Toc300935004"/>
      <w:bookmarkStart w:id="546" w:name="_Toc296347206"/>
      <w:bookmarkStart w:id="547" w:name="_Toc296944546"/>
      <w:bookmarkStart w:id="548" w:name="_Toc292559412"/>
      <w:bookmarkStart w:id="549" w:name="_Toc296891247"/>
      <w:bookmarkStart w:id="550" w:name="_Toc296346708"/>
      <w:bookmarkStart w:id="551" w:name="_Toc296503207"/>
      <w:bookmarkStart w:id="552" w:name="_Toc297120507"/>
      <w:bookmarkStart w:id="553" w:name="_Toc297048393"/>
      <w:bookmarkStart w:id="554" w:name="_Toc296891035"/>
      <w:bookmarkStart w:id="555" w:name="_Toc292559917"/>
      <w:r>
        <w:rPr>
          <w:rFonts w:eastAsia="黑体"/>
          <w:color w:val="000000"/>
          <w:sz w:val="30"/>
          <w:szCs w:val="32"/>
        </w:rPr>
        <w:t>12.2 预付款</w:t>
      </w:r>
    </w:p>
    <w:bookmarkEnd w:id="540"/>
    <w:bookmarkEnd w:id="541"/>
    <w:bookmarkEnd w:id="542"/>
    <w:bookmarkEnd w:id="543"/>
    <w:bookmarkEnd w:id="544"/>
    <w:bookmarkEnd w:id="545"/>
    <w:p w14:paraId="7ED6E898">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12E01654">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546"/>
    <w:bookmarkEnd w:id="547"/>
    <w:bookmarkEnd w:id="548"/>
    <w:bookmarkEnd w:id="549"/>
    <w:bookmarkEnd w:id="550"/>
    <w:bookmarkEnd w:id="551"/>
    <w:bookmarkEnd w:id="552"/>
    <w:bookmarkEnd w:id="553"/>
    <w:bookmarkEnd w:id="554"/>
    <w:bookmarkEnd w:id="555"/>
    <w:p w14:paraId="196DB948">
      <w:pPr>
        <w:spacing w:after="120" w:line="360" w:lineRule="auto"/>
        <w:ind w:firstLine="600" w:firstLineChars="200"/>
        <w:rPr>
          <w:rFonts w:eastAsia="黑体"/>
          <w:color w:val="000000"/>
          <w:sz w:val="30"/>
          <w:szCs w:val="32"/>
        </w:rPr>
      </w:pPr>
      <w:r>
        <w:rPr>
          <w:rFonts w:eastAsia="黑体"/>
          <w:color w:val="000000"/>
          <w:sz w:val="30"/>
          <w:szCs w:val="32"/>
        </w:rPr>
        <w:t>12.3 计量</w:t>
      </w:r>
    </w:p>
    <w:p w14:paraId="48A3EA07">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49BF374B">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5D4E2F54">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79FF733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1%的现金折扣（其中，付至农民工工资专户的农民工工资不享受该现金折扣）。</w:t>
      </w:r>
    </w:p>
    <w:bookmarkEnd w:id="471"/>
    <w:p w14:paraId="034C744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56" w:name="_Toc351203645"/>
      <w:bookmarkStart w:id="557" w:name="_Toc292559424"/>
      <w:bookmarkStart w:id="558" w:name="_Toc297048405"/>
      <w:bookmarkStart w:id="559" w:name="_Toc296891047"/>
      <w:bookmarkStart w:id="560" w:name="_Toc300935015"/>
      <w:bookmarkStart w:id="561" w:name="_Toc312678053"/>
      <w:bookmarkStart w:id="562" w:name="_Toc296891259"/>
      <w:bookmarkStart w:id="563" w:name="_Toc297123564"/>
      <w:bookmarkStart w:id="564" w:name="_Toc296503219"/>
      <w:bookmarkStart w:id="565" w:name="_Toc292559929"/>
      <w:bookmarkStart w:id="566" w:name="_Toc304295593"/>
      <w:bookmarkStart w:id="567" w:name="_Toc296347218"/>
      <w:bookmarkStart w:id="568" w:name="_Toc303539172"/>
      <w:bookmarkStart w:id="569" w:name="_Toc297216223"/>
      <w:bookmarkStart w:id="570" w:name="_Toc296944558"/>
      <w:bookmarkStart w:id="571" w:name="_Toc296346720"/>
      <w:bookmarkStart w:id="572" w:name="_Toc297120519"/>
      <w:r>
        <w:rPr>
          <w:rFonts w:ascii="Times New Roman" w:hAnsi="Times New Roman" w:eastAsia="黑体" w:cs="Times New Roman"/>
          <w:b w:val="0"/>
          <w:bCs/>
          <w:color w:val="000000"/>
          <w:kern w:val="2"/>
          <w:sz w:val="32"/>
          <w:szCs w:val="32"/>
          <w:lang w:val="en-US" w:eastAsia="zh-CN" w:bidi="ar-SA"/>
        </w:rPr>
        <w:t>13.</w:t>
      </w:r>
      <w:r>
        <w:rPr>
          <w:rFonts w:hint="eastAsia" w:ascii="Times New Roman" w:hAnsi="Times New Roman" w:eastAsia="黑体" w:cs="Times New Roman"/>
          <w:b w:val="0"/>
          <w:bCs/>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验收和工程试车</w:t>
      </w:r>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76B67972">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5271DA06">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lang w:val="en-US" w:eastAsia="zh-CN"/>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639C9AB8">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0192BE99">
      <w:pPr>
        <w:spacing w:after="120" w:line="360" w:lineRule="auto"/>
        <w:ind w:firstLine="600" w:firstLineChars="200"/>
        <w:rPr>
          <w:rFonts w:eastAsia="黑体"/>
          <w:color w:val="000000"/>
          <w:sz w:val="30"/>
          <w:szCs w:val="32"/>
        </w:rPr>
      </w:pPr>
      <w:bookmarkStart w:id="573" w:name="_Toc296346724"/>
      <w:bookmarkStart w:id="574" w:name="_Toc296891263"/>
      <w:bookmarkStart w:id="575" w:name="_Toc304295596"/>
      <w:bookmarkStart w:id="576" w:name="_Toc312678056"/>
      <w:bookmarkStart w:id="577" w:name="_Toc300935016"/>
      <w:bookmarkStart w:id="578" w:name="_Toc297123565"/>
      <w:bookmarkStart w:id="579" w:name="_Toc297216224"/>
      <w:bookmarkStart w:id="580" w:name="_Toc296944562"/>
      <w:bookmarkStart w:id="581" w:name="_Toc296347222"/>
      <w:bookmarkStart w:id="582" w:name="_Toc296503223"/>
      <w:bookmarkStart w:id="583" w:name="_Toc292559428"/>
      <w:bookmarkStart w:id="584" w:name="_Toc296891051"/>
      <w:bookmarkStart w:id="585" w:name="_Toc303539173"/>
      <w:bookmarkStart w:id="586" w:name="_Toc297048409"/>
      <w:bookmarkStart w:id="587" w:name="_Toc292559933"/>
      <w:bookmarkStart w:id="588" w:name="_Toc297120523"/>
      <w:bookmarkStart w:id="589" w:name="_Toc267251471"/>
      <w:bookmarkStart w:id="590" w:name="_Toc267251476"/>
      <w:bookmarkStart w:id="591" w:name="_Toc267251473"/>
      <w:bookmarkStart w:id="592" w:name="_Toc267251474"/>
      <w:bookmarkStart w:id="593" w:name="_Toc267251470"/>
      <w:bookmarkStart w:id="594" w:name="_Toc267251475"/>
      <w:bookmarkStart w:id="595" w:name="_Toc267251472"/>
      <w:r>
        <w:rPr>
          <w:rFonts w:eastAsia="黑体"/>
          <w:color w:val="000000"/>
          <w:sz w:val="30"/>
          <w:szCs w:val="32"/>
        </w:rPr>
        <w:t>13.2 竣工验收</w:t>
      </w:r>
    </w:p>
    <w:p w14:paraId="272C7CC8">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62B938FF">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2C388A4A">
      <w:pPr>
        <w:spacing w:line="360" w:lineRule="auto"/>
        <w:ind w:firstLine="600" w:firstLineChars="200"/>
        <w:jc w:val="left"/>
        <w:rPr>
          <w:rFonts w:hint="eastAsia"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58DC990E">
      <w:pPr>
        <w:spacing w:line="360" w:lineRule="auto"/>
        <w:ind w:firstLine="600" w:firstLineChars="200"/>
        <w:jc w:val="left"/>
        <w:rPr>
          <w:rFonts w:eastAsia="仿宋_GB2312"/>
          <w:color w:val="000000"/>
          <w:sz w:val="30"/>
          <w:szCs w:val="32"/>
        </w:rPr>
      </w:pPr>
      <w:bookmarkStart w:id="596" w:name="_Toc280868704"/>
      <w:bookmarkStart w:id="597" w:name="_Toc280868705"/>
      <w:bookmarkStart w:id="598" w:name="_Toc280868706"/>
      <w:bookmarkStart w:id="599" w:name="_Toc280868707"/>
      <w:bookmarkStart w:id="600" w:name="_Toc280868708"/>
      <w:bookmarkStart w:id="601" w:name="_Toc280868709"/>
      <w:r>
        <w:rPr>
          <w:rFonts w:eastAsia="仿宋_GB2312"/>
          <w:color w:val="000000"/>
          <w:sz w:val="30"/>
          <w:szCs w:val="32"/>
        </w:rPr>
        <w:t>13.2.2竣工验收程序</w:t>
      </w:r>
    </w:p>
    <w:bookmarkEnd w:id="596"/>
    <w:p w14:paraId="7C1A42CA">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455E0966">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597"/>
    <w:p w14:paraId="34F811D4">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598"/>
    <w:p w14:paraId="5F3378DA">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4C870419">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599"/>
    <w:p w14:paraId="3EDFF5A7">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600"/>
    <w:p w14:paraId="58745A67">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1C3D5EC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00210A2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48DE956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2" w:name="_Toc351203646"/>
      <w:r>
        <w:rPr>
          <w:rFonts w:ascii="Times New Roman" w:hAnsi="Times New Roman" w:eastAsia="黑体" w:cs="Times New Roman"/>
          <w:b w:val="0"/>
          <w:bCs/>
          <w:color w:val="000000"/>
          <w:kern w:val="2"/>
          <w:sz w:val="32"/>
          <w:szCs w:val="32"/>
          <w:lang w:val="en-US" w:eastAsia="zh-CN" w:bidi="ar-SA"/>
        </w:rPr>
        <w:t>14. 竣工结算</w:t>
      </w:r>
      <w:bookmarkEnd w:id="602"/>
    </w:p>
    <w:p w14:paraId="0C6316AB">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39698A48">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3BF65191">
      <w:pPr>
        <w:spacing w:line="360" w:lineRule="auto"/>
        <w:ind w:firstLine="600" w:firstLineChars="200"/>
        <w:jc w:val="left"/>
        <w:rPr>
          <w:rFonts w:hint="eastAsia"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4CBD3D9D">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2200A81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59FBE000">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54E8608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3EE83E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7267E7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1CB79519">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w:t>
      </w:r>
      <w:r>
        <w:rPr>
          <w:rFonts w:eastAsia="仿宋_GB2312"/>
          <w:color w:val="000000"/>
          <w:sz w:val="30"/>
          <w:szCs w:val="32"/>
        </w:rPr>
        <w:t>7%，余3%</w:t>
      </w:r>
      <w:r>
        <w:rPr>
          <w:rFonts w:hint="eastAsia" w:eastAsia="仿宋_GB2312"/>
          <w:color w:val="000000"/>
          <w:sz w:val="30"/>
          <w:szCs w:val="32"/>
        </w:rPr>
        <w:t>质保</w:t>
      </w:r>
      <w:r>
        <w:rPr>
          <w:rFonts w:eastAsia="仿宋_GB2312"/>
          <w:color w:val="000000"/>
          <w:sz w:val="30"/>
          <w:szCs w:val="32"/>
        </w:rPr>
        <w:t>金，待保修期满后一次性付清。</w:t>
      </w:r>
    </w:p>
    <w:p w14:paraId="2DB800C9">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000F90E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661D185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70F35E73">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20E63D02">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35447611">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3D4721FE">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722412E1">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4C035D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1080A7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18904D9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7BA9110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w:t>
      </w:r>
      <w:r>
        <w:rPr>
          <w:rFonts w:hint="eastAsia" w:eastAsia="仿宋_GB2312"/>
          <w:color w:val="000000"/>
          <w:sz w:val="30"/>
          <w:szCs w:val="32"/>
          <w:lang w:eastAsia="zh-CN"/>
        </w:rPr>
        <w:t>中选</w:t>
      </w:r>
      <w:r>
        <w:rPr>
          <w:rFonts w:hint="eastAsia" w:eastAsia="仿宋_GB2312"/>
          <w:color w:val="000000"/>
          <w:sz w:val="30"/>
          <w:szCs w:val="32"/>
        </w:rPr>
        <w:t>价-甲供材-暂估价-暂列金额-安全文明施工费）/（不含税</w:t>
      </w:r>
      <w:r>
        <w:rPr>
          <w:rFonts w:hint="eastAsia" w:eastAsia="仿宋_GB2312"/>
          <w:color w:val="000000"/>
          <w:sz w:val="30"/>
          <w:szCs w:val="32"/>
          <w:lang w:eastAsia="zh-CN"/>
        </w:rPr>
        <w:t>总报价最高限价</w:t>
      </w:r>
      <w:r>
        <w:rPr>
          <w:rFonts w:hint="eastAsia" w:eastAsia="仿宋_GB2312"/>
          <w:color w:val="000000"/>
          <w:sz w:val="30"/>
          <w:szCs w:val="32"/>
        </w:rPr>
        <w:t>-甲供材-暂估价-暂列金额-安全文明施工费）】×100%}进行税前下浮后结算，其中：</w:t>
      </w:r>
    </w:p>
    <w:p w14:paraId="67F4451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w:t>
      </w:r>
      <w:r>
        <w:rPr>
          <w:rFonts w:hint="eastAsia" w:eastAsia="仿宋_GB2312"/>
          <w:color w:val="000000"/>
          <w:sz w:val="30"/>
          <w:szCs w:val="32"/>
          <w:lang w:val="en-US" w:eastAsia="zh-CN"/>
        </w:rPr>
        <w:t>24</w:t>
      </w:r>
      <w:r>
        <w:rPr>
          <w:rFonts w:hint="eastAsia" w:eastAsia="仿宋_GB2312"/>
          <w:color w:val="000000"/>
          <w:sz w:val="30"/>
          <w:szCs w:val="32"/>
        </w:rPr>
        <w:t>年第三季度项目所在地人工信息价计算；</w:t>
      </w:r>
    </w:p>
    <w:p w14:paraId="0F0BC6AA">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w:t>
      </w:r>
      <w:r>
        <w:rPr>
          <w:rFonts w:hint="eastAsia" w:eastAsia="仿宋_GB2312"/>
          <w:color w:val="000000"/>
          <w:sz w:val="30"/>
          <w:szCs w:val="32"/>
          <w:lang w:eastAsia="zh-CN"/>
        </w:rPr>
        <w:t>中选</w:t>
      </w:r>
      <w:r>
        <w:rPr>
          <w:rFonts w:hint="eastAsia" w:eastAsia="仿宋_GB2312"/>
          <w:color w:val="000000"/>
          <w:sz w:val="30"/>
          <w:szCs w:val="32"/>
        </w:rPr>
        <w:t>文件中相同材料单价的最低值执行；③信息价和承包人</w:t>
      </w:r>
      <w:r>
        <w:rPr>
          <w:rFonts w:hint="eastAsia" w:eastAsia="仿宋_GB2312"/>
          <w:color w:val="000000"/>
          <w:sz w:val="30"/>
          <w:szCs w:val="32"/>
          <w:lang w:eastAsia="zh-CN"/>
        </w:rPr>
        <w:t>中选</w:t>
      </w:r>
      <w:r>
        <w:rPr>
          <w:rFonts w:hint="eastAsia" w:eastAsia="仿宋_GB2312"/>
          <w:color w:val="000000"/>
          <w:sz w:val="30"/>
          <w:szCs w:val="32"/>
        </w:rPr>
        <w:t>文件都没有的，按发包人结合市场行情认质核价确定；④不再另行计取采保费；</w:t>
      </w:r>
    </w:p>
    <w:p w14:paraId="4DFC008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424EEF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7C3203F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1E3AAF2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施工技术措施项目费中以项计列的项目，完成合同范围约定内的工作内容，则按投标时施工技术措施项目费的报价作为结算价；技术措施清单中以项目编码、项目名称、项目特征、工程内容、工程量及计量单位列项的项目，以</w:t>
      </w:r>
      <w:r>
        <w:rPr>
          <w:rFonts w:hint="eastAsia" w:eastAsia="仿宋_GB2312"/>
          <w:color w:val="000000"/>
          <w:sz w:val="30"/>
          <w:szCs w:val="32"/>
          <w:lang w:eastAsia="zh-CN"/>
        </w:rPr>
        <w:t>中选人</w:t>
      </w:r>
      <w:r>
        <w:rPr>
          <w:rFonts w:hint="eastAsia" w:eastAsia="仿宋_GB2312"/>
          <w:color w:val="000000"/>
          <w:sz w:val="30"/>
          <w:szCs w:val="32"/>
        </w:rPr>
        <w:t xml:space="preserve">投标报价的综合单价乘以按《建设工程工程量清单计价规范》（GB50500-2013）约定的计量规则计算的实际变更及调整合格工程量办理结算；    </w:t>
      </w:r>
    </w:p>
    <w:p w14:paraId="734DD3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2C09389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6DE5738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1AD1CCD5">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6.甲供材消耗量按</w:t>
      </w:r>
      <w:r>
        <w:rPr>
          <w:rFonts w:hint="eastAsia" w:eastAsia="仿宋_GB2312"/>
          <w:color w:val="000000"/>
          <w:sz w:val="30"/>
          <w:szCs w:val="32"/>
          <w:lang w:eastAsia="zh-CN"/>
        </w:rPr>
        <w:t>报价文件</w:t>
      </w:r>
      <w:r>
        <w:rPr>
          <w:rFonts w:hint="eastAsia" w:eastAsia="仿宋_GB2312"/>
          <w:color w:val="000000"/>
          <w:sz w:val="30"/>
          <w:szCs w:val="32"/>
        </w:rPr>
        <w:t>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589"/>
    <w:bookmarkEnd w:id="590"/>
    <w:bookmarkEnd w:id="591"/>
    <w:bookmarkEnd w:id="592"/>
    <w:bookmarkEnd w:id="593"/>
    <w:bookmarkEnd w:id="594"/>
    <w:bookmarkEnd w:id="595"/>
    <w:bookmarkEnd w:id="601"/>
    <w:p w14:paraId="296EF6DB">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3" w:name="_Toc351203647"/>
      <w:bookmarkStart w:id="604" w:name="_Toc267251483"/>
      <w:bookmarkStart w:id="605" w:name="_Toc267251484"/>
      <w:bookmarkStart w:id="606" w:name="_Toc267251482"/>
      <w:bookmarkStart w:id="607" w:name="_Toc267251485"/>
      <w:bookmarkStart w:id="608" w:name="_Toc267251490"/>
      <w:bookmarkStart w:id="609" w:name="_Toc267251488"/>
      <w:bookmarkStart w:id="610" w:name="_Toc267251489"/>
      <w:bookmarkStart w:id="611" w:name="_Toc267251486"/>
      <w:bookmarkStart w:id="612" w:name="_Toc267251493"/>
      <w:bookmarkStart w:id="613" w:name="_Toc267251499"/>
      <w:bookmarkStart w:id="614" w:name="_Toc267251498"/>
      <w:bookmarkStart w:id="615" w:name="_Toc267251503"/>
      <w:bookmarkStart w:id="616" w:name="_Toc267251501"/>
      <w:bookmarkStart w:id="617" w:name="_Toc267251491"/>
      <w:bookmarkStart w:id="618" w:name="_Toc267251492"/>
      <w:bookmarkStart w:id="619" w:name="_Toc267251496"/>
      <w:bookmarkStart w:id="620" w:name="_Toc267251495"/>
      <w:bookmarkStart w:id="621" w:name="_Toc267251502"/>
      <w:bookmarkStart w:id="622" w:name="_Toc267251494"/>
      <w:bookmarkStart w:id="623" w:name="_Toc267251497"/>
      <w:bookmarkStart w:id="624" w:name="_Toc267251504"/>
      <w:bookmarkStart w:id="625" w:name="_Toc267251507"/>
      <w:bookmarkStart w:id="626" w:name="_Toc267251506"/>
      <w:bookmarkStart w:id="627" w:name="_Toc267251508"/>
      <w:bookmarkStart w:id="628" w:name="_Toc267251510"/>
      <w:bookmarkStart w:id="629" w:name="_Toc267251515"/>
      <w:bookmarkStart w:id="630" w:name="_Toc267251511"/>
      <w:bookmarkStart w:id="631" w:name="_Toc267251513"/>
      <w:bookmarkStart w:id="632" w:name="_Toc267251514"/>
      <w:bookmarkStart w:id="633" w:name="_Toc267251509"/>
      <w:r>
        <w:rPr>
          <w:rFonts w:ascii="Times New Roman" w:hAnsi="Times New Roman" w:eastAsia="黑体" w:cs="Times New Roman"/>
          <w:b w:val="0"/>
          <w:bCs/>
          <w:color w:val="000000"/>
          <w:kern w:val="2"/>
          <w:sz w:val="32"/>
          <w:szCs w:val="32"/>
          <w:lang w:val="en-US" w:eastAsia="zh-CN" w:bidi="ar-SA"/>
        </w:rPr>
        <w:t>15. 缺陷责任期与保修</w:t>
      </w:r>
      <w:bookmarkEnd w:id="603"/>
    </w:p>
    <w:p w14:paraId="29A9CB4A">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604"/>
    </w:p>
    <w:p w14:paraId="4FDC200F">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22A47401">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02C9DE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45165FE8">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1F3C1CB5">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4F7DAAE3">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536438E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407FD0E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30173D5E">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434C7F5D">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7BEAA4F5">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4BB6F1E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60BFDD69">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0E36526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6DF0EAD6">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605"/>
    <w:bookmarkEnd w:id="606"/>
    <w:p w14:paraId="230C5E3E">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607"/>
    <w:p w14:paraId="3353A338">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0B3EDD4D">
      <w:pPr>
        <w:ind w:firstLine="600" w:firstLineChars="200"/>
        <w:rPr>
          <w:rFonts w:eastAsia="仿宋_GB2312"/>
          <w:color w:val="000000"/>
          <w:sz w:val="30"/>
          <w:szCs w:val="32"/>
        </w:rPr>
      </w:pPr>
      <w:r>
        <w:rPr>
          <w:rFonts w:eastAsia="仿宋_GB2312"/>
          <w:color w:val="000000"/>
          <w:sz w:val="30"/>
          <w:szCs w:val="32"/>
        </w:rPr>
        <w:t>工程保修期为：</w:t>
      </w:r>
    </w:p>
    <w:p w14:paraId="4957FF58">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31B6FDD1">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6E1CA0B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043456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1381306">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98310A6">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5C979F9C">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1D6350F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608"/>
    <w:bookmarkEnd w:id="609"/>
    <w:bookmarkEnd w:id="610"/>
    <w:bookmarkEnd w:id="611"/>
    <w:p w14:paraId="27BBD96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4" w:name="_Toc351203648"/>
      <w:bookmarkStart w:id="635" w:name="_Toc280868717"/>
      <w:bookmarkStart w:id="636" w:name="_Toc280868718"/>
      <w:r>
        <w:rPr>
          <w:rFonts w:ascii="Times New Roman" w:hAnsi="Times New Roman" w:eastAsia="黑体" w:cs="Times New Roman"/>
          <w:b w:val="0"/>
          <w:bCs/>
          <w:color w:val="000000"/>
          <w:kern w:val="2"/>
          <w:sz w:val="32"/>
          <w:szCs w:val="32"/>
          <w:lang w:val="en-US" w:eastAsia="zh-CN" w:bidi="ar-SA"/>
        </w:rPr>
        <w:t>16. 违约</w:t>
      </w:r>
      <w:bookmarkEnd w:id="634"/>
    </w:p>
    <w:p w14:paraId="3C4ECE36">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37E08043">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283DBC1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34B1AE1A">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437FE25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4A13362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6A0F09C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1DF1E438">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06568FCE">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696EC0A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7480E15D">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01FEC48C">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w:t>
      </w:r>
      <w:r>
        <w:rPr>
          <w:rFonts w:hint="eastAsia" w:eastAsia="仿宋_GB2312"/>
          <w:color w:val="000000"/>
          <w:kern w:val="0"/>
          <w:sz w:val="30"/>
          <w:szCs w:val="32"/>
          <w:lang w:val="en-US" w:eastAsia="zh-CN"/>
        </w:rPr>
        <w:t>二</w:t>
      </w:r>
      <w:r>
        <w:rPr>
          <w:rFonts w:hint="eastAsia" w:eastAsia="仿宋_GB2312"/>
          <w:color w:val="000000"/>
          <w:kern w:val="0"/>
          <w:sz w:val="30"/>
          <w:szCs w:val="32"/>
        </w:rPr>
        <w:t>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777AEE87">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r>
        <w:rPr>
          <w:rFonts w:hint="eastAsia" w:eastAsia="仿宋_GB2312"/>
          <w:color w:val="000000"/>
          <w:kern w:val="0"/>
          <w:sz w:val="30"/>
          <w:szCs w:val="32"/>
        </w:rPr>
        <w:t>。</w:t>
      </w:r>
    </w:p>
    <w:p w14:paraId="4840FF04">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w:t>
      </w:r>
      <w:r>
        <w:rPr>
          <w:rFonts w:hint="eastAsia" w:eastAsia="仿宋_GB2312"/>
          <w:color w:val="000000"/>
          <w:kern w:val="0"/>
          <w:sz w:val="30"/>
          <w:szCs w:val="32"/>
          <w:lang w:val="en-US" w:eastAsia="zh-CN"/>
        </w:rPr>
        <w:t>一</w:t>
      </w:r>
      <w:r>
        <w:rPr>
          <w:rFonts w:hint="eastAsia" w:eastAsia="仿宋_GB2312"/>
          <w:color w:val="000000"/>
          <w:kern w:val="0"/>
          <w:sz w:val="30"/>
          <w:szCs w:val="32"/>
        </w:rPr>
        <w:t>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p>
    <w:p w14:paraId="13616518">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w:t>
      </w:r>
      <w:r>
        <w:rPr>
          <w:rFonts w:hint="eastAsia" w:eastAsia="仿宋_GB2312"/>
          <w:color w:val="000000"/>
          <w:kern w:val="0"/>
          <w:sz w:val="30"/>
          <w:szCs w:val="32"/>
          <w:lang w:val="en-US" w:eastAsia="zh-CN"/>
        </w:rPr>
        <w:t>二</w:t>
      </w:r>
      <w:r>
        <w:rPr>
          <w:rFonts w:hint="eastAsia" w:eastAsia="仿宋_GB2312"/>
          <w:color w:val="000000"/>
          <w:kern w:val="0"/>
          <w:sz w:val="30"/>
          <w:szCs w:val="32"/>
        </w:rPr>
        <w:t>万元/次支付违约金并继续履行合同；在指定期限内拒不整改的，发包人有权解除合同，并要求承包人承担严重违约责任。</w:t>
      </w:r>
    </w:p>
    <w:p w14:paraId="317622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1F861E2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6C799BC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69B6012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2688234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3287D00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02856DF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3C1A5CE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1EDB904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75E0FF5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790F2F16">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w:t>
      </w:r>
    </w:p>
    <w:p w14:paraId="097D187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330B8F9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万元，经催告后仍不执行的，发包人有权单方解除合同，不承担违约责任。</w:t>
      </w:r>
    </w:p>
    <w:p w14:paraId="4BB6B75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667DA83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5F6BBC7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0ED4B22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万元/次，发包人有权单方解除合同，因此造成的一切损失由承包人承担。</w:t>
      </w:r>
    </w:p>
    <w:p w14:paraId="26F58039">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3D07D5DC">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6F7AE0DC">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7B963A7B">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730B4C06">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7AA0723">
      <w:pPr>
        <w:spacing w:line="360" w:lineRule="auto"/>
        <w:ind w:firstLine="600" w:firstLineChars="200"/>
        <w:jc w:val="left"/>
        <w:rPr>
          <w:rFonts w:hint="eastAsia"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58E4726D">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5A739BA3">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6515EA5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7" w:name="_Toc351203649"/>
      <w:r>
        <w:rPr>
          <w:rFonts w:ascii="Times New Roman" w:hAnsi="Times New Roman" w:eastAsia="黑体" w:cs="Times New Roman"/>
          <w:b w:val="0"/>
          <w:bCs/>
          <w:color w:val="000000"/>
          <w:kern w:val="2"/>
          <w:sz w:val="32"/>
          <w:szCs w:val="32"/>
          <w:lang w:val="en-US" w:eastAsia="zh-CN" w:bidi="ar-SA"/>
        </w:rPr>
        <w:t>17. 不可抗力</w:t>
      </w:r>
      <w:bookmarkEnd w:id="637"/>
      <w:r>
        <w:rPr>
          <w:rFonts w:ascii="Times New Roman" w:hAnsi="Times New Roman" w:eastAsia="黑体" w:cs="Times New Roman"/>
          <w:b w:val="0"/>
          <w:bCs/>
          <w:color w:val="000000"/>
          <w:kern w:val="2"/>
          <w:sz w:val="32"/>
          <w:szCs w:val="32"/>
          <w:lang w:val="en-US" w:eastAsia="zh-CN" w:bidi="ar-SA"/>
        </w:rPr>
        <w:t xml:space="preserve"> </w:t>
      </w:r>
      <w:bookmarkEnd w:id="635"/>
    </w:p>
    <w:p w14:paraId="7E23798B">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06DDE047">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2AAC15A7">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6AFB4B99">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13A82433">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6524E7F0">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4EE0B797">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35CF49EB">
      <w:pPr>
        <w:spacing w:line="360" w:lineRule="auto"/>
        <w:ind w:firstLine="600" w:firstLineChars="200"/>
        <w:jc w:val="left"/>
        <w:rPr>
          <w:rFonts w:hint="eastAsia"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1C02B0E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8" w:name="_Toc351203650"/>
      <w:r>
        <w:rPr>
          <w:rFonts w:ascii="Times New Roman" w:hAnsi="Times New Roman" w:eastAsia="黑体" w:cs="Times New Roman"/>
          <w:b w:val="0"/>
          <w:bCs/>
          <w:color w:val="000000"/>
          <w:kern w:val="2"/>
          <w:sz w:val="32"/>
          <w:szCs w:val="32"/>
          <w:lang w:val="en-US" w:eastAsia="zh-CN" w:bidi="ar-SA"/>
        </w:rPr>
        <w:t>18. 保险</w:t>
      </w:r>
      <w:bookmarkEnd w:id="638"/>
    </w:p>
    <w:bookmarkEnd w:id="636"/>
    <w:p w14:paraId="28DE673B">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6F6EAFD8">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612"/>
    <w:bookmarkEnd w:id="613"/>
    <w:bookmarkEnd w:id="614"/>
    <w:bookmarkEnd w:id="615"/>
    <w:bookmarkEnd w:id="616"/>
    <w:bookmarkEnd w:id="617"/>
    <w:bookmarkEnd w:id="618"/>
    <w:bookmarkEnd w:id="619"/>
    <w:bookmarkEnd w:id="620"/>
    <w:bookmarkEnd w:id="621"/>
    <w:bookmarkEnd w:id="622"/>
    <w:bookmarkEnd w:id="623"/>
    <w:p w14:paraId="798D2BE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9" w:name="_Toc351203651"/>
      <w:r>
        <w:rPr>
          <w:rFonts w:ascii="Times New Roman" w:hAnsi="Times New Roman" w:eastAsia="黑体" w:cs="Times New Roman"/>
          <w:b w:val="0"/>
          <w:bCs/>
          <w:color w:val="000000"/>
          <w:kern w:val="2"/>
          <w:sz w:val="32"/>
          <w:szCs w:val="32"/>
          <w:lang w:val="en-US" w:eastAsia="zh-CN" w:bidi="ar-SA"/>
        </w:rPr>
        <w:t>20. 争议解决</w:t>
      </w:r>
      <w:bookmarkEnd w:id="639"/>
    </w:p>
    <w:bookmarkEnd w:id="624"/>
    <w:bookmarkEnd w:id="625"/>
    <w:bookmarkEnd w:id="626"/>
    <w:p w14:paraId="2D59F43C">
      <w:pPr>
        <w:spacing w:after="120" w:line="360" w:lineRule="auto"/>
        <w:ind w:firstLine="600" w:firstLineChars="200"/>
        <w:outlineLvl w:val="0"/>
        <w:rPr>
          <w:rFonts w:hint="eastAsia" w:eastAsia="黑体"/>
          <w:color w:val="000000"/>
          <w:sz w:val="30"/>
          <w:szCs w:val="32"/>
        </w:rPr>
      </w:pPr>
      <w:r>
        <w:rPr>
          <w:rFonts w:eastAsia="黑体"/>
          <w:color w:val="000000"/>
          <w:sz w:val="30"/>
          <w:szCs w:val="32"/>
        </w:rPr>
        <w:t>20.4仲裁或诉讼</w:t>
      </w:r>
      <w:bookmarkEnd w:id="627"/>
    </w:p>
    <w:p w14:paraId="6A8D26FD">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393E2384">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15FD9592">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628"/>
      <w:bookmarkEnd w:id="629"/>
      <w:bookmarkEnd w:id="630"/>
      <w:bookmarkEnd w:id="631"/>
      <w:bookmarkEnd w:id="632"/>
      <w:bookmarkEnd w:id="633"/>
    </w:p>
    <w:p w14:paraId="7C947EE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21. </w:t>
      </w:r>
      <w:r>
        <w:rPr>
          <w:rFonts w:hint="eastAsia" w:ascii="Times New Roman" w:hAnsi="Times New Roman" w:eastAsia="黑体" w:cs="Times New Roman"/>
          <w:b w:val="0"/>
          <w:bCs/>
          <w:color w:val="000000"/>
          <w:kern w:val="2"/>
          <w:sz w:val="32"/>
          <w:szCs w:val="32"/>
          <w:lang w:val="en-US" w:eastAsia="zh-CN" w:bidi="ar-SA"/>
        </w:rPr>
        <w:t>其他未尽事宜补充约定</w:t>
      </w:r>
    </w:p>
    <w:p w14:paraId="7336D4FA">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w:t>
      </w:r>
      <w:r>
        <w:rPr>
          <w:rFonts w:hint="eastAsia" w:eastAsia="仿宋_GB2312"/>
          <w:color w:val="000000"/>
          <w:sz w:val="30"/>
          <w:szCs w:val="32"/>
          <w:lang w:val="en-US" w:eastAsia="zh-CN"/>
        </w:rPr>
        <w:t>甲</w:t>
      </w:r>
      <w:r>
        <w:rPr>
          <w:rFonts w:hint="eastAsia" w:eastAsia="仿宋_GB2312"/>
          <w:color w:val="000000"/>
          <w:sz w:val="30"/>
          <w:szCs w:val="32"/>
        </w:rPr>
        <w:t>供主材，本合同采用一般计税方法计取增值税，发包人在支付承包人工程款以前须收到承包人开具的付款金额足额的增值税专用发票，否则发包人不予支付工程款；</w:t>
      </w:r>
    </w:p>
    <w:p w14:paraId="5D76A383">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386C2F16">
      <w:pPr>
        <w:spacing w:after="120" w:line="360" w:lineRule="auto"/>
        <w:ind w:firstLine="600" w:firstLineChars="200"/>
        <w:outlineLvl w:val="0"/>
        <w:rPr>
          <w:rFonts w:hint="eastAsia"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7FEBE6AD">
      <w:pPr>
        <w:spacing w:after="120" w:line="360" w:lineRule="auto"/>
        <w:ind w:firstLine="600" w:firstLineChars="200"/>
        <w:outlineLvl w:val="0"/>
        <w:rPr>
          <w:rFonts w:hint="eastAsia"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7E232E57">
      <w:pPr>
        <w:spacing w:after="120" w:line="360" w:lineRule="auto"/>
        <w:ind w:firstLine="600" w:firstLineChars="200"/>
        <w:outlineLvl w:val="0"/>
        <w:rPr>
          <w:rFonts w:hint="eastAsia"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10FB5A3A">
      <w:pPr>
        <w:spacing w:after="120" w:line="360" w:lineRule="auto"/>
        <w:ind w:firstLine="600" w:firstLineChars="200"/>
        <w:outlineLvl w:val="0"/>
        <w:rPr>
          <w:rFonts w:hint="eastAsia" w:eastAsia="仿宋_GB2312"/>
          <w:sz w:val="30"/>
          <w:szCs w:val="32"/>
        </w:rPr>
      </w:pPr>
      <w:r>
        <w:rPr>
          <w:rFonts w:hint="eastAsia" w:eastAsia="仿宋_GB2312"/>
          <w:sz w:val="30"/>
          <w:szCs w:val="32"/>
        </w:rPr>
        <w:t>单位名称： 重庆国际复合材料股份有限公司长寿分公司</w:t>
      </w:r>
    </w:p>
    <w:p w14:paraId="7269F4C1">
      <w:pPr>
        <w:spacing w:after="120" w:line="360" w:lineRule="auto"/>
        <w:ind w:firstLine="600" w:firstLineChars="200"/>
        <w:outlineLvl w:val="0"/>
        <w:rPr>
          <w:rFonts w:hint="eastAsia" w:eastAsia="仿宋_GB2312"/>
          <w:sz w:val="30"/>
          <w:szCs w:val="32"/>
        </w:rPr>
      </w:pPr>
      <w:r>
        <w:rPr>
          <w:rFonts w:hint="eastAsia" w:eastAsia="仿宋_GB2312"/>
          <w:sz w:val="30"/>
          <w:szCs w:val="32"/>
        </w:rPr>
        <w:t>纳税人识别号：91500115781577477H</w:t>
      </w:r>
    </w:p>
    <w:p w14:paraId="0FEB6533">
      <w:pPr>
        <w:spacing w:after="120" w:line="360" w:lineRule="auto"/>
        <w:ind w:firstLine="600" w:firstLineChars="200"/>
        <w:outlineLvl w:val="0"/>
        <w:rPr>
          <w:rFonts w:hint="eastAsia" w:eastAsia="仿宋_GB2312"/>
          <w:sz w:val="30"/>
          <w:szCs w:val="32"/>
        </w:rPr>
      </w:pPr>
      <w:r>
        <w:rPr>
          <w:rFonts w:hint="eastAsia" w:eastAsia="仿宋_GB2312"/>
          <w:sz w:val="30"/>
          <w:szCs w:val="32"/>
        </w:rPr>
        <w:t>单位地址： 重庆市长寿区晏家工业园</w:t>
      </w:r>
    </w:p>
    <w:p w14:paraId="4CD2CE08">
      <w:pPr>
        <w:spacing w:after="120" w:line="360" w:lineRule="auto"/>
        <w:ind w:firstLine="600" w:firstLineChars="200"/>
        <w:outlineLvl w:val="0"/>
        <w:rPr>
          <w:rFonts w:hint="eastAsia" w:eastAsia="仿宋_GB2312"/>
          <w:sz w:val="30"/>
          <w:szCs w:val="32"/>
        </w:rPr>
      </w:pPr>
      <w:r>
        <w:rPr>
          <w:rFonts w:hint="eastAsia" w:eastAsia="仿宋_GB2312"/>
          <w:sz w:val="30"/>
          <w:szCs w:val="32"/>
        </w:rPr>
        <w:t>联系电话：023-68157845</w:t>
      </w:r>
    </w:p>
    <w:p w14:paraId="2113B640">
      <w:pPr>
        <w:spacing w:after="120" w:line="360" w:lineRule="auto"/>
        <w:ind w:firstLine="600" w:firstLineChars="200"/>
        <w:outlineLvl w:val="0"/>
        <w:rPr>
          <w:rFonts w:hint="eastAsia" w:eastAsia="仿宋_GB2312"/>
          <w:sz w:val="30"/>
          <w:szCs w:val="32"/>
        </w:rPr>
      </w:pPr>
      <w:r>
        <w:rPr>
          <w:rFonts w:hint="eastAsia" w:eastAsia="仿宋_GB2312"/>
          <w:sz w:val="30"/>
          <w:szCs w:val="32"/>
        </w:rPr>
        <w:t>开户行：中国银行重庆晏家支行</w:t>
      </w:r>
    </w:p>
    <w:p w14:paraId="29C322C1">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kern w:val="0"/>
          <w:sz w:val="30"/>
          <w:szCs w:val="32"/>
          <w:lang w:val="en-US" w:eastAsia="zh-CN" w:bidi="ar-SA"/>
        </w:rPr>
        <w:t>账号：108808685536</w:t>
      </w:r>
    </w:p>
    <w:p w14:paraId="56544129">
      <w:pPr>
        <w:rPr>
          <w:rFonts w:hint="eastAsia"/>
          <w:szCs w:val="22"/>
        </w:rPr>
      </w:pPr>
    </w:p>
    <w:p w14:paraId="4A0F6946">
      <w:pPr>
        <w:spacing w:line="360" w:lineRule="auto"/>
        <w:ind w:firstLine="600" w:firstLineChars="200"/>
        <w:jc w:val="left"/>
        <w:rPr>
          <w:rFonts w:hint="eastAsia" w:eastAsia="仿宋_GB2312"/>
          <w:color w:val="000000"/>
          <w:sz w:val="30"/>
          <w:szCs w:val="32"/>
        </w:rPr>
      </w:pPr>
    </w:p>
    <w:p w14:paraId="0F790F68">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3698642A">
      <w:pPr>
        <w:spacing w:line="360" w:lineRule="auto"/>
        <w:jc w:val="left"/>
        <w:rPr>
          <w:rFonts w:eastAsia="仿宋_GB2312"/>
          <w:color w:val="000000"/>
          <w:sz w:val="30"/>
          <w:szCs w:val="32"/>
        </w:rPr>
      </w:pPr>
      <w:r>
        <w:rPr>
          <w:rFonts w:eastAsia="仿宋_GB2312"/>
          <w:color w:val="000000"/>
          <w:sz w:val="30"/>
          <w:szCs w:val="32"/>
        </w:rPr>
        <w:t>附件1：工程质量保修书</w:t>
      </w:r>
    </w:p>
    <w:p w14:paraId="4412C84B">
      <w:pPr>
        <w:spacing w:line="360" w:lineRule="auto"/>
        <w:jc w:val="left"/>
        <w:rPr>
          <w:rFonts w:hint="eastAsia"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111EDFB5">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24526DA6">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5B2E98F2">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33845CDD">
      <w:pPr>
        <w:widowControl w:val="0"/>
        <w:adjustRightInd w:val="0"/>
        <w:spacing w:after="60" w:afterLines="0" w:line="360" w:lineRule="atLeast"/>
        <w:ind w:left="0" w:leftChars="0" w:right="63" w:rightChars="3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附件</w:t>
      </w:r>
      <w:r>
        <w:rPr>
          <w:rFonts w:ascii="Times New Roman" w:hAnsi="Times New Roman" w:eastAsia="仿宋_GB2312" w:cs="Times New Roman"/>
          <w:color w:val="000000"/>
          <w:kern w:val="0"/>
          <w:sz w:val="30"/>
          <w:szCs w:val="32"/>
          <w:lang w:val="en-US" w:eastAsia="zh-CN" w:bidi="ar-SA"/>
        </w:rPr>
        <w:t>6</w:t>
      </w:r>
      <w:r>
        <w:rPr>
          <w:rFonts w:hint="eastAsia" w:ascii="Times New Roman" w:hAnsi="Times New Roman" w:eastAsia="仿宋_GB2312" w:cs="Times New Roman"/>
          <w:color w:val="000000"/>
          <w:kern w:val="0"/>
          <w:sz w:val="30"/>
          <w:szCs w:val="32"/>
          <w:lang w:val="en-US" w:eastAsia="zh-CN" w:bidi="ar-SA"/>
        </w:rPr>
        <w:t>：工程项目设计变更管理办法</w:t>
      </w:r>
    </w:p>
    <w:p w14:paraId="2C204449">
      <w:pPr>
        <w:rPr>
          <w:rFonts w:hint="eastAsia"/>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2C822844">
      <w:pPr>
        <w:spacing w:line="360" w:lineRule="auto"/>
        <w:jc w:val="left"/>
        <w:rPr>
          <w:rFonts w:hint="eastAsia"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4D992261">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6FC5FA6F">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32E7ECB2">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025B9E49">
      <w:pPr>
        <w:spacing w:line="440" w:lineRule="exact"/>
        <w:rPr>
          <w:rFonts w:eastAsia="仿宋_GB2312"/>
          <w:color w:val="000000"/>
          <w:sz w:val="30"/>
          <w:szCs w:val="30"/>
        </w:rPr>
      </w:pPr>
    </w:p>
    <w:p w14:paraId="08EEF866">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50C7D123">
      <w:pPr>
        <w:spacing w:line="360" w:lineRule="auto"/>
        <w:outlineLvl w:val="0"/>
        <w:rPr>
          <w:rFonts w:eastAsia="黑体"/>
          <w:color w:val="000000"/>
          <w:sz w:val="30"/>
          <w:szCs w:val="30"/>
        </w:rPr>
      </w:pPr>
      <w:r>
        <w:rPr>
          <w:rFonts w:eastAsia="黑体"/>
          <w:color w:val="000000"/>
          <w:sz w:val="30"/>
          <w:szCs w:val="30"/>
        </w:rPr>
        <w:t>　　一、工程质量保修范围和内容</w:t>
      </w:r>
    </w:p>
    <w:p w14:paraId="75375A3E">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2897A031">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332D9551">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08A8D0E1">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1604B87D">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6EFAD42E">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51D95AEB">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E0F84E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30C5D6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67901B9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61CA5AC8">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48B45275">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B3CAE10">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46120B2F">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05A2EF4A">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07C7C7DA">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4CEB7ED5">
      <w:pPr>
        <w:spacing w:line="360" w:lineRule="auto"/>
        <w:outlineLvl w:val="0"/>
        <w:rPr>
          <w:rFonts w:eastAsia="黑体"/>
          <w:color w:val="000000"/>
          <w:sz w:val="30"/>
          <w:szCs w:val="30"/>
        </w:rPr>
      </w:pPr>
      <w:r>
        <w:rPr>
          <w:rFonts w:eastAsia="黑体"/>
          <w:color w:val="000000"/>
          <w:sz w:val="30"/>
          <w:szCs w:val="30"/>
        </w:rPr>
        <w:t xml:space="preserve">    四、质量保修责任</w:t>
      </w:r>
    </w:p>
    <w:p w14:paraId="1243531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3A32D56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6A6B70F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CA56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099F2368">
      <w:pPr>
        <w:spacing w:line="360" w:lineRule="auto"/>
        <w:outlineLvl w:val="0"/>
        <w:rPr>
          <w:rFonts w:eastAsia="黑体"/>
          <w:color w:val="000000"/>
          <w:sz w:val="30"/>
          <w:szCs w:val="30"/>
        </w:rPr>
      </w:pPr>
      <w:r>
        <w:rPr>
          <w:rFonts w:eastAsia="黑体"/>
          <w:color w:val="000000"/>
          <w:sz w:val="30"/>
          <w:szCs w:val="30"/>
        </w:rPr>
        <w:t>　　五、保修费用</w:t>
      </w:r>
    </w:p>
    <w:p w14:paraId="78BE4015">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65A1EF1A">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3AF5511">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0097792A">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1EF3302C">
      <w:pPr>
        <w:spacing w:line="360" w:lineRule="auto"/>
        <w:ind w:firstLine="420"/>
        <w:rPr>
          <w:rFonts w:eastAsia="仿宋_GB2312"/>
          <w:color w:val="000000"/>
          <w:sz w:val="30"/>
          <w:szCs w:val="30"/>
        </w:rPr>
      </w:pPr>
    </w:p>
    <w:p w14:paraId="7D727E1C">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E707E92">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3D1EE6E6">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F90CEF3">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270D3B48">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42E66EB">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50FE9B45">
      <w:pPr>
        <w:spacing w:after="120" w:line="360" w:lineRule="auto"/>
        <w:jc w:val="center"/>
        <w:rPr>
          <w:rFonts w:ascii="宋体" w:hAnsi="宋体"/>
          <w:b/>
          <w:sz w:val="36"/>
          <w:szCs w:val="36"/>
        </w:rPr>
      </w:pPr>
      <w:r>
        <w:rPr>
          <w:rFonts w:hint="eastAsia" w:ascii="宋体" w:hAnsi="宋体"/>
          <w:b/>
          <w:sz w:val="36"/>
          <w:szCs w:val="36"/>
        </w:rPr>
        <w:t>廉洁协议</w:t>
      </w:r>
    </w:p>
    <w:p w14:paraId="69E16328">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45D696BB">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7766061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44EF4E2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238C75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7841A33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0383D37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203AE98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08F2151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43B4E09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262F27B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1891C58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0905C10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7EA942A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08DEB7F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12CEDB3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6A6C84A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0586A41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7B8A508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7BBC483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587F0F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4D0D07F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6280273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6EB8318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54B68C9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700C074F">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4F944B5C">
      <w:pPr>
        <w:spacing w:line="360" w:lineRule="auto"/>
        <w:ind w:left="105"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21670E5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37F15AA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4CEA39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第五条：检查方式</w:t>
      </w:r>
    </w:p>
    <w:p w14:paraId="41989E5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2F4588E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5259A2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73155B40">
      <w:pPr>
        <w:spacing w:line="360" w:lineRule="auto"/>
        <w:ind w:left="105"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5472BBFA">
      <w:pPr>
        <w:spacing w:line="360" w:lineRule="auto"/>
        <w:ind w:left="105"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4F95151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4404AEFE">
      <w:pPr>
        <w:spacing w:line="360" w:lineRule="auto"/>
        <w:ind w:left="105"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rPr>
          <w:rFonts w:eastAsia="仿宋_GB2312"/>
          <w:color w:val="000000"/>
          <w:sz w:val="30"/>
          <w:szCs w:val="30"/>
        </w:rPr>
        <w:fldChar w:fldCharType="begin"/>
      </w:r>
      <w:r>
        <w:rPr>
          <w:rFonts w:eastAsia="仿宋_GB2312"/>
          <w:color w:val="000000"/>
          <w:sz w:val="30"/>
          <w:szCs w:val="30"/>
        </w:rPr>
        <w:instrText xml:space="preserve"> HYPERLINK "mailto:cqbxjw@cpicfiber.com" </w:instrText>
      </w:r>
      <w:r>
        <w:rPr>
          <w:rFonts w:eastAsia="仿宋_GB2312"/>
          <w:color w:val="000000"/>
          <w:sz w:val="30"/>
          <w:szCs w:val="30"/>
        </w:rPr>
        <w:fldChar w:fldCharType="separate"/>
      </w:r>
      <w:r>
        <w:rPr>
          <w:rFonts w:eastAsia="仿宋_GB2312"/>
          <w:color w:val="000000"/>
          <w:sz w:val="30"/>
          <w:szCs w:val="30"/>
        </w:rPr>
        <w:t>cqbxjw@cpicfiber.com</w:t>
      </w:r>
      <w:r>
        <w:rPr>
          <w:rFonts w:eastAsia="仿宋_GB2312"/>
          <w:color w:val="000000"/>
          <w:sz w:val="30"/>
          <w:szCs w:val="30"/>
        </w:rPr>
        <w:fldChar w:fldCharType="end"/>
      </w:r>
    </w:p>
    <w:p w14:paraId="6466630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0DEAD1C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                        邮编：</w:t>
      </w:r>
    </w:p>
    <w:p w14:paraId="4930BA1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7CB646F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3CB35017">
      <w:pPr>
        <w:spacing w:line="360" w:lineRule="auto"/>
        <w:ind w:left="105" w:leftChars="50" w:firstLine="615" w:firstLineChars="205"/>
        <w:rPr>
          <w:rFonts w:eastAsia="仿宋_GB2312"/>
          <w:color w:val="000000"/>
          <w:sz w:val="30"/>
          <w:szCs w:val="30"/>
        </w:rPr>
      </w:pPr>
    </w:p>
    <w:p w14:paraId="26F18318">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242088A6">
      <w:pPr>
        <w:spacing w:line="360" w:lineRule="auto"/>
        <w:ind w:left="105" w:leftChars="50" w:firstLine="615" w:firstLineChars="205"/>
        <w:rPr>
          <w:rFonts w:eastAsia="仿宋_GB2312"/>
          <w:color w:val="000000"/>
          <w:sz w:val="30"/>
          <w:szCs w:val="30"/>
        </w:rPr>
      </w:pPr>
    </w:p>
    <w:p w14:paraId="6C91A71B">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631F4C6E">
      <w:pPr>
        <w:spacing w:line="360" w:lineRule="auto"/>
        <w:ind w:left="105" w:leftChars="50"/>
        <w:rPr>
          <w:rFonts w:eastAsia="仿宋_GB2312"/>
          <w:color w:val="000000"/>
          <w:sz w:val="30"/>
          <w:szCs w:val="30"/>
        </w:rPr>
      </w:pPr>
      <w:r>
        <w:rPr>
          <w:rFonts w:hint="eastAsia" w:eastAsia="仿宋_GB2312"/>
          <w:color w:val="000000"/>
          <w:sz w:val="30"/>
          <w:szCs w:val="30"/>
        </w:rPr>
        <w:t>（或受权代理人）签字：             （或受权代理人）签字：</w:t>
      </w:r>
    </w:p>
    <w:p w14:paraId="371167F5">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5E8EDFC9">
      <w:pPr>
        <w:spacing w:line="560" w:lineRule="exact"/>
        <w:jc w:val="center"/>
        <w:rPr>
          <w:rFonts w:hint="eastAsia" w:eastAsia="黑体"/>
          <w:sz w:val="44"/>
          <w:szCs w:val="22"/>
        </w:rPr>
      </w:pPr>
      <w:r>
        <w:rPr>
          <w:rFonts w:hint="eastAsia" w:eastAsia="黑体"/>
          <w:sz w:val="44"/>
          <w:szCs w:val="22"/>
        </w:rPr>
        <w:t>安全环保协议书</w:t>
      </w:r>
    </w:p>
    <w:p w14:paraId="36DA3BBA">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14:paraId="6E728FCD">
      <w:pPr>
        <w:spacing w:before="156" w:beforeLines="50" w:after="156" w:afterLines="50" w:line="480" w:lineRule="exact"/>
        <w:ind w:left="-105" w:leftChars="-50" w:firstLine="480" w:firstLineChars="200"/>
        <w:rPr>
          <w:rFonts w:hint="eastAsia"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491DB95B">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0993B145">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2C74EFD8">
      <w:pPr>
        <w:spacing w:line="480" w:lineRule="exact"/>
        <w:ind w:left="-50" w:firstLine="480" w:firstLineChars="200"/>
        <w:rPr>
          <w:rFonts w:hint="eastAsia"/>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61AF487D">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4BA84A70">
      <w:pPr>
        <w:spacing w:line="480" w:lineRule="exact"/>
        <w:ind w:left="-50" w:firstLine="480" w:firstLineChars="200"/>
        <w:rPr>
          <w:rFonts w:hint="eastAsia"/>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691E9C7B">
      <w:pPr>
        <w:spacing w:line="480" w:lineRule="exact"/>
        <w:ind w:left="-50" w:firstLine="480" w:firstLineChars="200"/>
        <w:rPr>
          <w:sz w:val="24"/>
          <w:szCs w:val="22"/>
        </w:rPr>
      </w:pPr>
      <w:r>
        <w:rPr>
          <w:rFonts w:hint="eastAsia"/>
          <w:sz w:val="24"/>
          <w:szCs w:val="22"/>
        </w:rPr>
        <w:t>4、按要求向上级部门报告有关信息。</w:t>
      </w:r>
    </w:p>
    <w:p w14:paraId="318E7463">
      <w:pPr>
        <w:spacing w:before="156" w:beforeLines="50" w:after="156" w:afterLines="50" w:line="360" w:lineRule="auto"/>
        <w:ind w:left="-51"/>
        <w:rPr>
          <w:rFonts w:hint="eastAsia" w:eastAsia="黑体"/>
          <w:sz w:val="24"/>
          <w:szCs w:val="22"/>
        </w:rPr>
      </w:pPr>
      <w:r>
        <w:rPr>
          <w:rFonts w:eastAsia="黑体"/>
          <w:sz w:val="24"/>
          <w:szCs w:val="22"/>
        </w:rPr>
        <w:t xml:space="preserve">   </w:t>
      </w:r>
      <w:r>
        <w:rPr>
          <w:rFonts w:hint="eastAsia" w:eastAsia="黑体"/>
          <w:sz w:val="24"/>
          <w:szCs w:val="22"/>
        </w:rPr>
        <w:t>第二条、乙方职责与权限</w:t>
      </w:r>
    </w:p>
    <w:p w14:paraId="6CCC4903">
      <w:pPr>
        <w:numPr>
          <w:ilvl w:val="0"/>
          <w:numId w:val="10"/>
        </w:numPr>
        <w:spacing w:line="480" w:lineRule="exact"/>
        <w:ind w:left="0" w:firstLine="454"/>
        <w:rPr>
          <w:rFonts w:hint="eastAsia"/>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334DA902">
      <w:pPr>
        <w:numPr>
          <w:ilvl w:val="0"/>
          <w:numId w:val="10"/>
        </w:numPr>
        <w:spacing w:line="480" w:lineRule="exact"/>
        <w:ind w:left="0" w:firstLine="454"/>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37BEF045">
      <w:pPr>
        <w:numPr>
          <w:ilvl w:val="0"/>
          <w:numId w:val="10"/>
        </w:numPr>
        <w:spacing w:line="420" w:lineRule="exact"/>
        <w:ind w:left="0" w:firstLine="454"/>
        <w:rPr>
          <w:rFonts w:hint="eastAsia"/>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7DB53B90">
      <w:pPr>
        <w:numPr>
          <w:ilvl w:val="0"/>
          <w:numId w:val="10"/>
        </w:numPr>
        <w:spacing w:line="480" w:lineRule="exact"/>
        <w:ind w:left="0" w:firstLine="454"/>
        <w:rPr>
          <w:rFonts w:hint="eastAsia"/>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1121C2EE">
      <w:pPr>
        <w:numPr>
          <w:ilvl w:val="0"/>
          <w:numId w:val="10"/>
        </w:numPr>
        <w:spacing w:line="480" w:lineRule="exact"/>
        <w:ind w:left="0" w:firstLine="454"/>
        <w:rPr>
          <w:rFonts w:hint="eastAsia"/>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57AE28F3">
      <w:pPr>
        <w:numPr>
          <w:ilvl w:val="0"/>
          <w:numId w:val="10"/>
        </w:numPr>
        <w:spacing w:line="480" w:lineRule="exact"/>
        <w:ind w:left="0" w:firstLine="454"/>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147BF8BE">
      <w:pPr>
        <w:numPr>
          <w:ilvl w:val="0"/>
          <w:numId w:val="10"/>
        </w:numPr>
        <w:spacing w:line="480" w:lineRule="exact"/>
        <w:ind w:left="0" w:firstLine="454"/>
        <w:rPr>
          <w:rFonts w:hint="eastAsia"/>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60CA6C1E">
      <w:pPr>
        <w:numPr>
          <w:ilvl w:val="0"/>
          <w:numId w:val="10"/>
        </w:numPr>
        <w:spacing w:line="420" w:lineRule="exact"/>
        <w:ind w:left="0" w:firstLine="454"/>
        <w:rPr>
          <w:rFonts w:hint="eastAsia"/>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40F581C3">
      <w:pPr>
        <w:numPr>
          <w:ilvl w:val="0"/>
          <w:numId w:val="10"/>
        </w:numPr>
        <w:spacing w:line="420" w:lineRule="exact"/>
        <w:ind w:left="0" w:firstLine="454"/>
        <w:rPr>
          <w:rFonts w:hint="eastAsia"/>
          <w:sz w:val="24"/>
          <w:szCs w:val="22"/>
        </w:rPr>
      </w:pPr>
      <w:r>
        <w:rPr>
          <w:rFonts w:hint="eastAsia"/>
          <w:sz w:val="24"/>
          <w:szCs w:val="22"/>
        </w:rPr>
        <w:t>未经允许，任何人不得乱动生产作业设施、设备，违规乱动造成的损失应承担赔偿责任，但发现有异常时可报告相关人员处理。</w:t>
      </w:r>
    </w:p>
    <w:p w14:paraId="7DF5A387">
      <w:pPr>
        <w:numPr>
          <w:ilvl w:val="0"/>
          <w:numId w:val="10"/>
        </w:numPr>
        <w:spacing w:line="420" w:lineRule="exact"/>
        <w:ind w:left="0" w:firstLine="454"/>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5EC82BBA">
      <w:pPr>
        <w:numPr>
          <w:ilvl w:val="0"/>
          <w:numId w:val="10"/>
        </w:numPr>
        <w:spacing w:line="420" w:lineRule="exact"/>
        <w:ind w:left="0" w:firstLine="454"/>
        <w:rPr>
          <w:rFonts w:hint="eastAsia"/>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42150929">
      <w:pPr>
        <w:numPr>
          <w:ilvl w:val="0"/>
          <w:numId w:val="10"/>
        </w:numPr>
        <w:spacing w:line="420" w:lineRule="exact"/>
        <w:ind w:left="0" w:firstLine="454"/>
        <w:rPr>
          <w:rFonts w:hint="eastAsia"/>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5526B4C4">
      <w:pPr>
        <w:numPr>
          <w:ilvl w:val="0"/>
          <w:numId w:val="10"/>
        </w:numPr>
        <w:spacing w:line="420" w:lineRule="exact"/>
        <w:ind w:left="0" w:firstLine="454"/>
        <w:rPr>
          <w:rFonts w:hint="eastAsia"/>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5453C65A">
      <w:pPr>
        <w:numPr>
          <w:ilvl w:val="0"/>
          <w:numId w:val="10"/>
        </w:numPr>
        <w:spacing w:line="420" w:lineRule="exact"/>
        <w:ind w:left="0" w:firstLine="454"/>
        <w:rPr>
          <w:rFonts w:hint="eastAsia"/>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7D703DA0">
      <w:pPr>
        <w:numPr>
          <w:ilvl w:val="0"/>
          <w:numId w:val="10"/>
        </w:numPr>
        <w:spacing w:line="420" w:lineRule="exact"/>
        <w:ind w:left="0" w:firstLine="454"/>
        <w:rPr>
          <w:rFonts w:hint="eastAsia"/>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3BF4DFB2">
      <w:pPr>
        <w:numPr>
          <w:ilvl w:val="0"/>
          <w:numId w:val="10"/>
        </w:numPr>
        <w:spacing w:line="420" w:lineRule="exact"/>
        <w:ind w:left="0" w:firstLine="454"/>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2955AF8C">
      <w:pPr>
        <w:numPr>
          <w:ilvl w:val="0"/>
          <w:numId w:val="10"/>
        </w:numPr>
        <w:spacing w:line="420" w:lineRule="exact"/>
        <w:ind w:left="0" w:firstLine="454"/>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79BCC372">
      <w:pPr>
        <w:numPr>
          <w:ilvl w:val="0"/>
          <w:numId w:val="10"/>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3035C074">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03C7268F">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31C46E15">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111FD13F">
      <w:pPr>
        <w:spacing w:line="420" w:lineRule="exact"/>
        <w:ind w:left="454"/>
        <w:rPr>
          <w:sz w:val="24"/>
          <w:szCs w:val="22"/>
        </w:rPr>
      </w:pPr>
      <w:r>
        <w:rPr>
          <w:rFonts w:hint="eastAsia"/>
          <w:sz w:val="24"/>
          <w:szCs w:val="22"/>
        </w:rPr>
        <w:t>（1）未进行入厂施工三级安全培训教育考试合格，直接安排到生产现场作业的。</w:t>
      </w:r>
    </w:p>
    <w:p w14:paraId="5295CFF7">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62A21CD9">
      <w:pPr>
        <w:spacing w:line="420" w:lineRule="exact"/>
        <w:ind w:left="454"/>
        <w:rPr>
          <w:sz w:val="24"/>
          <w:szCs w:val="22"/>
        </w:rPr>
      </w:pPr>
      <w:r>
        <w:rPr>
          <w:rFonts w:hint="eastAsia"/>
          <w:sz w:val="24"/>
          <w:szCs w:val="22"/>
        </w:rPr>
        <w:t>（3）发生安全环保事故（事件），推诿，不积极处理的。</w:t>
      </w:r>
    </w:p>
    <w:p w14:paraId="4585E5C4">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46976457">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4165E677">
      <w:pPr>
        <w:spacing w:line="420" w:lineRule="exact"/>
        <w:ind w:left="454"/>
        <w:rPr>
          <w:sz w:val="24"/>
          <w:szCs w:val="22"/>
        </w:rPr>
      </w:pPr>
      <w:r>
        <w:rPr>
          <w:rFonts w:hint="eastAsia"/>
          <w:sz w:val="24"/>
          <w:szCs w:val="22"/>
        </w:rPr>
        <w:t>（6）承包商或分包商拖欠工人工资或拖欠机具费等情况的。</w:t>
      </w:r>
    </w:p>
    <w:p w14:paraId="505B93FF">
      <w:pPr>
        <w:numPr>
          <w:ilvl w:val="0"/>
          <w:numId w:val="11"/>
        </w:numPr>
        <w:spacing w:line="420" w:lineRule="exact"/>
        <w:ind w:left="1174" w:hanging="720"/>
        <w:rPr>
          <w:sz w:val="24"/>
          <w:szCs w:val="22"/>
        </w:rPr>
      </w:pPr>
      <w:r>
        <w:rPr>
          <w:rFonts w:hint="eastAsia"/>
          <w:sz w:val="24"/>
          <w:szCs w:val="22"/>
        </w:rPr>
        <w:t>发生5人及以上堵门岗或多次（大于1次）堵门岗事件的。</w:t>
      </w:r>
    </w:p>
    <w:p w14:paraId="25A410F5">
      <w:pPr>
        <w:spacing w:line="420" w:lineRule="exact"/>
        <w:ind w:left="454"/>
        <w:rPr>
          <w:sz w:val="24"/>
          <w:szCs w:val="22"/>
        </w:rPr>
      </w:pPr>
      <w:r>
        <w:rPr>
          <w:rFonts w:hint="eastAsia"/>
          <w:sz w:val="24"/>
          <w:szCs w:val="22"/>
        </w:rPr>
        <w:t>（8）承包商、分包商产生纠纷，导致现场无法正常生产施工的。</w:t>
      </w:r>
    </w:p>
    <w:p w14:paraId="63A4FC8A">
      <w:pPr>
        <w:spacing w:line="420" w:lineRule="exact"/>
        <w:ind w:left="454"/>
        <w:rPr>
          <w:rFonts w:hint="eastAsia"/>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2AB3BA62">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2BF0060F">
      <w:pPr>
        <w:spacing w:line="420" w:lineRule="exact"/>
        <w:ind w:firstLine="480" w:firstLineChars="200"/>
        <w:rPr>
          <w:rFonts w:hint="eastAsia"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3AAF4693">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2F90C76E">
      <w:pPr>
        <w:numPr>
          <w:ilvl w:val="0"/>
          <w:numId w:val="12"/>
        </w:numPr>
        <w:spacing w:line="420" w:lineRule="exact"/>
        <w:ind w:left="0" w:firstLine="454"/>
        <w:rPr>
          <w:rFonts w:hint="eastAsia"/>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11C8EB0D">
      <w:pPr>
        <w:numPr>
          <w:ilvl w:val="0"/>
          <w:numId w:val="12"/>
        </w:numPr>
        <w:spacing w:line="420" w:lineRule="exact"/>
        <w:ind w:left="0" w:firstLine="454"/>
        <w:rPr>
          <w:rFonts w:hint="eastAsia"/>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439B7278">
      <w:pPr>
        <w:numPr>
          <w:ilvl w:val="0"/>
          <w:numId w:val="12"/>
        </w:numPr>
        <w:spacing w:line="420" w:lineRule="exact"/>
        <w:ind w:left="0" w:firstLine="454"/>
        <w:rPr>
          <w:rFonts w:hint="eastAsia"/>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573C8867">
      <w:pPr>
        <w:numPr>
          <w:ilvl w:val="0"/>
          <w:numId w:val="12"/>
        </w:numPr>
        <w:spacing w:line="420" w:lineRule="exact"/>
        <w:ind w:left="0" w:firstLine="454"/>
        <w:rPr>
          <w:rFonts w:hint="eastAsia"/>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38CDEC28">
      <w:pPr>
        <w:numPr>
          <w:ilvl w:val="0"/>
          <w:numId w:val="12"/>
        </w:numPr>
        <w:spacing w:line="420" w:lineRule="exact"/>
        <w:ind w:left="0" w:firstLine="454"/>
        <w:rPr>
          <w:rFonts w:hint="eastAsia"/>
          <w:sz w:val="24"/>
          <w:szCs w:val="22"/>
        </w:rPr>
      </w:pPr>
      <w:r>
        <w:rPr>
          <w:rFonts w:hint="eastAsia"/>
          <w:sz w:val="24"/>
          <w:szCs w:val="22"/>
        </w:rPr>
        <w:t>事故调查处理及审批权限：</w:t>
      </w:r>
    </w:p>
    <w:p w14:paraId="388D85B7">
      <w:pPr>
        <w:numPr>
          <w:ilvl w:val="1"/>
          <w:numId w:val="12"/>
        </w:numPr>
        <w:spacing w:line="420" w:lineRule="exact"/>
        <w:ind w:left="0" w:firstLine="454"/>
        <w:rPr>
          <w:rFonts w:hint="eastAsia"/>
          <w:sz w:val="24"/>
          <w:szCs w:val="22"/>
        </w:rPr>
      </w:pPr>
      <w:r>
        <w:rPr>
          <w:rFonts w:hint="eastAsia"/>
          <w:sz w:val="24"/>
          <w:szCs w:val="22"/>
        </w:rPr>
        <w:t>微伤事故由事故所在单位或甲方负责调查与处理，但处理结果应报送甲方。</w:t>
      </w:r>
    </w:p>
    <w:p w14:paraId="5734C2F3">
      <w:pPr>
        <w:numPr>
          <w:ilvl w:val="1"/>
          <w:numId w:val="12"/>
        </w:numPr>
        <w:spacing w:line="420" w:lineRule="exact"/>
        <w:ind w:left="0" w:firstLine="454"/>
        <w:rPr>
          <w:rFonts w:hint="eastAsia"/>
          <w:sz w:val="24"/>
          <w:szCs w:val="22"/>
        </w:rPr>
      </w:pPr>
      <w:r>
        <w:rPr>
          <w:rFonts w:hint="eastAsia"/>
          <w:sz w:val="24"/>
          <w:szCs w:val="22"/>
        </w:rPr>
        <w:t>轻微伤及以上伤事故由甲方负责组织调查处理。</w:t>
      </w:r>
    </w:p>
    <w:p w14:paraId="2F82ED3E">
      <w:pPr>
        <w:numPr>
          <w:ilvl w:val="1"/>
          <w:numId w:val="12"/>
        </w:numPr>
        <w:spacing w:line="420" w:lineRule="exact"/>
        <w:ind w:left="0" w:firstLine="454"/>
        <w:rPr>
          <w:rFonts w:hint="eastAsia"/>
          <w:sz w:val="24"/>
          <w:szCs w:val="22"/>
        </w:rPr>
      </w:pPr>
      <w:r>
        <w:rPr>
          <w:rFonts w:hint="eastAsia"/>
          <w:sz w:val="24"/>
          <w:szCs w:val="22"/>
        </w:rPr>
        <w:t>重伤3人以上事故由政府部门或政府部门授权调查处理，政府部门授权调查处理的事故，由甲方安全环保分管领导审批。</w:t>
      </w:r>
    </w:p>
    <w:p w14:paraId="786C9B96">
      <w:pPr>
        <w:numPr>
          <w:ilvl w:val="1"/>
          <w:numId w:val="12"/>
        </w:numPr>
        <w:spacing w:line="420" w:lineRule="exact"/>
        <w:ind w:left="0" w:firstLine="454"/>
        <w:rPr>
          <w:rFonts w:hint="eastAsia"/>
          <w:sz w:val="24"/>
          <w:szCs w:val="22"/>
        </w:rPr>
      </w:pPr>
      <w:r>
        <w:rPr>
          <w:rFonts w:hint="eastAsia"/>
          <w:sz w:val="24"/>
          <w:szCs w:val="22"/>
        </w:rPr>
        <w:t>死亡事故由政府部门调查处理，根据政府部门调查报告，再追究相关人员责任。</w:t>
      </w:r>
    </w:p>
    <w:p w14:paraId="446091DE">
      <w:pPr>
        <w:numPr>
          <w:ilvl w:val="0"/>
          <w:numId w:val="12"/>
        </w:numPr>
        <w:spacing w:line="420" w:lineRule="exact"/>
        <w:ind w:left="0" w:firstLine="454"/>
        <w:rPr>
          <w:rFonts w:hint="eastAsia"/>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3E0ED534">
      <w:pPr>
        <w:numPr>
          <w:ilvl w:val="0"/>
          <w:numId w:val="12"/>
        </w:numPr>
        <w:spacing w:line="420" w:lineRule="exact"/>
        <w:ind w:left="0" w:firstLine="454"/>
        <w:rPr>
          <w:rFonts w:hint="eastAsia"/>
          <w:sz w:val="24"/>
          <w:szCs w:val="22"/>
        </w:rPr>
      </w:pPr>
      <w:r>
        <w:rPr>
          <w:rFonts w:hint="eastAsia"/>
          <w:sz w:val="24"/>
          <w:szCs w:val="22"/>
        </w:rPr>
        <w:t>结案期限：轻微工伤事故应当在15天之内结案；其它工伤事故应当在30天内结案，特殊情况最长不得超过90天。</w:t>
      </w:r>
    </w:p>
    <w:p w14:paraId="7E30DD1E">
      <w:pPr>
        <w:numPr>
          <w:ilvl w:val="0"/>
          <w:numId w:val="12"/>
        </w:numPr>
        <w:spacing w:line="480" w:lineRule="exact"/>
        <w:ind w:left="0" w:firstLine="454"/>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6AE80FA7">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75850B39">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6DFEF18B">
      <w:pPr>
        <w:spacing w:line="480" w:lineRule="exact"/>
        <w:ind w:left="-50" w:firstLine="480" w:firstLineChars="200"/>
        <w:rPr>
          <w:rFonts w:hint="eastAsia"/>
          <w:sz w:val="24"/>
          <w:szCs w:val="22"/>
        </w:rPr>
      </w:pPr>
      <w:r>
        <w:rPr>
          <w:rFonts w:hint="eastAsia"/>
          <w:sz w:val="24"/>
          <w:szCs w:val="22"/>
        </w:rPr>
        <w:t>2、未尽事宜，双方可协商后补充解决。不能协商一致的根据所签合同争议条款解决。</w:t>
      </w:r>
    </w:p>
    <w:p w14:paraId="17EB8A86">
      <w:pPr>
        <w:spacing w:line="480" w:lineRule="exact"/>
        <w:ind w:left="-50" w:firstLine="480" w:firstLineChars="200"/>
        <w:rPr>
          <w:rFonts w:hint="eastAsia"/>
          <w:sz w:val="24"/>
          <w:szCs w:val="22"/>
        </w:rPr>
      </w:pPr>
      <w:r>
        <w:rPr>
          <w:rFonts w:hint="eastAsia"/>
          <w:sz w:val="24"/>
          <w:szCs w:val="22"/>
        </w:rPr>
        <w:t>3、违约考核规定见附件。</w:t>
      </w:r>
    </w:p>
    <w:p w14:paraId="0D7A10BF">
      <w:pPr>
        <w:tabs>
          <w:tab w:val="left" w:pos="5790"/>
        </w:tabs>
        <w:spacing w:line="480" w:lineRule="auto"/>
        <w:rPr>
          <w:rFonts w:hint="eastAsia"/>
          <w:sz w:val="22"/>
          <w:szCs w:val="22"/>
        </w:rPr>
      </w:pPr>
      <w:r>
        <w:rPr>
          <w:rFonts w:hint="eastAsia"/>
          <w:sz w:val="22"/>
          <w:szCs w:val="22"/>
        </w:rPr>
        <w:t xml:space="preserve">甲方：重庆国际复合材料股份有限公司     乙方： </w:t>
      </w:r>
    </w:p>
    <w:p w14:paraId="46660B64">
      <w:pPr>
        <w:tabs>
          <w:tab w:val="left" w:pos="4328"/>
        </w:tabs>
        <w:spacing w:line="480" w:lineRule="auto"/>
        <w:rPr>
          <w:rFonts w:hint="eastAsia"/>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27D92E27">
      <w:pPr>
        <w:tabs>
          <w:tab w:val="left" w:pos="4770"/>
        </w:tabs>
        <w:spacing w:line="480" w:lineRule="auto"/>
        <w:ind w:firstLine="440" w:firstLineChars="200"/>
        <w:rPr>
          <w:sz w:val="22"/>
          <w:szCs w:val="22"/>
        </w:rPr>
      </w:pPr>
      <w:r>
        <w:rPr>
          <w:rFonts w:hint="eastAsia"/>
          <w:sz w:val="22"/>
          <w:szCs w:val="22"/>
        </w:rPr>
        <w:t>签约代表：                             签约代表：</w:t>
      </w:r>
    </w:p>
    <w:p w14:paraId="12950472">
      <w:pPr>
        <w:tabs>
          <w:tab w:val="left" w:pos="4770"/>
        </w:tabs>
        <w:spacing w:line="480" w:lineRule="auto"/>
        <w:ind w:firstLine="440" w:firstLineChars="200"/>
        <w:rPr>
          <w:rFonts w:hint="eastAsia"/>
          <w:sz w:val="22"/>
          <w:szCs w:val="22"/>
        </w:rPr>
      </w:pPr>
      <w:r>
        <w:rPr>
          <w:rFonts w:hint="eastAsia"/>
          <w:sz w:val="22"/>
          <w:szCs w:val="22"/>
        </w:rPr>
        <w:t>联系电话：</w:t>
      </w:r>
      <w:r>
        <w:rPr>
          <w:sz w:val="22"/>
          <w:szCs w:val="22"/>
        </w:rPr>
        <w:tab/>
      </w:r>
      <w:r>
        <w:rPr>
          <w:rFonts w:hint="eastAsia"/>
          <w:sz w:val="22"/>
          <w:szCs w:val="22"/>
        </w:rPr>
        <w:t>联系邮箱：</w:t>
      </w:r>
    </w:p>
    <w:p w14:paraId="399627FB">
      <w:pPr>
        <w:tabs>
          <w:tab w:val="left" w:pos="2065"/>
          <w:tab w:val="left" w:pos="4770"/>
        </w:tabs>
        <w:spacing w:line="480" w:lineRule="auto"/>
        <w:ind w:firstLine="440" w:firstLineChars="200"/>
        <w:rPr>
          <w:rFonts w:hint="eastAsia"/>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26DAD131">
      <w:pPr>
        <w:spacing w:line="480" w:lineRule="exact"/>
        <w:rPr>
          <w:b/>
          <w:sz w:val="32"/>
          <w:szCs w:val="32"/>
        </w:rPr>
      </w:pPr>
    </w:p>
    <w:p w14:paraId="1ECF1845">
      <w:pPr>
        <w:spacing w:line="480" w:lineRule="exact"/>
        <w:rPr>
          <w:b/>
          <w:sz w:val="32"/>
          <w:szCs w:val="32"/>
        </w:rPr>
      </w:pPr>
    </w:p>
    <w:p w14:paraId="50977059">
      <w:pPr>
        <w:spacing w:line="480" w:lineRule="exact"/>
        <w:rPr>
          <w:b/>
          <w:sz w:val="32"/>
          <w:szCs w:val="32"/>
        </w:rPr>
      </w:pPr>
    </w:p>
    <w:p w14:paraId="16970091">
      <w:pPr>
        <w:spacing w:line="480" w:lineRule="exact"/>
        <w:rPr>
          <w:b/>
          <w:sz w:val="32"/>
          <w:szCs w:val="32"/>
        </w:rPr>
      </w:pPr>
    </w:p>
    <w:p w14:paraId="1B93E103">
      <w:pPr>
        <w:spacing w:line="480" w:lineRule="exact"/>
        <w:rPr>
          <w:b/>
          <w:sz w:val="32"/>
          <w:szCs w:val="32"/>
        </w:rPr>
      </w:pPr>
    </w:p>
    <w:p w14:paraId="475E8F9D">
      <w:pPr>
        <w:spacing w:line="480" w:lineRule="exact"/>
        <w:rPr>
          <w:b/>
          <w:sz w:val="32"/>
          <w:szCs w:val="32"/>
        </w:rPr>
      </w:pPr>
    </w:p>
    <w:p w14:paraId="163EFB90">
      <w:pPr>
        <w:spacing w:line="480" w:lineRule="exact"/>
        <w:rPr>
          <w:b/>
          <w:sz w:val="32"/>
          <w:szCs w:val="32"/>
        </w:rPr>
      </w:pPr>
    </w:p>
    <w:p w14:paraId="57DE4584">
      <w:pPr>
        <w:spacing w:line="480" w:lineRule="exact"/>
        <w:rPr>
          <w:b/>
          <w:sz w:val="32"/>
          <w:szCs w:val="32"/>
        </w:rPr>
      </w:pPr>
    </w:p>
    <w:p w14:paraId="01DFD134">
      <w:pPr>
        <w:spacing w:line="480" w:lineRule="exact"/>
        <w:rPr>
          <w:b/>
          <w:sz w:val="32"/>
          <w:szCs w:val="32"/>
        </w:rPr>
      </w:pPr>
    </w:p>
    <w:p w14:paraId="2C9DA651">
      <w:pPr>
        <w:spacing w:line="480" w:lineRule="exact"/>
        <w:rPr>
          <w:b/>
          <w:sz w:val="32"/>
          <w:szCs w:val="32"/>
        </w:rPr>
      </w:pPr>
    </w:p>
    <w:p w14:paraId="5C969EE3">
      <w:pPr>
        <w:spacing w:line="480" w:lineRule="exact"/>
        <w:rPr>
          <w:b/>
          <w:sz w:val="32"/>
          <w:szCs w:val="32"/>
        </w:rPr>
      </w:pPr>
    </w:p>
    <w:p w14:paraId="69AEC534">
      <w:pPr>
        <w:spacing w:line="480" w:lineRule="exact"/>
        <w:rPr>
          <w:b/>
          <w:sz w:val="32"/>
          <w:szCs w:val="32"/>
        </w:rPr>
      </w:pPr>
    </w:p>
    <w:p w14:paraId="4EE54CEC">
      <w:pPr>
        <w:spacing w:line="480" w:lineRule="exact"/>
        <w:rPr>
          <w:b/>
          <w:sz w:val="32"/>
          <w:szCs w:val="32"/>
        </w:rPr>
      </w:pPr>
    </w:p>
    <w:p w14:paraId="13D4909B">
      <w:pPr>
        <w:spacing w:line="480" w:lineRule="exact"/>
        <w:rPr>
          <w:b/>
          <w:sz w:val="32"/>
          <w:szCs w:val="32"/>
        </w:rPr>
      </w:pPr>
    </w:p>
    <w:p w14:paraId="5C4719D4">
      <w:pPr>
        <w:spacing w:line="480" w:lineRule="exact"/>
        <w:rPr>
          <w:b/>
          <w:sz w:val="32"/>
          <w:szCs w:val="32"/>
        </w:rPr>
      </w:pPr>
    </w:p>
    <w:p w14:paraId="51F7D19A">
      <w:pPr>
        <w:spacing w:line="480" w:lineRule="exact"/>
        <w:rPr>
          <w:b/>
          <w:sz w:val="32"/>
          <w:szCs w:val="32"/>
        </w:rPr>
      </w:pPr>
    </w:p>
    <w:p w14:paraId="4F99F4C1">
      <w:pPr>
        <w:spacing w:line="480" w:lineRule="exact"/>
        <w:rPr>
          <w:b/>
          <w:sz w:val="32"/>
          <w:szCs w:val="32"/>
        </w:rPr>
      </w:pPr>
    </w:p>
    <w:p w14:paraId="0CFD7585">
      <w:pPr>
        <w:spacing w:line="480" w:lineRule="exact"/>
        <w:rPr>
          <w:b/>
          <w:sz w:val="32"/>
          <w:szCs w:val="32"/>
        </w:rPr>
      </w:pPr>
    </w:p>
    <w:p w14:paraId="50B92A68">
      <w:pPr>
        <w:spacing w:line="480" w:lineRule="exact"/>
        <w:rPr>
          <w:rFonts w:hint="eastAsia"/>
          <w:b/>
          <w:sz w:val="32"/>
          <w:szCs w:val="32"/>
        </w:rPr>
      </w:pPr>
    </w:p>
    <w:p w14:paraId="1A792B8D">
      <w:pPr>
        <w:spacing w:line="480" w:lineRule="exact"/>
        <w:rPr>
          <w:rFonts w:hint="eastAsia"/>
          <w:b/>
          <w:sz w:val="32"/>
          <w:szCs w:val="32"/>
        </w:rPr>
      </w:pPr>
      <w:r>
        <w:rPr>
          <w:b/>
          <w:sz w:val="32"/>
          <w:szCs w:val="32"/>
        </w:rPr>
        <w:br w:type="page"/>
      </w:r>
    </w:p>
    <w:p w14:paraId="6E48C288">
      <w:pPr>
        <w:spacing w:line="480" w:lineRule="exact"/>
        <w:ind w:left="-50" w:firstLine="640" w:firstLineChars="200"/>
        <w:jc w:val="center"/>
        <w:rPr>
          <w:b/>
          <w:sz w:val="32"/>
          <w:szCs w:val="32"/>
        </w:rPr>
      </w:pPr>
      <w:r>
        <w:rPr>
          <w:rFonts w:hint="eastAsia"/>
          <w:b/>
          <w:sz w:val="32"/>
          <w:szCs w:val="32"/>
        </w:rPr>
        <w:t>授权委托书</w:t>
      </w:r>
    </w:p>
    <w:p w14:paraId="1767F527">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0ECC674B">
      <w:pPr>
        <w:spacing w:line="480" w:lineRule="exact"/>
        <w:ind w:left="-50" w:firstLine="720" w:firstLineChars="300"/>
        <w:rPr>
          <w:sz w:val="24"/>
          <w:szCs w:val="22"/>
        </w:rPr>
      </w:pPr>
      <w:r>
        <w:rPr>
          <w:rFonts w:hint="eastAsia"/>
          <w:sz w:val="24"/>
          <w:szCs w:val="22"/>
        </w:rPr>
        <w:t xml:space="preserve">                            </w:t>
      </w:r>
    </w:p>
    <w:p w14:paraId="6F650A10">
      <w:pPr>
        <w:spacing w:line="480" w:lineRule="exact"/>
        <w:ind w:left="-50" w:firstLine="4080" w:firstLineChars="1700"/>
        <w:rPr>
          <w:sz w:val="24"/>
          <w:szCs w:val="22"/>
        </w:rPr>
      </w:pPr>
      <w:r>
        <w:rPr>
          <w:rFonts w:hint="eastAsia"/>
          <w:sz w:val="24"/>
          <w:szCs w:val="22"/>
        </w:rPr>
        <w:t xml:space="preserve">  </w:t>
      </w:r>
    </w:p>
    <w:p w14:paraId="1D37AEC8">
      <w:pPr>
        <w:spacing w:line="480" w:lineRule="exact"/>
        <w:ind w:left="-50" w:firstLine="4080" w:firstLineChars="1700"/>
        <w:rPr>
          <w:sz w:val="24"/>
          <w:szCs w:val="22"/>
        </w:rPr>
      </w:pPr>
    </w:p>
    <w:p w14:paraId="42203D82">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7B8823BC">
      <w:pPr>
        <w:spacing w:line="480" w:lineRule="exact"/>
        <w:ind w:left="-50" w:firstLine="720" w:firstLineChars="300"/>
        <w:rPr>
          <w:sz w:val="24"/>
          <w:szCs w:val="22"/>
        </w:rPr>
      </w:pPr>
      <w:r>
        <w:rPr>
          <w:sz w:val="24"/>
          <w:szCs w:val="22"/>
        </w:rPr>
        <w:t xml:space="preserve">                               </w:t>
      </w:r>
    </w:p>
    <w:p w14:paraId="30A4523B">
      <w:pPr>
        <w:spacing w:line="480" w:lineRule="exact"/>
        <w:ind w:left="-50" w:firstLine="4320" w:firstLineChars="1800"/>
        <w:rPr>
          <w:rFonts w:hint="eastAsia"/>
          <w:sz w:val="24"/>
          <w:szCs w:val="22"/>
          <w:u w:val="single"/>
        </w:rPr>
      </w:pPr>
      <w:r>
        <w:rPr>
          <w:rFonts w:hint="eastAsia"/>
          <w:sz w:val="24"/>
          <w:szCs w:val="22"/>
        </w:rPr>
        <w:t>法定代表人（签章）：</w:t>
      </w:r>
      <w:r>
        <w:rPr>
          <w:rFonts w:hint="eastAsia"/>
          <w:sz w:val="24"/>
          <w:szCs w:val="22"/>
          <w:u w:val="single"/>
        </w:rPr>
        <w:t xml:space="preserve">                         </w:t>
      </w:r>
    </w:p>
    <w:p w14:paraId="5550E433">
      <w:pPr>
        <w:spacing w:line="480" w:lineRule="exact"/>
        <w:ind w:left="-50" w:firstLine="480" w:firstLineChars="200"/>
        <w:rPr>
          <w:sz w:val="24"/>
          <w:szCs w:val="22"/>
        </w:rPr>
      </w:pPr>
      <w:r>
        <w:rPr>
          <w:rFonts w:hint="eastAsia"/>
          <w:sz w:val="24"/>
          <w:szCs w:val="22"/>
        </w:rPr>
        <w:t xml:space="preserve">                                </w:t>
      </w:r>
    </w:p>
    <w:p w14:paraId="1D18B15A">
      <w:pPr>
        <w:spacing w:line="480" w:lineRule="exact"/>
        <w:ind w:left="-50" w:firstLine="4320" w:firstLineChars="1800"/>
        <w:rPr>
          <w:rFonts w:hint="eastAsia"/>
          <w:sz w:val="24"/>
          <w:szCs w:val="22"/>
          <w:u w:val="single"/>
        </w:rPr>
      </w:pPr>
      <w:r>
        <w:rPr>
          <w:rFonts w:hint="eastAsia"/>
          <w:sz w:val="24"/>
          <w:szCs w:val="22"/>
        </w:rPr>
        <w:t>身份证号码：</w:t>
      </w:r>
      <w:r>
        <w:rPr>
          <w:rFonts w:hint="eastAsia"/>
          <w:sz w:val="24"/>
          <w:szCs w:val="22"/>
          <w:u w:val="single"/>
        </w:rPr>
        <w:t xml:space="preserve">                               </w:t>
      </w:r>
    </w:p>
    <w:p w14:paraId="4AE40D74">
      <w:pPr>
        <w:spacing w:line="480" w:lineRule="exact"/>
        <w:ind w:left="-50" w:firstLine="480" w:firstLineChars="200"/>
        <w:rPr>
          <w:sz w:val="24"/>
          <w:szCs w:val="22"/>
        </w:rPr>
      </w:pPr>
      <w:r>
        <w:rPr>
          <w:sz w:val="24"/>
          <w:szCs w:val="22"/>
        </w:rPr>
        <w:t xml:space="preserve">                                </w:t>
      </w:r>
    </w:p>
    <w:p w14:paraId="797D2810">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5B97C548">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347A86A9">
      <w:pPr>
        <w:spacing w:line="480" w:lineRule="exact"/>
        <w:ind w:left="-50" w:firstLine="4320" w:firstLineChars="1800"/>
        <w:rPr>
          <w:rFonts w:hint="eastAsia"/>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126FDD94">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5A9B6D84">
      <w:pPr>
        <w:autoSpaceDE w:val="0"/>
        <w:autoSpaceDN w:val="0"/>
        <w:adjustRightInd w:val="0"/>
        <w:spacing w:line="233" w:lineRule="exact"/>
        <w:rPr>
          <w:sz w:val="22"/>
          <w:szCs w:val="22"/>
        </w:rPr>
      </w:pPr>
    </w:p>
    <w:p w14:paraId="1F592961">
      <w:pPr>
        <w:spacing w:line="480" w:lineRule="exact"/>
        <w:ind w:left="-50" w:firstLine="480" w:firstLineChars="200"/>
        <w:rPr>
          <w:sz w:val="24"/>
          <w:szCs w:val="22"/>
        </w:rPr>
      </w:pPr>
    </w:p>
    <w:p w14:paraId="40F452A4">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372FB91A">
      <w:pPr>
        <w:autoSpaceDE w:val="0"/>
        <w:autoSpaceDN w:val="0"/>
        <w:adjustRightInd w:val="0"/>
        <w:spacing w:line="233" w:lineRule="exact"/>
        <w:rPr>
          <w:sz w:val="22"/>
          <w:szCs w:val="22"/>
        </w:rPr>
      </w:pPr>
    </w:p>
    <w:p w14:paraId="52DB88E7">
      <w:pPr>
        <w:autoSpaceDE w:val="0"/>
        <w:autoSpaceDN w:val="0"/>
        <w:adjustRightInd w:val="0"/>
        <w:spacing w:line="233" w:lineRule="exact"/>
        <w:rPr>
          <w:sz w:val="22"/>
          <w:szCs w:val="22"/>
        </w:rPr>
      </w:pPr>
    </w:p>
    <w:p w14:paraId="79DE9A7B">
      <w:pPr>
        <w:autoSpaceDE w:val="0"/>
        <w:autoSpaceDN w:val="0"/>
        <w:adjustRightInd w:val="0"/>
        <w:spacing w:line="233" w:lineRule="exact"/>
        <w:rPr>
          <w:sz w:val="22"/>
          <w:szCs w:val="22"/>
        </w:rPr>
      </w:pPr>
    </w:p>
    <w:p w14:paraId="67186A8B">
      <w:pPr>
        <w:autoSpaceDE w:val="0"/>
        <w:autoSpaceDN w:val="0"/>
        <w:adjustRightInd w:val="0"/>
        <w:spacing w:line="233" w:lineRule="exact"/>
        <w:rPr>
          <w:sz w:val="22"/>
          <w:szCs w:val="22"/>
        </w:rPr>
      </w:pPr>
    </w:p>
    <w:p w14:paraId="39796044">
      <w:pPr>
        <w:autoSpaceDE w:val="0"/>
        <w:autoSpaceDN w:val="0"/>
        <w:adjustRightInd w:val="0"/>
        <w:spacing w:line="233" w:lineRule="exact"/>
        <w:rPr>
          <w:sz w:val="22"/>
          <w:szCs w:val="22"/>
        </w:rPr>
      </w:pPr>
    </w:p>
    <w:p w14:paraId="4957D062">
      <w:pPr>
        <w:autoSpaceDE w:val="0"/>
        <w:autoSpaceDN w:val="0"/>
        <w:adjustRightInd w:val="0"/>
        <w:spacing w:line="233" w:lineRule="exact"/>
        <w:rPr>
          <w:sz w:val="22"/>
          <w:szCs w:val="22"/>
        </w:rPr>
      </w:pPr>
    </w:p>
    <w:p w14:paraId="5295C741">
      <w:pPr>
        <w:autoSpaceDE w:val="0"/>
        <w:autoSpaceDN w:val="0"/>
        <w:adjustRightInd w:val="0"/>
        <w:spacing w:line="233" w:lineRule="exact"/>
        <w:rPr>
          <w:sz w:val="22"/>
          <w:szCs w:val="22"/>
        </w:rPr>
      </w:pPr>
    </w:p>
    <w:p w14:paraId="070A3637">
      <w:pPr>
        <w:autoSpaceDE w:val="0"/>
        <w:autoSpaceDN w:val="0"/>
        <w:adjustRightInd w:val="0"/>
        <w:spacing w:line="233" w:lineRule="exact"/>
        <w:rPr>
          <w:sz w:val="22"/>
          <w:szCs w:val="22"/>
        </w:rPr>
      </w:pPr>
    </w:p>
    <w:p w14:paraId="19D103D9">
      <w:pPr>
        <w:autoSpaceDE w:val="0"/>
        <w:autoSpaceDN w:val="0"/>
        <w:adjustRightInd w:val="0"/>
        <w:spacing w:line="233" w:lineRule="exact"/>
        <w:rPr>
          <w:sz w:val="22"/>
          <w:szCs w:val="22"/>
        </w:rPr>
      </w:pPr>
    </w:p>
    <w:p w14:paraId="498EC948">
      <w:pPr>
        <w:autoSpaceDE w:val="0"/>
        <w:autoSpaceDN w:val="0"/>
        <w:adjustRightInd w:val="0"/>
        <w:spacing w:line="233" w:lineRule="exact"/>
        <w:rPr>
          <w:rFonts w:hint="eastAsia"/>
          <w:sz w:val="22"/>
          <w:szCs w:val="22"/>
        </w:rPr>
      </w:pPr>
      <w:r>
        <w:rPr>
          <w:sz w:val="22"/>
          <w:szCs w:val="22"/>
        </w:rPr>
        <w:br w:type="page"/>
      </w:r>
    </w:p>
    <w:p w14:paraId="41119E3F">
      <w:pPr>
        <w:tabs>
          <w:tab w:val="left" w:pos="2065"/>
          <w:tab w:val="left" w:pos="4770"/>
        </w:tabs>
        <w:spacing w:line="480" w:lineRule="auto"/>
        <w:rPr>
          <w:sz w:val="22"/>
          <w:szCs w:val="22"/>
        </w:rPr>
      </w:pPr>
      <w:r>
        <w:rPr>
          <w:rFonts w:hint="eastAsia"/>
          <w:sz w:val="22"/>
          <w:szCs w:val="22"/>
        </w:rPr>
        <w:t>附件：</w:t>
      </w:r>
    </w:p>
    <w:p w14:paraId="211B4788">
      <w:pPr>
        <w:jc w:val="center"/>
        <w:rPr>
          <w:rFonts w:hint="eastAsia" w:ascii="黑体" w:hAnsi="黑体" w:eastAsia="黑体"/>
          <w:b/>
          <w:szCs w:val="21"/>
        </w:rPr>
      </w:pPr>
      <w:r>
        <w:rPr>
          <w:rFonts w:hint="eastAsia" w:ascii="等线" w:hAnsi="等线" w:eastAsia="等线" w:cs="宋体"/>
          <w:b/>
          <w:kern w:val="0"/>
          <w:szCs w:val="21"/>
        </w:rPr>
        <w:t>安全违约考核标准</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1224B1C7">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C099C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BB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扣罚金额</w:t>
            </w:r>
          </w:p>
        </w:tc>
      </w:tr>
      <w:tr w14:paraId="7B32A9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65A1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6B67022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0468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一、保证措施</w:t>
            </w:r>
          </w:p>
        </w:tc>
      </w:tr>
      <w:tr w14:paraId="4935CD4B">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BCD2B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52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8F13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31E6F40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D036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15399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EE23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7E4EC4FD">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53E5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68AFC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9152A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0F99663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C9D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4A97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150F1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69C7BB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EEFE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8A83D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08DA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79652D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FA926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7CFD3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63428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641183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EC61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C12C6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D536D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3CB782F">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7EEB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6B12B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9CFEF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9D6B9A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7AEF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7A1A0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56CA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A6897AF">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C38C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0CEDF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166E8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E143D46">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5BF00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E6A0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EDE9E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4C25165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D605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二、个人违章</w:t>
            </w:r>
          </w:p>
        </w:tc>
      </w:tr>
      <w:tr w14:paraId="1A8C0572">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1A5E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F7B0A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7668F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w:t>
            </w:r>
          </w:p>
        </w:tc>
      </w:tr>
      <w:tr w14:paraId="0A05F4B7">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9B3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5872F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10F01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7E563F1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C1E9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FDBA4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7C46D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3D8053D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75CF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97B24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7265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0BAC263F">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C7FE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D70695">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45B901">
            <w:pPr>
              <w:keepNext w:val="0"/>
              <w:keepLines w:val="0"/>
              <w:widowControl/>
              <w:suppressLineNumbers w:val="0"/>
              <w:spacing w:before="0" w:beforeAutospacing="0" w:after="0" w:afterAutospacing="0"/>
              <w:ind w:left="0" w:right="0"/>
              <w:jc w:val="left"/>
              <w:textAlignment w:val="center"/>
              <w:rPr>
                <w:rFonts w:hint="eastAsia" w:eastAsia="等线"/>
                <w:szCs w:val="21"/>
              </w:rPr>
            </w:pPr>
            <w:r>
              <w:rPr>
                <w:rFonts w:hint="default" w:eastAsia="等线"/>
                <w:kern w:val="0"/>
                <w:szCs w:val="21"/>
                <w:lang w:bidi="ar"/>
              </w:rPr>
              <w:t>100~500</w:t>
            </w:r>
          </w:p>
        </w:tc>
      </w:tr>
      <w:tr w14:paraId="0E38ED8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0EEB91">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36B23EB2">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BB53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2D55F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1FE76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8D01045">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BD6F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9577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D7BF3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4D44F9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FCF5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EDA30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F17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2DE4107">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32E7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A0470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04E5F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33FE47D6">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005B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B0EFF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34F95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DFE5B4F">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7E9B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51B8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5A30C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1376B6D">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EECB2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648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ACA1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724D0B0">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C826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48E29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3389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0B168447">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B5EB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7DF97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C2E31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0856B43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95DD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31C1B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16B26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5910E2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848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57617AC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01B3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63144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4407F61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DCB4F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088DB97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2A43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7775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F6620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33BC016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7D14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FCA92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8565C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65E26AE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CBFD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1B04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80D83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42B4C25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CF25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3797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9CED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E6F1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D09E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83661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0A0F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FE653C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1107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0E50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414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5B1D6EF2">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67A0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五、环保管理</w:t>
            </w:r>
          </w:p>
        </w:tc>
      </w:tr>
      <w:tr w14:paraId="44CD05AA">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E83E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5D093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1D892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88EC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51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08DA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38624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A1A31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EC17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六、事故管理</w:t>
            </w:r>
          </w:p>
        </w:tc>
      </w:tr>
      <w:tr w14:paraId="52102B6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A268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67ED3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1CD90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69537DF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65C5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4E4EA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7305A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5B6718E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290B4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3895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ABCC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499F767">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465A3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97780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AC7D4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3000~1万</w:t>
            </w:r>
          </w:p>
        </w:tc>
      </w:tr>
      <w:tr w14:paraId="124D497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7C7D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7B2FB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18C8A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5000~2万</w:t>
            </w:r>
          </w:p>
        </w:tc>
      </w:tr>
      <w:tr w14:paraId="165DB6A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3811E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E2ABB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hint="default"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30725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2万~5万，赔偿额另计</w:t>
            </w:r>
          </w:p>
        </w:tc>
      </w:tr>
      <w:tr w14:paraId="77F85CD0">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1920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AD6C1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ECD17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446014D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317C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B2D73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DEE4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96E536D">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0ACA4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D87C98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006F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3000~6000</w:t>
            </w:r>
          </w:p>
        </w:tc>
      </w:tr>
      <w:tr w14:paraId="7446D73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4D5A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24789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54D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57DF18CE">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F2BD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7BBCEBDD">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33965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p>
          <w:p w14:paraId="1426A17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p>
        </w:tc>
      </w:tr>
    </w:tbl>
    <w:p w14:paraId="2AF608EF">
      <w:pPr>
        <w:tabs>
          <w:tab w:val="left" w:pos="2065"/>
          <w:tab w:val="left" w:pos="4770"/>
        </w:tabs>
        <w:spacing w:line="480" w:lineRule="auto"/>
        <w:rPr>
          <w:sz w:val="22"/>
          <w:szCs w:val="22"/>
        </w:rPr>
      </w:pPr>
    </w:p>
    <w:p w14:paraId="6E86DD82">
      <w:pPr>
        <w:tabs>
          <w:tab w:val="left" w:pos="2065"/>
          <w:tab w:val="left" w:pos="4770"/>
        </w:tabs>
        <w:spacing w:line="480" w:lineRule="auto"/>
        <w:rPr>
          <w:rFonts w:hint="eastAsia"/>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624E9F9D">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AC27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9FFFAA5">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3F9D1DA">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6322CFF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D1AAF1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1F2CF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FBBE9C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215A7E4F">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2AD27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684313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315640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3B0A529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69B59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0AD063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2E207D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5A6D404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EC418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38D102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B012C3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ACDD02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4B5AB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AB76F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25C623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6C27AFEA">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95BBBC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BEE68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75279B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AB8215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26A7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CE90C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2A99EF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0156011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E6243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D72533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C881D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139FE22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436D01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C5C560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B7C86D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11367C9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3CF9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C01D70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8BEBA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BB4677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D748C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7F42F4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D581AD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2FF93D4C">
      <w:pPr>
        <w:tabs>
          <w:tab w:val="left" w:pos="2065"/>
          <w:tab w:val="left" w:pos="4770"/>
        </w:tabs>
        <w:spacing w:line="480" w:lineRule="auto"/>
        <w:rPr>
          <w:rFonts w:hint="eastAsia"/>
          <w:sz w:val="22"/>
          <w:szCs w:val="22"/>
        </w:rPr>
      </w:pPr>
    </w:p>
    <w:tbl>
      <w:tblPr>
        <w:tblStyle w:val="20"/>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11B20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5F774D86">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类别</w:t>
            </w:r>
          </w:p>
        </w:tc>
        <w:tc>
          <w:tcPr>
            <w:tcW w:w="2749" w:type="dxa"/>
            <w:noWrap w:val="0"/>
            <w:vAlign w:val="top"/>
          </w:tcPr>
          <w:p w14:paraId="0FD6FF5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条件</w:t>
            </w:r>
          </w:p>
        </w:tc>
        <w:tc>
          <w:tcPr>
            <w:tcW w:w="4111" w:type="dxa"/>
            <w:noWrap w:val="0"/>
            <w:vAlign w:val="top"/>
          </w:tcPr>
          <w:p w14:paraId="541883F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内容</w:t>
            </w:r>
          </w:p>
        </w:tc>
        <w:tc>
          <w:tcPr>
            <w:tcW w:w="1451" w:type="dxa"/>
            <w:noWrap w:val="0"/>
            <w:vAlign w:val="top"/>
          </w:tcPr>
          <w:p w14:paraId="60847F0F">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奖励</w:t>
            </w:r>
          </w:p>
        </w:tc>
      </w:tr>
      <w:tr w14:paraId="412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6E352FE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运行维护单位</w:t>
            </w:r>
          </w:p>
        </w:tc>
        <w:tc>
          <w:tcPr>
            <w:tcW w:w="2749" w:type="dxa"/>
            <w:noWrap w:val="0"/>
            <w:vAlign w:val="top"/>
          </w:tcPr>
          <w:p w14:paraId="33A8118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累计无事故工时≧10万小时</w:t>
            </w:r>
          </w:p>
        </w:tc>
        <w:tc>
          <w:tcPr>
            <w:tcW w:w="4111" w:type="dxa"/>
            <w:noWrap w:val="0"/>
            <w:vAlign w:val="top"/>
          </w:tcPr>
          <w:p w14:paraId="2CBB30D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56588484">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5000元</w:t>
            </w:r>
          </w:p>
        </w:tc>
      </w:tr>
      <w:tr w14:paraId="29CD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1835D72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检维修单位</w:t>
            </w:r>
          </w:p>
        </w:tc>
        <w:tc>
          <w:tcPr>
            <w:tcW w:w="2749" w:type="dxa"/>
            <w:noWrap w:val="0"/>
            <w:vAlign w:val="top"/>
          </w:tcPr>
          <w:p w14:paraId="775D8D4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累计建安费≧1000万元</w:t>
            </w:r>
          </w:p>
        </w:tc>
        <w:tc>
          <w:tcPr>
            <w:tcW w:w="4111" w:type="dxa"/>
            <w:noWrap w:val="0"/>
            <w:vAlign w:val="top"/>
          </w:tcPr>
          <w:p w14:paraId="362D3CE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6331555A">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4445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noWrap w:val="0"/>
            <w:vAlign w:val="center"/>
          </w:tcPr>
          <w:p w14:paraId="27B402D1">
            <w:pPr>
              <w:keepNext w:val="0"/>
              <w:keepLines w:val="0"/>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工程项目土建、安装单位</w:t>
            </w:r>
          </w:p>
        </w:tc>
        <w:tc>
          <w:tcPr>
            <w:tcW w:w="2749" w:type="dxa"/>
            <w:noWrap w:val="0"/>
            <w:vAlign w:val="top"/>
          </w:tcPr>
          <w:p w14:paraId="46D4F76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200万元≦建安费用Y≦</w:t>
            </w: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000万元</w:t>
            </w:r>
          </w:p>
        </w:tc>
        <w:tc>
          <w:tcPr>
            <w:tcW w:w="4111" w:type="dxa"/>
            <w:noWrap w:val="0"/>
            <w:vAlign w:val="top"/>
          </w:tcPr>
          <w:p w14:paraId="5D36B12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5143C80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59E36077">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2650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center"/>
          </w:tcPr>
          <w:p w14:paraId="408C46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2B12744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0万元≦建安费用Y≦3000万元</w:t>
            </w:r>
          </w:p>
        </w:tc>
        <w:tc>
          <w:tcPr>
            <w:tcW w:w="4111" w:type="dxa"/>
            <w:noWrap w:val="0"/>
            <w:vAlign w:val="top"/>
          </w:tcPr>
          <w:p w14:paraId="6DAEE9F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7C4CFF8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67F8E3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5万元</w:t>
            </w:r>
          </w:p>
        </w:tc>
      </w:tr>
      <w:tr w14:paraId="561E8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noWrap w:val="0"/>
            <w:vAlign w:val="top"/>
          </w:tcPr>
          <w:p w14:paraId="08EA6C3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326980F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3000万元≦建安费用Y≦1亿元</w:t>
            </w:r>
          </w:p>
        </w:tc>
        <w:tc>
          <w:tcPr>
            <w:tcW w:w="4111" w:type="dxa"/>
            <w:noWrap w:val="0"/>
            <w:vAlign w:val="top"/>
          </w:tcPr>
          <w:p w14:paraId="780DFC41">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微伤送医事故≦1起，火灾、环保、轻微伤及以上事故为零</w:t>
            </w:r>
          </w:p>
          <w:p w14:paraId="7577C86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4A86375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10万元</w:t>
            </w:r>
          </w:p>
        </w:tc>
      </w:tr>
      <w:tr w14:paraId="4FF5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top"/>
          </w:tcPr>
          <w:p w14:paraId="0E9A943F">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74CF3AB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亿元≦建安费用Y≦</w:t>
            </w: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亿元</w:t>
            </w:r>
          </w:p>
        </w:tc>
        <w:tc>
          <w:tcPr>
            <w:tcW w:w="4111" w:type="dxa"/>
            <w:noWrap w:val="0"/>
            <w:vAlign w:val="top"/>
          </w:tcPr>
          <w:p w14:paraId="1854BB9F">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w:t>
            </w: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起，火灾、环保、轻微伤及以上事故为零</w:t>
            </w:r>
          </w:p>
          <w:p w14:paraId="2ABF0CA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7E850DD6">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0万元</w:t>
            </w:r>
          </w:p>
        </w:tc>
      </w:tr>
    </w:tbl>
    <w:p w14:paraId="23B567D3">
      <w:pPr>
        <w:tabs>
          <w:tab w:val="left" w:pos="2065"/>
          <w:tab w:val="left" w:pos="4770"/>
        </w:tabs>
        <w:spacing w:line="480" w:lineRule="auto"/>
        <w:rPr>
          <w:rFonts w:hint="eastAsia"/>
          <w:sz w:val="22"/>
          <w:szCs w:val="22"/>
        </w:rPr>
      </w:pPr>
    </w:p>
    <w:p w14:paraId="7F5E4CD1">
      <w:pPr>
        <w:rPr>
          <w:rFonts w:hint="eastAsia"/>
          <w:szCs w:val="22"/>
        </w:rPr>
      </w:pPr>
    </w:p>
    <w:p w14:paraId="73CA45E6">
      <w:pPr>
        <w:keepNext/>
        <w:pageBreakBefore/>
        <w:widowControl/>
        <w:shd w:val="clear" w:color="FFFFFF" w:fill="FFFFFF"/>
        <w:spacing w:before="640" w:after="560" w:line="460" w:lineRule="exact"/>
        <w:ind w:left="3600" w:hanging="3600" w:hangingChars="1200"/>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附件4：</w:t>
      </w:r>
      <w:r>
        <w:rPr>
          <w:rFonts w:ascii="黑体" w:hAnsi="Times New Roman" w:eastAsia="黑体" w:cs="Times New Roman"/>
          <w:kern w:val="0"/>
          <w:sz w:val="32"/>
          <w:szCs w:val="20"/>
          <w:lang w:val="en-US" w:eastAsia="zh-CN" w:bidi="ar-SA"/>
        </w:rPr>
        <w:br w:type="textWrapping"/>
      </w:r>
      <w:r>
        <w:rPr>
          <w:rFonts w:hint="eastAsia" w:ascii="黑体" w:hAnsi="Times New Roman" w:eastAsia="黑体" w:cs="Times New Roman"/>
          <w:kern w:val="0"/>
          <w:sz w:val="32"/>
          <w:szCs w:val="20"/>
          <w:lang w:val="en-US" w:eastAsia="zh-CN" w:bidi="ar-SA"/>
        </w:rPr>
        <w:t>工程经济资料管理办法</w:t>
      </w:r>
    </w:p>
    <w:p w14:paraId="0FF6E9E5">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目的</w:t>
      </w:r>
    </w:p>
    <w:p w14:paraId="6EA1DE36">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t>为了规范工程项目中经济资料办理的程序和流程，确保经济资料的真实性、准确性、完整性、时效性，明确相关人员的责任和义务</w:t>
      </w:r>
      <w:r>
        <w:rPr>
          <w:rFonts w:hint="eastAsia" w:ascii="宋体" w:hAnsi="Times New Roman" w:eastAsia="宋体" w:cs="Times New Roman"/>
          <w:sz w:val="21"/>
          <w:lang w:val="en-US" w:eastAsia="zh-CN" w:bidi="ar-SA"/>
        </w:rPr>
        <w:t>。</w:t>
      </w:r>
    </w:p>
    <w:p w14:paraId="680D8CE3">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范围</w:t>
      </w:r>
    </w:p>
    <w:p w14:paraId="5411853A">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本标准规定了工程建设过程中经济签证、技术联系的管理要求。</w:t>
      </w:r>
    </w:p>
    <w:p w14:paraId="6D025570">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本办法适用于国际复材、重庆庹展新材料科技有限公司、重庆天泽新材料有限公司的制度管理工作，其他分公司、全资子公司、控股子公司及相关单位的新建、扩建、改建、维修</w:t>
      </w:r>
      <w:r>
        <w:rPr>
          <w:rFonts w:hint="eastAsia" w:ascii="宋体" w:hAnsi="Times New Roman" w:eastAsia="宋体" w:cs="宋体"/>
          <w:sz w:val="21"/>
          <w:lang w:val="en-US" w:eastAsia="zh-CN" w:bidi="ar-SA"/>
        </w:rPr>
        <w:t>工程中发生的经济签证管理。</w:t>
      </w:r>
    </w:p>
    <w:p w14:paraId="0350BFE0">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规范性引用文件</w:t>
      </w:r>
    </w:p>
    <w:p w14:paraId="3A7FD17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下列文件对于本文件的应用是必不可少的。凡是注日期的引用文件，仅所注日期的版本适用于本文件。凡是不注日期的引用文件，其最新版本（包括所有的修改单）适用于本文件。</w:t>
      </w:r>
    </w:p>
    <w:p w14:paraId="11BEEBC3">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建筑工程施工发包与承包计价管理办法</w:t>
      </w:r>
    </w:p>
    <w:p w14:paraId="401D012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建设工程价款结算暂行办法</w:t>
      </w:r>
    </w:p>
    <w:p w14:paraId="196E06B6">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重庆市建设工程造价管理规定</w:t>
      </w:r>
    </w:p>
    <w:p w14:paraId="603A22D6">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云天化集团有限责任公司招标投标管理办法</w:t>
      </w:r>
    </w:p>
    <w:p w14:paraId="0C008DDD">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经济签证单管理</w:t>
      </w:r>
    </w:p>
    <w:p w14:paraId="2198D73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原则：实事求是，办理与审查及时；谁参加谁签；一事一单，工完签完。</w:t>
      </w:r>
    </w:p>
    <w:p w14:paraId="32B0022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22169EAA">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签证事由：此栏应由应现场专业负责人负责手写，字迹应工整、清晰，须详细说明发生签证事由的原因、依据。</w:t>
      </w:r>
    </w:p>
    <w:p w14:paraId="160B73D7">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(或公司分管领导）对费用金额签署审核意见。</w:t>
      </w:r>
    </w:p>
    <w:p w14:paraId="4EBF60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7C714A2A">
      <w:pPr>
        <w:numPr>
          <w:ilvl w:val="1"/>
          <w:numId w:val="13"/>
        </w:numPr>
        <w:spacing w:before="156" w:beforeLines="50" w:after="156" w:afterLines="50"/>
        <w:ind w:left="568" w:firstLine="0"/>
        <w:outlineLvl w:val="2"/>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程序</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1</w:t>
      </w:r>
      <w:r>
        <w:rPr>
          <w:rFonts w:hint="eastAsia" w:ascii="宋体" w:hAnsi="宋体" w:eastAsia="宋体" w:cs="Times New Roman"/>
          <w:sz w:val="21"/>
          <w:szCs w:val="21"/>
          <w:lang w:val="en-US" w:eastAsia="zh-CN" w:bidi="ar-SA"/>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2、现场专业负责人收到后72小时内组织造价管理人员、施工单位人员、监理人员及其他相关人员进行现场勘验；</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3、现场专业负责人在勘验后72小时内审核完毕后移交监理人员；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4</w:t>
      </w:r>
      <w:r>
        <w:rPr>
          <w:rFonts w:hint="eastAsia" w:ascii="宋体" w:hAnsi="宋体" w:eastAsia="宋体" w:cs="Times New Roman"/>
          <w:sz w:val="21"/>
          <w:szCs w:val="21"/>
          <w:lang w:val="en-US" w:eastAsia="zh-CN" w:bidi="ar-SA"/>
        </w:rPr>
        <w:t>、监理人员在收到后72小时内审核完毕并移交造价管理人员；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5</w:t>
      </w:r>
      <w:r>
        <w:rPr>
          <w:rFonts w:hint="eastAsia" w:ascii="宋体" w:hAnsi="宋体" w:eastAsia="宋体" w:cs="Times New Roman"/>
          <w:sz w:val="21"/>
          <w:szCs w:val="21"/>
          <w:lang w:val="en-US" w:eastAsia="zh-CN" w:bidi="ar-SA"/>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6、</w:t>
      </w:r>
      <w:r>
        <w:rPr>
          <w:rFonts w:hint="eastAsia" w:ascii="宋体" w:hAnsi="宋体" w:eastAsia="宋体" w:cs="Times New Roman"/>
          <w:sz w:val="21"/>
          <w:szCs w:val="21"/>
          <w:lang w:val="en-US" w:eastAsia="zh-CN" w:bidi="ar-SA"/>
        </w:rPr>
        <w:t>现场专业负责人、造价管理人员（包含造价咨询公司审核时间）未分别在72小时内完成审核则由主管部门在对应人员当月绩效考核时减发绩效200元/人.次。</w:t>
      </w:r>
    </w:p>
    <w:p w14:paraId="2390B80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经济签证单办理流程</w:t>
      </w:r>
      <w:bookmarkStart w:id="640" w:name="OLE_LINK3"/>
      <w:bookmarkStart w:id="641" w:name="OLE_LINK2"/>
      <w:r>
        <w:rPr>
          <w:rFonts w:hint="eastAsia" w:ascii="宋体" w:hAnsi="Times New Roman" w:eastAsia="宋体" w:cs="Times New Roman"/>
          <w:sz w:val="21"/>
          <w:szCs w:val="21"/>
          <w:lang w:val="en-US" w:eastAsia="zh-CN" w:bidi="ar-SA"/>
        </w:rPr>
        <w:t>见附录C</w:t>
      </w:r>
      <w:bookmarkEnd w:id="640"/>
      <w:bookmarkEnd w:id="641"/>
    </w:p>
    <w:p w14:paraId="7F98639C">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1FEF1C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0123A27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在经济签证单中，设备、材料需要回收的，施工单位在工程结算时应出具回收单位(部门）的相关证明，否则，我公司将在工程结算中扣除应回收部分的价款。</w:t>
      </w:r>
    </w:p>
    <w:p w14:paraId="0C03BCF1">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建设单位有关人员因特殊原因不能参加的，由部门领导(或专业组负责人）安排其他人员参加，没有其他人员代为参加的，可在三天内补签。超过时限补签的应注明“补”，并签注补签日期。</w:t>
      </w:r>
    </w:p>
    <w:p w14:paraId="2417CB3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工程竣工验收前的施工内容必须在工程竣工验收前办理完毕。</w:t>
      </w:r>
    </w:p>
    <w:p w14:paraId="0D16B455">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经济签证单上必须具备建设单位的现场专业负责人员、造价管理人员、项目负责人和主管部门领导签字方为有效</w:t>
      </w:r>
      <w:r>
        <w:rPr>
          <w:rFonts w:hint="eastAsia" w:ascii="黑体" w:hAnsi="Times New Roman" w:eastAsia="黑体" w:cs="Times New Roman"/>
          <w:sz w:val="21"/>
          <w:szCs w:val="21"/>
          <w:lang w:val="en-US" w:eastAsia="zh-CN" w:bidi="ar-SA"/>
        </w:rPr>
        <w:t>。</w:t>
      </w:r>
    </w:p>
    <w:p w14:paraId="463D0CF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单份经济签证单涉及的变更金额在五万元以下（含五万元）的，须经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审核认可；单份经济签证单涉及的变更金额在五万元以上的，须经公司分管领导审核认可。</w:t>
      </w:r>
    </w:p>
    <w:p w14:paraId="59F38C5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施工单位提交的经济签证单不得有涂抹和更改，否则，一律不予受理；建设单位、监理单位的审核意见须及时反馈施工单位重新编制签证，不得以任何方式直接在签证单上进行修改。</w:t>
      </w:r>
    </w:p>
    <w:p w14:paraId="63460203">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经济签证单一式二份(原件）；</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编号：专业代码－××号；</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专业代码：土建－TJ；工艺管道－GD；设备－SB；仪表－YB；暖通—NT；电气－DQ；绝热防腐－FF；给排水－GPS；消防—XF；钢结构－GG；其它－QT；</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连续编号，不得重号、空号、跳号。对于审核后不予确认的，仍应保留该编号的签证单，结算时依据的签证单必须编号连续。</w:t>
      </w:r>
    </w:p>
    <w:p w14:paraId="6B1FBF5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69EA3017">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宋体" w:eastAsia="宋体" w:cs="Times New Roman"/>
          <w:sz w:val="21"/>
          <w:szCs w:val="21"/>
          <w:lang w:val="en-US" w:eastAsia="zh-CN" w:bidi="ar-SA"/>
        </w:rPr>
        <w:t>签证抽查：</w:t>
      </w:r>
      <w:r>
        <w:rPr>
          <w:rFonts w:ascii="黑体" w:hAnsi="Times New Roman" w:eastAsia="黑体" w:cs="Times New Roman"/>
          <w:sz w:val="21"/>
          <w:szCs w:val="21"/>
          <w:lang w:val="en-US" w:eastAsia="zh-CN" w:bidi="ar-SA"/>
        </w:rPr>
        <w:br w:type="textWrapping"/>
      </w:r>
      <w:r>
        <w:rPr>
          <w:rFonts w:hint="eastAsia" w:ascii="黑体" w:hAnsi="Times New Roman" w:eastAsia="黑体" w:cs="Times New Roman"/>
          <w:sz w:val="21"/>
          <w:szCs w:val="21"/>
          <w:lang w:val="en-US" w:eastAsia="zh-CN" w:bidi="ar-SA"/>
        </w:rPr>
        <w:t xml:space="preserve"> </w:t>
      </w:r>
      <w:r>
        <w:rPr>
          <w:rFonts w:ascii="黑体" w:hAnsi="Times New Roman" w:eastAsia="黑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7752912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签证考核：</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6526C25F">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施工组织设计、专项施工方案和特殊技术措施管理</w:t>
      </w:r>
    </w:p>
    <w:p w14:paraId="2DBA01D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书面批复意见内</w:t>
      </w:r>
      <w:r>
        <w:rPr>
          <w:rFonts w:ascii="宋体" w:hAnsi="Times New Roman" w:eastAsia="宋体" w:cs="Times New Roman"/>
          <w:sz w:val="21"/>
          <w:szCs w:val="21"/>
          <w:lang w:val="en-US" w:eastAsia="zh-CN" w:bidi="ar-SA"/>
        </w:rPr>
        <w:t>明确</w:t>
      </w:r>
      <w:r>
        <w:rPr>
          <w:rFonts w:hint="eastAsia" w:ascii="宋体" w:hAnsi="Times New Roman" w:eastAsia="宋体" w:cs="Times New Roman"/>
          <w:sz w:val="21"/>
          <w:szCs w:val="21"/>
          <w:lang w:val="en-US" w:eastAsia="zh-CN" w:bidi="ar-SA"/>
        </w:rPr>
        <w:t>而具体的</w:t>
      </w:r>
      <w:r>
        <w:rPr>
          <w:rFonts w:ascii="宋体" w:hAnsi="Times New Roman" w:eastAsia="宋体" w:cs="Times New Roman"/>
          <w:sz w:val="21"/>
          <w:szCs w:val="21"/>
          <w:lang w:val="en-US" w:eastAsia="zh-CN" w:bidi="ar-SA"/>
        </w:rPr>
        <w:t>批复内容</w:t>
      </w:r>
      <w:r>
        <w:rPr>
          <w:rFonts w:hint="eastAsia" w:ascii="宋体" w:hAnsi="Times New Roman" w:eastAsia="宋体" w:cs="Times New Roman"/>
          <w:sz w:val="21"/>
          <w:szCs w:val="21"/>
          <w:lang w:val="en-US" w:eastAsia="zh-CN" w:bidi="ar-SA"/>
        </w:rPr>
        <w:t>可</w:t>
      </w:r>
      <w:r>
        <w:rPr>
          <w:rFonts w:ascii="宋体" w:hAnsi="Times New Roman" w:eastAsia="宋体" w:cs="Times New Roman"/>
          <w:sz w:val="21"/>
          <w:szCs w:val="21"/>
          <w:lang w:val="en-US" w:eastAsia="zh-CN" w:bidi="ar-SA"/>
        </w:rPr>
        <w:t>作为工程竣工结算依据</w:t>
      </w:r>
      <w:r>
        <w:rPr>
          <w:rFonts w:hint="eastAsia" w:ascii="宋体" w:hAnsi="Times New Roman" w:eastAsia="宋体" w:cs="Times New Roman"/>
          <w:sz w:val="21"/>
          <w:szCs w:val="21"/>
          <w:lang w:val="en-US" w:eastAsia="zh-CN" w:bidi="ar-SA"/>
        </w:rPr>
        <w:t>。而</w:t>
      </w:r>
      <w:r>
        <w:rPr>
          <w:rFonts w:ascii="宋体" w:hAnsi="Times New Roman" w:eastAsia="宋体" w:cs="Times New Roman"/>
          <w:sz w:val="21"/>
          <w:szCs w:val="21"/>
          <w:lang w:val="en-US" w:eastAsia="zh-CN" w:bidi="ar-SA"/>
        </w:rPr>
        <w:t>批复</w:t>
      </w:r>
      <w:r>
        <w:rPr>
          <w:rFonts w:hint="eastAsia" w:ascii="宋体" w:hAnsi="Times New Roman" w:eastAsia="宋体" w:cs="Times New Roman"/>
          <w:sz w:val="21"/>
          <w:szCs w:val="21"/>
          <w:lang w:val="en-US" w:eastAsia="zh-CN" w:bidi="ar-SA"/>
        </w:rPr>
        <w:t>意见</w:t>
      </w:r>
      <w:r>
        <w:rPr>
          <w:rFonts w:ascii="宋体" w:hAnsi="Times New Roman" w:eastAsia="宋体" w:cs="Times New Roman"/>
          <w:sz w:val="21"/>
          <w:szCs w:val="21"/>
          <w:lang w:val="en-US" w:eastAsia="zh-CN" w:bidi="ar-SA"/>
        </w:rPr>
        <w:t>内未明确的</w:t>
      </w:r>
      <w:r>
        <w:rPr>
          <w:rFonts w:hint="eastAsia" w:ascii="宋体" w:hAnsi="Times New Roman" w:eastAsia="宋体" w:cs="Times New Roman"/>
          <w:sz w:val="21"/>
          <w:szCs w:val="21"/>
          <w:lang w:val="en-US" w:eastAsia="zh-CN" w:bidi="ar-SA"/>
        </w:rPr>
        <w:t>，或概括性描述的，或对</w:t>
      </w:r>
      <w:r>
        <w:rPr>
          <w:rFonts w:ascii="宋体" w:hAnsi="Times New Roman" w:eastAsia="宋体" w:cs="Times New Roman"/>
          <w:sz w:val="21"/>
          <w:szCs w:val="21"/>
          <w:lang w:val="en-US" w:eastAsia="zh-CN" w:bidi="ar-SA"/>
        </w:rPr>
        <w:t>明确的内容有更改的</w:t>
      </w:r>
      <w:r>
        <w:rPr>
          <w:rFonts w:hint="eastAsia" w:ascii="宋体" w:hAnsi="Times New Roman" w:eastAsia="宋体" w:cs="Times New Roman"/>
          <w:sz w:val="21"/>
          <w:szCs w:val="21"/>
          <w:lang w:val="en-US" w:eastAsia="zh-CN" w:bidi="ar-SA"/>
        </w:rPr>
        <w:t>，</w:t>
      </w:r>
      <w:r>
        <w:rPr>
          <w:rFonts w:ascii="宋体" w:hAnsi="Times New Roman" w:eastAsia="宋体" w:cs="Times New Roman"/>
          <w:sz w:val="21"/>
          <w:szCs w:val="21"/>
          <w:lang w:val="en-US" w:eastAsia="zh-CN" w:bidi="ar-SA"/>
        </w:rPr>
        <w:t>应</w:t>
      </w:r>
      <w:r>
        <w:rPr>
          <w:rFonts w:hint="eastAsia" w:ascii="宋体" w:hAnsi="Times New Roman" w:eastAsia="宋体" w:cs="Times New Roman"/>
          <w:sz w:val="21"/>
          <w:szCs w:val="21"/>
          <w:lang w:val="en-US" w:eastAsia="zh-CN" w:bidi="ar-SA"/>
        </w:rPr>
        <w:t>根据工程实际实施情况</w:t>
      </w:r>
      <w:r>
        <w:rPr>
          <w:rFonts w:ascii="宋体" w:hAnsi="Times New Roman" w:eastAsia="宋体" w:cs="Times New Roman"/>
          <w:sz w:val="21"/>
          <w:szCs w:val="21"/>
          <w:lang w:val="en-US" w:eastAsia="zh-CN" w:bidi="ar-SA"/>
        </w:rPr>
        <w:t>办理工程经济签证单后方可作为结算依据。</w:t>
      </w:r>
    </w:p>
    <w:p w14:paraId="44515BC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对于大型工程，</w:t>
      </w:r>
      <w:r>
        <w:rPr>
          <w:rFonts w:hint="eastAsia" w:ascii="宋体" w:hAnsi="Times New Roman" w:eastAsia="宋体" w:cs="Times New Roman"/>
          <w:sz w:val="21"/>
          <w:szCs w:val="21"/>
          <w:lang w:val="en-US" w:eastAsia="zh-CN" w:bidi="ar-SA"/>
        </w:rPr>
        <w:t>为便于造价管理，</w:t>
      </w:r>
      <w:r>
        <w:rPr>
          <w:rFonts w:ascii="宋体" w:hAnsi="Times New Roman" w:eastAsia="宋体" w:cs="Times New Roman"/>
          <w:sz w:val="21"/>
          <w:szCs w:val="21"/>
          <w:lang w:val="en-US" w:eastAsia="zh-CN" w:bidi="ar-SA"/>
        </w:rPr>
        <w:t>可不</w:t>
      </w:r>
      <w:r>
        <w:rPr>
          <w:rFonts w:hint="eastAsia" w:ascii="宋体" w:hAnsi="Times New Roman" w:eastAsia="宋体" w:cs="Times New Roman"/>
          <w:sz w:val="21"/>
          <w:szCs w:val="21"/>
          <w:lang w:val="en-US" w:eastAsia="zh-CN" w:bidi="ar-SA"/>
        </w:rPr>
        <w:t>以</w:t>
      </w: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w:t>
      </w:r>
      <w:r>
        <w:rPr>
          <w:rFonts w:ascii="宋体" w:hAnsi="Times New Roman" w:eastAsia="宋体" w:cs="Times New Roman"/>
          <w:sz w:val="21"/>
          <w:szCs w:val="21"/>
          <w:lang w:val="en-US" w:eastAsia="zh-CN" w:bidi="ar-SA"/>
        </w:rPr>
        <w:t>作为结算依据，而</w:t>
      </w:r>
      <w:r>
        <w:rPr>
          <w:rFonts w:hint="eastAsia" w:ascii="宋体" w:hAnsi="Times New Roman" w:eastAsia="宋体" w:cs="Times New Roman"/>
          <w:sz w:val="21"/>
          <w:szCs w:val="21"/>
          <w:lang w:val="en-US" w:eastAsia="zh-CN" w:bidi="ar-SA"/>
        </w:rPr>
        <w:t>是根据实际实施情况转化为</w:t>
      </w:r>
      <w:r>
        <w:rPr>
          <w:rFonts w:ascii="宋体" w:hAnsi="Times New Roman" w:eastAsia="宋体" w:cs="Times New Roman"/>
          <w:sz w:val="21"/>
          <w:szCs w:val="21"/>
          <w:lang w:val="en-US" w:eastAsia="zh-CN" w:bidi="ar-SA"/>
        </w:rPr>
        <w:t>经济签证单</w:t>
      </w:r>
      <w:r>
        <w:rPr>
          <w:rFonts w:hint="eastAsia" w:ascii="宋体" w:hAnsi="Times New Roman" w:eastAsia="宋体" w:cs="Times New Roman"/>
          <w:sz w:val="21"/>
          <w:szCs w:val="21"/>
          <w:lang w:val="en-US" w:eastAsia="zh-CN" w:bidi="ar-SA"/>
        </w:rPr>
        <w:t>后</w:t>
      </w:r>
      <w:r>
        <w:rPr>
          <w:rFonts w:ascii="宋体" w:hAnsi="Times New Roman" w:eastAsia="宋体" w:cs="Times New Roman"/>
          <w:sz w:val="21"/>
          <w:szCs w:val="21"/>
          <w:lang w:val="en-US" w:eastAsia="zh-CN" w:bidi="ar-SA"/>
        </w:rPr>
        <w:t>作为依据。</w:t>
      </w:r>
    </w:p>
    <w:p w14:paraId="25383A6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未实行会审和会签的施工组织设计、施工方案和特殊技术措施，</w:t>
      </w:r>
      <w:r>
        <w:rPr>
          <w:rFonts w:hint="eastAsia" w:ascii="宋体" w:hAnsi="Times New Roman" w:eastAsia="宋体" w:cs="Times New Roman"/>
          <w:sz w:val="21"/>
          <w:szCs w:val="21"/>
          <w:lang w:val="en-US" w:eastAsia="zh-CN" w:bidi="ar-SA"/>
        </w:rPr>
        <w:t>为无效的技术经济文件，</w:t>
      </w:r>
      <w:r>
        <w:rPr>
          <w:rFonts w:ascii="宋体" w:hAnsi="Times New Roman" w:eastAsia="宋体" w:cs="Times New Roman"/>
          <w:sz w:val="21"/>
          <w:szCs w:val="21"/>
          <w:lang w:val="en-US" w:eastAsia="zh-CN" w:bidi="ar-SA"/>
        </w:rPr>
        <w:t>一律不得作为工程施工和工程竣工结算的依据。</w:t>
      </w:r>
    </w:p>
    <w:p w14:paraId="71FC0921">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附则</w:t>
      </w:r>
    </w:p>
    <w:p w14:paraId="3784AB9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未按上述要求办理的，均为无效的技术经济文件。</w:t>
      </w:r>
    </w:p>
    <w:p w14:paraId="3559C9E8">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2DAD7FBE">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其他部门业务涉及需要办理经济签证单可参照本管理办法执行。</w:t>
      </w:r>
      <w:r>
        <w:rPr>
          <w:rFonts w:ascii="宋体" w:hAnsi="Times New Roman" w:eastAsia="宋体" w:cs="Times New Roman"/>
          <w:sz w:val="21"/>
          <w:szCs w:val="21"/>
          <w:lang w:val="en-US" w:eastAsia="zh-CN" w:bidi="ar-SA"/>
        </w:rPr>
        <w:br w:type="textWrapping"/>
      </w:r>
    </w:p>
    <w:p w14:paraId="687214DD">
      <w:pPr>
        <w:widowControl/>
        <w:jc w:val="left"/>
        <w:rPr>
          <w:rFonts w:ascii="宋体"/>
          <w:kern w:val="0"/>
          <w:szCs w:val="21"/>
        </w:rPr>
      </w:pPr>
      <w:r>
        <w:rPr>
          <w:szCs w:val="22"/>
        </w:rPr>
        <w:br w:type="page"/>
      </w:r>
    </w:p>
    <w:p w14:paraId="712C8BA1">
      <w:pPr>
        <w:numPr>
          <w:ilvl w:val="0"/>
          <w:numId w:val="0"/>
        </w:numPr>
        <w:spacing w:beforeLines="0" w:afterLines="0"/>
        <w:ind w:left="0"/>
        <w:jc w:val="center"/>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附录A</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（规范性附录）</w:t>
      </w:r>
    </w:p>
    <w:p w14:paraId="29566319">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234BC44A">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20"/>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608BE12E">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noWrap w:val="0"/>
            <w:vAlign w:val="center"/>
          </w:tcPr>
          <w:p w14:paraId="01D82274">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210BB8F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500582B8">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noWrap w:val="0"/>
            <w:vAlign w:val="center"/>
          </w:tcPr>
          <w:p w14:paraId="0900B6B0">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noWrap w:val="0"/>
            <w:vAlign w:val="center"/>
          </w:tcPr>
          <w:p w14:paraId="47F1ABB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85B6F9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DB5F38A">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03517F2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tc>
      </w:tr>
      <w:tr w14:paraId="5115AC3E">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noWrap w:val="0"/>
            <w:vAlign w:val="center"/>
          </w:tcPr>
          <w:p w14:paraId="2DD4B0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F94AA8D">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noWrap w:val="0"/>
            <w:vAlign w:val="center"/>
          </w:tcPr>
          <w:p w14:paraId="6F8B14D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p w14:paraId="5DBD41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0B8A6F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F4C9A6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22B99B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3DCA80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066E94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2ED7DD5F">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BF17AB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73F8E7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EB5028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18480FB">
            <w:pPr>
              <w:keepNext w:val="0"/>
              <w:keepLines w:val="0"/>
              <w:widowControl/>
              <w:suppressLineNumbers w:val="0"/>
              <w:spacing w:before="100" w:beforeAutospacing="1" w:after="0" w:afterAutospacing="0"/>
              <w:ind w:left="0" w:right="0"/>
              <w:jc w:val="left"/>
              <w:rPr>
                <w:rFonts w:hint="default" w:ascii="宋体" w:hAnsi="宋体" w:cs="宋体"/>
                <w:kern w:val="0"/>
                <w:sz w:val="22"/>
                <w:szCs w:val="22"/>
              </w:rPr>
            </w:pPr>
          </w:p>
        </w:tc>
      </w:tr>
      <w:tr w14:paraId="1792689A">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6BDC79AE">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E796B0C">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noWrap w:val="0"/>
            <w:vAlign w:val="center"/>
          </w:tcPr>
          <w:p w14:paraId="35B8D04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30F005F">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4A69880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2A6B8A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056E58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1F6FF4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D6E5FE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noWrap w:val="0"/>
            <w:vAlign w:val="top"/>
          </w:tcPr>
          <w:p w14:paraId="09ACD1B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r>
      <w:tr w14:paraId="33174E6B">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5F95133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noWrap w:val="0"/>
            <w:vAlign w:val="top"/>
          </w:tcPr>
          <w:p w14:paraId="455A5A9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noWrap w:val="0"/>
            <w:vAlign w:val="top"/>
          </w:tcPr>
          <w:p w14:paraId="3B7D6D7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noWrap w:val="0"/>
            <w:vAlign w:val="top"/>
          </w:tcPr>
          <w:p w14:paraId="335DF7B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noWrap w:val="0"/>
            <w:vAlign w:val="top"/>
          </w:tcPr>
          <w:p w14:paraId="316AB84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45FDD59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0B0308F">
      <w:pPr>
        <w:rPr>
          <w:szCs w:val="22"/>
        </w:rPr>
      </w:pPr>
      <w:r>
        <w:rPr>
          <w:szCs w:val="22"/>
        </w:rPr>
        <w:br w:type="page"/>
      </w:r>
    </w:p>
    <w:p w14:paraId="342616BE">
      <w:pPr>
        <w:jc w:val="center"/>
        <w:rPr>
          <w:szCs w:val="22"/>
        </w:rPr>
      </w:pPr>
      <w:r>
        <w:rPr>
          <w:rFonts w:hint="eastAsia"/>
          <w:szCs w:val="22"/>
        </w:rPr>
        <w:t>附录B</w:t>
      </w:r>
      <w:r>
        <w:rPr>
          <w:szCs w:val="22"/>
        </w:rPr>
        <w:br w:type="textWrapping"/>
      </w:r>
      <w:r>
        <w:rPr>
          <w:rFonts w:hint="eastAsia"/>
          <w:szCs w:val="22"/>
        </w:rPr>
        <w:t>（规范性附录）</w:t>
      </w:r>
    </w:p>
    <w:p w14:paraId="40F0BA0F">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178314B0">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20"/>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3DF3FDDC">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noWrap w:val="0"/>
            <w:vAlign w:val="center"/>
          </w:tcPr>
          <w:p w14:paraId="323FCD6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6846181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25A14E12">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noWrap w:val="0"/>
            <w:vAlign w:val="center"/>
          </w:tcPr>
          <w:p w14:paraId="53FF0B5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noWrap w:val="0"/>
            <w:vAlign w:val="center"/>
          </w:tcPr>
          <w:p w14:paraId="00D9275D">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71C138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EDA447C">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noWrap w:val="0"/>
            <w:vAlign w:val="center"/>
          </w:tcPr>
          <w:p w14:paraId="5C97B30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p w14:paraId="4E23EF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2DA5D4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60250B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37D1048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C745138">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p>
        </w:tc>
      </w:tr>
      <w:tr w14:paraId="489F3B79">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2D77E0C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tc>
      </w:tr>
      <w:tr w14:paraId="49242CFB">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5EDD6E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2ECF723E">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5B86E6E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17080E9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noWrap w:val="0"/>
            <w:vAlign w:val="center"/>
          </w:tcPr>
          <w:p w14:paraId="7B48BE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D520CC1">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5CAE0729">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A23FE1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D43194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333D0911">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noWrap w:val="0"/>
            <w:vAlign w:val="top"/>
          </w:tcPr>
          <w:p w14:paraId="07A8462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14:paraId="72231D7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14:paraId="4542637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B8420C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3F0B7F4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1E4AB4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noWrap w:val="0"/>
            <w:vAlign w:val="top"/>
          </w:tcPr>
          <w:p w14:paraId="13220CFE">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公司分管领导</w:t>
            </w:r>
          </w:p>
        </w:tc>
      </w:tr>
      <w:tr w14:paraId="77BDCCF4">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noWrap w:val="0"/>
            <w:vAlign w:val="center"/>
          </w:tcPr>
          <w:p w14:paraId="41E872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57CD13C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3B0DCB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7FD8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8EE4A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6D62791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3139FAD">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noWrap w:val="0"/>
            <w:vAlign w:val="top"/>
          </w:tcPr>
          <w:p w14:paraId="6FC901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noWrap w:val="0"/>
            <w:vAlign w:val="top"/>
          </w:tcPr>
          <w:p w14:paraId="4CBCF68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noWrap w:val="0"/>
            <w:vAlign w:val="top"/>
          </w:tcPr>
          <w:p w14:paraId="7527AD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noWrap w:val="0"/>
            <w:vAlign w:val="top"/>
          </w:tcPr>
          <w:p w14:paraId="5FA6B8A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noWrap w:val="0"/>
            <w:vAlign w:val="top"/>
          </w:tcPr>
          <w:p w14:paraId="419AE7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noWrap w:val="0"/>
            <w:vAlign w:val="top"/>
          </w:tcPr>
          <w:p w14:paraId="2FEBA4B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78A0A91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F869B60">
      <w:pPr>
        <w:autoSpaceDE w:val="0"/>
        <w:autoSpaceDN w:val="0"/>
        <w:adjustRightInd w:val="0"/>
        <w:spacing w:line="360" w:lineRule="auto"/>
        <w:ind w:left="201" w:leftChars="96"/>
        <w:rPr>
          <w:rFonts w:ascii="宋体" w:hAnsi="宋体"/>
          <w:szCs w:val="21"/>
        </w:rPr>
      </w:pPr>
    </w:p>
    <w:p w14:paraId="5D693EB5">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59FD9A3B">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523DAFDF">
      <w:pPr>
        <w:spacing w:before="156" w:beforeLines="50" w:after="156" w:afterLines="50"/>
        <w:jc w:val="center"/>
        <w:rPr>
          <w:rFonts w:ascii="黑体" w:hAnsi="Times New Roman" w:eastAsia="黑体" w:cs="Times New Roman"/>
          <w:sz w:val="21"/>
          <w:lang w:val="zh-CN" w:eastAsia="zh-CN" w:bidi="ar-SA"/>
        </w:rPr>
      </w:pPr>
      <w:r>
        <w:rPr>
          <w:rFonts w:hint="eastAsia" w:ascii="黑体" w:hAnsi="Times New Roman" w:eastAsia="黑体" w:cs="Times New Roman"/>
          <w:sz w:val="21"/>
          <w:lang w:val="en-US" w:eastAsia="zh-CN" w:bidi="ar-SA"/>
        </w:rPr>
        <w:t>经济签证单办理程序</w:t>
      </w:r>
    </w:p>
    <w:p w14:paraId="1AC4BF60">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8"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F:\360MoveData\Users\shixiaoli\Documents\Tencent Files\1149962068\nt_qq\nt_data\Pic\2024-10\Ori\b411cad96a6021b6a8d88e7b3603f759.png"/>
                    <pic:cNvPicPr>
                      <a:picLocks noChangeAspect="1"/>
                    </pic:cNvPicPr>
                  </pic:nvPicPr>
                  <pic:blipFill>
                    <a:blip r:embed="rId14"/>
                    <a:stretch>
                      <a:fillRect/>
                    </a:stretch>
                  </pic:blipFill>
                  <pic:spPr>
                    <a:xfrm>
                      <a:off x="0" y="0"/>
                      <a:ext cx="5704205" cy="4178935"/>
                    </a:xfrm>
                    <a:prstGeom prst="rect">
                      <a:avLst/>
                    </a:prstGeom>
                    <a:noFill/>
                    <a:ln>
                      <a:noFill/>
                    </a:ln>
                  </pic:spPr>
                </pic:pic>
              </a:graphicData>
            </a:graphic>
          </wp:inline>
        </w:drawing>
      </w:r>
    </w:p>
    <w:p w14:paraId="55E16F89">
      <w:pPr>
        <w:widowControl w:val="0"/>
        <w:adjustRightInd w:val="0"/>
        <w:spacing w:after="60" w:afterLines="0" w:line="360" w:lineRule="atLeast"/>
        <w:ind w:left="63" w:leftChars="30" w:right="63" w:rightChars="30"/>
        <w:jc w:val="left"/>
        <w:textAlignment w:val="baseline"/>
        <w:rPr>
          <w:rFonts w:ascii="宋体" w:hAnsi="宋体" w:eastAsia="宋体" w:cs="Times New Roman"/>
          <w:kern w:val="0"/>
          <w:sz w:val="20"/>
          <w:szCs w:val="21"/>
          <w:lang w:val="en-US" w:eastAsia="zh-CN" w:bidi="ar-SA"/>
        </w:rPr>
      </w:pPr>
    </w:p>
    <w:p w14:paraId="2F1BB015">
      <w:pPr>
        <w:keepNext/>
        <w:pageBreakBefore/>
        <w:widowControl/>
        <w:shd w:val="clear" w:color="FFFFFF" w:fill="FFFFFF"/>
        <w:spacing w:before="640" w:after="560" w:line="460" w:lineRule="exact"/>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附件5：</w:t>
      </w:r>
    </w:p>
    <w:p w14:paraId="0F03C031">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0FA4A90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目的</w:t>
      </w:r>
    </w:p>
    <w:p w14:paraId="0A02C42E">
      <w:pPr>
        <w:ind w:firstLine="420" w:firstLineChars="200"/>
        <w:rPr>
          <w:szCs w:val="21"/>
        </w:rPr>
      </w:pPr>
      <w:r>
        <w:rPr>
          <w:rFonts w:hint="eastAsia"/>
          <w:szCs w:val="21"/>
        </w:rPr>
        <w:t>为了加强对工程质量的管理，保证工程质量，进一步明确质量责任和责任追究办法，特制定本制度。</w:t>
      </w:r>
    </w:p>
    <w:p w14:paraId="16A7E09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2" w:name="_Toc122791548"/>
      <w:r>
        <w:rPr>
          <w:rFonts w:hint="eastAsia" w:ascii="Times New Roman" w:hAnsi="Times New Roman" w:eastAsia="宋体" w:cs="Times New Roman"/>
          <w:b/>
          <w:kern w:val="2"/>
          <w:sz w:val="21"/>
          <w:szCs w:val="21"/>
          <w:lang w:val="en-US" w:eastAsia="zh-CN" w:bidi="ar-SA"/>
        </w:rPr>
        <w:t>适用范围</w:t>
      </w:r>
      <w:bookmarkEnd w:id="642"/>
    </w:p>
    <w:p w14:paraId="7E53B483">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3407297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3" w:name="_Toc122791549"/>
      <w:r>
        <w:rPr>
          <w:rFonts w:hint="eastAsia" w:ascii="Times New Roman" w:hAnsi="Times New Roman" w:eastAsia="宋体" w:cs="Times New Roman"/>
          <w:b/>
          <w:kern w:val="2"/>
          <w:sz w:val="21"/>
          <w:szCs w:val="21"/>
          <w:lang w:val="en-US" w:eastAsia="zh-CN" w:bidi="ar-SA"/>
        </w:rPr>
        <w:t>制定依据</w:t>
      </w:r>
      <w:bookmarkEnd w:id="643"/>
    </w:p>
    <w:p w14:paraId="50434CB4">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06C12BBA">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4" w:name="_Toc122791550"/>
      <w:r>
        <w:rPr>
          <w:rFonts w:hint="eastAsia" w:ascii="Times New Roman" w:hAnsi="Times New Roman" w:eastAsia="宋体" w:cs="Times New Roman"/>
          <w:b/>
          <w:kern w:val="2"/>
          <w:sz w:val="21"/>
          <w:szCs w:val="21"/>
          <w:lang w:val="en-US" w:eastAsia="zh-CN" w:bidi="ar-SA"/>
        </w:rPr>
        <w:t>《建设工程质量管理条例》相关条文</w:t>
      </w:r>
      <w:bookmarkEnd w:id="644"/>
    </w:p>
    <w:p w14:paraId="47F674D6">
      <w:pPr>
        <w:ind w:firstLine="420" w:firstLineChars="200"/>
        <w:rPr>
          <w:szCs w:val="21"/>
        </w:rPr>
      </w:pPr>
      <w:r>
        <w:rPr>
          <w:rFonts w:hint="eastAsia"/>
          <w:szCs w:val="21"/>
        </w:rPr>
        <w:t>本部分引用《建设工程质量管理条例》关于施工承包商的质量责任和义务部分的原条文。</w:t>
      </w:r>
    </w:p>
    <w:p w14:paraId="7056C5CD">
      <w:pPr>
        <w:rPr>
          <w:szCs w:val="21"/>
        </w:rPr>
      </w:pPr>
      <w:r>
        <w:rPr>
          <w:rFonts w:hint="eastAsia"/>
          <w:szCs w:val="21"/>
        </w:rPr>
        <w:t>4.1 施工单位不得转包或者违法分包工程。</w:t>
      </w:r>
    </w:p>
    <w:p w14:paraId="488782FD">
      <w:pPr>
        <w:rPr>
          <w:szCs w:val="21"/>
        </w:rPr>
      </w:pPr>
      <w:r>
        <w:rPr>
          <w:rFonts w:hint="eastAsia"/>
          <w:szCs w:val="21"/>
        </w:rPr>
        <w:t>4.2施工单位必须按照工程设计图纸和施工技术标准施工，不得擅自修改工程设计，不得偷工减料。</w:t>
      </w:r>
    </w:p>
    <w:p w14:paraId="0C89D7EF">
      <w:pPr>
        <w:rPr>
          <w:szCs w:val="21"/>
        </w:rPr>
      </w:pPr>
      <w:r>
        <w:rPr>
          <w:rFonts w:hint="eastAsia"/>
          <w:szCs w:val="21"/>
        </w:rPr>
        <w:t>4.3施工单位在施工过程中发现设计文件和图纸有差错的，应当及时提出意见和建议。</w:t>
      </w:r>
    </w:p>
    <w:p w14:paraId="346BF685">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12B7A63E">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1983AB14">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5A4591A4">
      <w:pPr>
        <w:rPr>
          <w:szCs w:val="21"/>
        </w:rPr>
      </w:pPr>
      <w:r>
        <w:rPr>
          <w:rFonts w:hint="eastAsia"/>
          <w:szCs w:val="21"/>
        </w:rPr>
        <w:t>4.7施工单位对施工中出现质量问题的建设工程或者竣工验收不合格的建设工程，应当负责返修。</w:t>
      </w:r>
    </w:p>
    <w:p w14:paraId="4893D8B4">
      <w:pPr>
        <w:rPr>
          <w:szCs w:val="21"/>
        </w:rPr>
      </w:pPr>
      <w:r>
        <w:rPr>
          <w:rFonts w:hint="eastAsia"/>
          <w:szCs w:val="21"/>
        </w:rPr>
        <w:t>4.8施工单位应当建立、健全质量教育培训制度，坚持对职工的质量教育培训；未经质量教育培训或者考核不合格的人员，不得上岗作业。</w:t>
      </w:r>
    </w:p>
    <w:p w14:paraId="1E22DC31">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5" w:name="_Toc122791551"/>
      <w:r>
        <w:rPr>
          <w:rFonts w:hint="eastAsia" w:ascii="Times New Roman" w:hAnsi="Times New Roman" w:eastAsia="宋体" w:cs="Times New Roman"/>
          <w:b/>
          <w:kern w:val="2"/>
          <w:sz w:val="21"/>
          <w:szCs w:val="21"/>
          <w:lang w:val="en-US" w:eastAsia="zh-CN" w:bidi="ar-SA"/>
        </w:rPr>
        <w:t>对施工承包商的质量责任和义务的解释和扩充</w:t>
      </w:r>
      <w:bookmarkEnd w:id="645"/>
    </w:p>
    <w:p w14:paraId="22523CEB">
      <w:pPr>
        <w:rPr>
          <w:szCs w:val="21"/>
        </w:rPr>
      </w:pPr>
      <w:r>
        <w:rPr>
          <w:rFonts w:hint="eastAsia"/>
          <w:szCs w:val="21"/>
        </w:rPr>
        <w:t>5.1  施工分包商在隐蔽工程隐蔽前应提前48小时通监理单位（或建设单位）。</w:t>
      </w:r>
    </w:p>
    <w:p w14:paraId="7747B0EC">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7ED7C97A">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232735FA">
      <w:pPr>
        <w:rPr>
          <w:szCs w:val="21"/>
        </w:rPr>
      </w:pPr>
      <w:r>
        <w:rPr>
          <w:rFonts w:hint="eastAsia"/>
          <w:szCs w:val="21"/>
        </w:rPr>
        <w:t>5.4  在每个专业的施工准备阶段，各承包商都要将测量仪器送有校验资质的单位进行校验，保证测量仪器准确。并将校验证书报监理部备案。</w:t>
      </w:r>
    </w:p>
    <w:p w14:paraId="7D535E0C">
      <w:pPr>
        <w:rPr>
          <w:szCs w:val="21"/>
        </w:rPr>
      </w:pPr>
      <w:r>
        <w:rPr>
          <w:rFonts w:hint="eastAsia"/>
          <w:szCs w:val="21"/>
        </w:rPr>
        <w:t xml:space="preserve">5.5  凡由施工承包商采购的材料、设备等，在采购订货前应向建设单位、监理单位申报，在建设单位确认后方可进行采购。 </w:t>
      </w:r>
    </w:p>
    <w:p w14:paraId="39FC1042">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38C16E58">
      <w:pPr>
        <w:rPr>
          <w:szCs w:val="21"/>
        </w:rPr>
      </w:pPr>
      <w:r>
        <w:rPr>
          <w:rFonts w:hint="eastAsia"/>
          <w:szCs w:val="21"/>
        </w:rPr>
        <w:t>5.7  设备、材料的存放必须进行可靠保护，要保证设备和材料不受损坏。</w:t>
      </w:r>
    </w:p>
    <w:p w14:paraId="44A5F953">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32C41370">
      <w:pPr>
        <w:rPr>
          <w:szCs w:val="21"/>
        </w:rPr>
      </w:pPr>
      <w:r>
        <w:rPr>
          <w:rFonts w:hint="eastAsia"/>
          <w:szCs w:val="21"/>
        </w:rPr>
        <w:t>5.9  《施工方案》经审核、审批、正式出版后，作为建设单位、监理单位监督管理的依据，现场施工必须按照施工方案中描述的措施和工艺进行施工。</w:t>
      </w:r>
    </w:p>
    <w:p w14:paraId="39084E07">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0653BBA4">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5765AF29">
      <w:pPr>
        <w:rPr>
          <w:rFonts w:hint="eastAsia"/>
          <w:szCs w:val="21"/>
        </w:rPr>
      </w:pPr>
      <w:r>
        <w:rPr>
          <w:rFonts w:hint="eastAsia"/>
          <w:szCs w:val="21"/>
        </w:rPr>
        <w:t>5.1</w:t>
      </w:r>
      <w:r>
        <w:rPr>
          <w:szCs w:val="21"/>
        </w:rPr>
        <w:t>2</w:t>
      </w:r>
      <w:r>
        <w:rPr>
          <w:rFonts w:hint="eastAsia"/>
          <w:szCs w:val="21"/>
        </w:rPr>
        <w:t>成品保护措施</w:t>
      </w:r>
    </w:p>
    <w:p w14:paraId="347C4904">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5.12.1施工单位在成品保护管理上应实行项目经理负责制，各班组、各技术专业组、各职能人员应明确职责，分工负责，各专业队或作业班组必须配备认真负责的专职或兼职的成品保护专管员。</w:t>
      </w:r>
    </w:p>
    <w:p w14:paraId="0B15DC79">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5.12.2各施工单位应建立健全成品保护工作体系，严格执行本单位的工程施工安装产品保护程序，在安排施工生产的同时明确成品保护的基本要求和重点，对成品保护措施纳入技术交底。</w:t>
      </w:r>
    </w:p>
    <w:p w14:paraId="322DC6C2">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5.12.3各施工单位应加强成品保护的宣传教育，使有关人员明白做好成品保护是满足施工正常进行的必要条件和维护职业道德的基本要求。</w:t>
      </w:r>
    </w:p>
    <w:p w14:paraId="045488DE">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5.12.4工序全部或部分完成后，本工序施工责任单位应设立醒目明确的标识，警戒、围挡等措施，涉及安全风险的还应做好安全防护。</w:t>
      </w:r>
    </w:p>
    <w:p w14:paraId="491E07B8">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5.12.5其他相邻施工单位不得随意拆除、破坏成品保护标识、警戒、围挡，应严格按照设置标识妥善保护已完工程。</w:t>
      </w:r>
    </w:p>
    <w:p w14:paraId="7067C2E1">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5.12.6已完工程施工单位应加大成品保护工作的监督力度，落实好成品保护措施的有效性，及时发现和制止成品损坏的行为。</w:t>
      </w:r>
    </w:p>
    <w:p w14:paraId="45B0DCE6">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5.12.7施工单位内部和各施工单位存在工序交接时，应组织办理书面的成品保护交接手续。</w:t>
      </w:r>
    </w:p>
    <w:p w14:paraId="22AF89C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6" w:name="_Toc122791553"/>
      <w:r>
        <w:rPr>
          <w:rFonts w:hint="eastAsia" w:ascii="Times New Roman" w:hAnsi="Times New Roman" w:eastAsia="宋体" w:cs="Times New Roman"/>
          <w:b/>
          <w:kern w:val="2"/>
          <w:sz w:val="21"/>
          <w:szCs w:val="21"/>
          <w:lang w:val="en-US" w:eastAsia="zh-CN" w:bidi="ar-SA"/>
        </w:rPr>
        <w:t>质量问题（事故）处理程序</w:t>
      </w:r>
      <w:bookmarkEnd w:id="646"/>
    </w:p>
    <w:p w14:paraId="7E9D9168">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施工单位在施工过程，如模板拆除等工作中，如果发现质量缺陷（包括甲供材料、构配件、设备等等），必须立刻报建设或监理方，不许私自隐蔽。</w:t>
      </w:r>
    </w:p>
    <w:p w14:paraId="7CCF68F1">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质量缺陷、质量问题、质量事故发生后，施工单位应停止与其有关部位的施工，并通知建设或监理单位。施工承包商立即进行质量事故的调查，写出调查分析报告并制定出处理方案。</w:t>
      </w:r>
    </w:p>
    <w:p w14:paraId="2C7A253C">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质量缺陷处理完毕后，施工单位应组织监理和建设单位人员对处理的结果进行严格的鉴定和验收，写出事故处理报告，提交建设单位。</w:t>
      </w:r>
    </w:p>
    <w:p w14:paraId="1D9D098C">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考核的实施</w:t>
      </w:r>
    </w:p>
    <w:p w14:paraId="75864794">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2B795165">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193F9853">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工程质量考核标准见附表1</w:t>
      </w:r>
    </w:p>
    <w:tbl>
      <w:tblPr>
        <w:tblStyle w:val="20"/>
        <w:tblW w:w="8364" w:type="dxa"/>
        <w:tblInd w:w="108" w:type="dxa"/>
        <w:tblLayout w:type="fixed"/>
        <w:tblCellMar>
          <w:top w:w="0" w:type="dxa"/>
          <w:left w:w="108" w:type="dxa"/>
          <w:bottom w:w="0" w:type="dxa"/>
          <w:right w:w="108" w:type="dxa"/>
        </w:tblCellMar>
      </w:tblPr>
      <w:tblGrid>
        <w:gridCol w:w="851"/>
        <w:gridCol w:w="1069"/>
        <w:gridCol w:w="4459"/>
        <w:gridCol w:w="1985"/>
      </w:tblGrid>
      <w:tr w14:paraId="33E9FC23">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noWrap w:val="0"/>
            <w:vAlign w:val="bottom"/>
          </w:tcPr>
          <w:p w14:paraId="4DAA18A1">
            <w:pPr>
              <w:keepNext w:val="0"/>
              <w:keepLines w:val="0"/>
              <w:widowControl w:val="0"/>
              <w:numPr>
                <w:ilvl w:val="0"/>
                <w:numId w:val="14"/>
              </w:numPr>
              <w:suppressLineNumbers w:val="0"/>
              <w:spacing w:before="0" w:beforeAutospacing="0" w:after="0" w:afterAutospacing="0"/>
              <w:ind w:left="425" w:right="0" w:hanging="425" w:firstLineChars="0"/>
              <w:jc w:val="both"/>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违约单见附表2</w:t>
            </w:r>
          </w:p>
          <w:p w14:paraId="6B48D52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069EBE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1BEC65D1">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46469754">
            <w:pPr>
              <w:keepNext w:val="0"/>
              <w:keepLines w:val="0"/>
              <w:widowControl/>
              <w:suppressLineNumbers w:val="0"/>
              <w:spacing w:before="0" w:beforeAutospacing="0" w:after="0" w:afterAutospacing="0"/>
              <w:ind w:left="0" w:right="0" w:firstLine="560" w:firstLineChars="200"/>
              <w:jc w:val="center"/>
              <w:rPr>
                <w:rFonts w:hint="default" w:ascii="等线" w:hAnsi="等线" w:eastAsia="等线" w:cs="宋体"/>
                <w:color w:val="000000"/>
                <w:kern w:val="0"/>
                <w:sz w:val="28"/>
                <w:szCs w:val="28"/>
              </w:rPr>
            </w:pPr>
            <w:r>
              <w:rPr>
                <w:rFonts w:hint="eastAsia"/>
                <w:sz w:val="28"/>
                <w:szCs w:val="28"/>
              </w:rPr>
              <w:t>工程质量考核标准</w:t>
            </w:r>
          </w:p>
          <w:p w14:paraId="4A0ADBA9">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0D6F504A">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209801E">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noWrap w:val="0"/>
            <w:vAlign w:val="center"/>
          </w:tcPr>
          <w:p w14:paraId="351FD925">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noWrap w:val="0"/>
            <w:vAlign w:val="center"/>
          </w:tcPr>
          <w:p w14:paraId="0166559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noWrap w:val="0"/>
            <w:vAlign w:val="center"/>
          </w:tcPr>
          <w:p w14:paraId="39F33DF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40BA190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42A97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noWrap w:val="0"/>
            <w:vAlign w:val="center"/>
          </w:tcPr>
          <w:p w14:paraId="0BD0B63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noWrap w:val="0"/>
            <w:vAlign w:val="bottom"/>
          </w:tcPr>
          <w:p w14:paraId="6333A11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188FC71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AE0625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E44FB6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noWrap w:val="0"/>
            <w:vAlign w:val="center"/>
          </w:tcPr>
          <w:p w14:paraId="45ACB2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62DE6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5E5841C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C578C1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8C8D16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noWrap w:val="0"/>
            <w:vAlign w:val="center"/>
          </w:tcPr>
          <w:p w14:paraId="794FC12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EA61F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744F5E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CAB7B2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0A6C51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noWrap w:val="0"/>
            <w:vAlign w:val="center"/>
          </w:tcPr>
          <w:p w14:paraId="582AECD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DCBCDA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5EC9231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326C66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1AF91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noWrap w:val="0"/>
            <w:vAlign w:val="center"/>
          </w:tcPr>
          <w:p w14:paraId="09F4678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293937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00E19C2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C898D5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E949AE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noWrap w:val="0"/>
            <w:vAlign w:val="center"/>
          </w:tcPr>
          <w:p w14:paraId="47E88B0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ACFD9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2C785F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F80365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57719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noWrap w:val="0"/>
            <w:vAlign w:val="center"/>
          </w:tcPr>
          <w:p w14:paraId="50566AD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C8064B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401ECF5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12321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B5909F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noWrap w:val="0"/>
            <w:vAlign w:val="center"/>
          </w:tcPr>
          <w:p w14:paraId="5C81696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C2E2D8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7F111A3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4087CCF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0312F37">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noWrap w:val="0"/>
            <w:vAlign w:val="center"/>
          </w:tcPr>
          <w:p w14:paraId="73F5407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noWrap w:val="0"/>
            <w:vAlign w:val="center"/>
          </w:tcPr>
          <w:p w14:paraId="62AF2820">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1BAF7F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8B6E3C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88F9A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noWrap w:val="0"/>
            <w:vAlign w:val="center"/>
          </w:tcPr>
          <w:p w14:paraId="32A12C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nil"/>
              <w:right w:val="nil"/>
            </w:tcBorders>
            <w:noWrap w:val="0"/>
            <w:vAlign w:val="bottom"/>
          </w:tcPr>
          <w:p w14:paraId="656996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7F21B87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17E1B12">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F14A9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noWrap w:val="0"/>
            <w:vAlign w:val="center"/>
          </w:tcPr>
          <w:p w14:paraId="2104FBE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noWrap w:val="0"/>
            <w:vAlign w:val="center"/>
          </w:tcPr>
          <w:p w14:paraId="29716F7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37B9EDC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7EEDB68">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415968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noWrap w:val="0"/>
            <w:vAlign w:val="center"/>
          </w:tcPr>
          <w:p w14:paraId="4E88FE7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8D3050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1D498A9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71D5B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FF4DD4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noWrap w:val="0"/>
            <w:vAlign w:val="center"/>
          </w:tcPr>
          <w:p w14:paraId="48BAEAE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8DE702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1A5FB7F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F4B63A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E3F24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noWrap w:val="0"/>
            <w:vAlign w:val="center"/>
          </w:tcPr>
          <w:p w14:paraId="7F20C72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D89CD4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189E57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9607D71">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62F764C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noWrap w:val="0"/>
            <w:vAlign w:val="center"/>
          </w:tcPr>
          <w:p w14:paraId="63C887A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20452E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459A01E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D0398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DEAA8C8">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noWrap w:val="0"/>
            <w:vAlign w:val="center"/>
          </w:tcPr>
          <w:p w14:paraId="6D47E27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922DA3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0913A16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3C0383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8A2298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noWrap w:val="0"/>
            <w:vAlign w:val="center"/>
          </w:tcPr>
          <w:p w14:paraId="57C8A0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8CEC43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2C73470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C38F25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DF511D2">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noWrap w:val="0"/>
            <w:vAlign w:val="center"/>
          </w:tcPr>
          <w:p w14:paraId="0F12E6D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91C4461">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51FB2C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32F5E63">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5761DB9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noWrap w:val="0"/>
            <w:vAlign w:val="center"/>
          </w:tcPr>
          <w:p w14:paraId="248612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A03834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7436729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550143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06AB65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noWrap w:val="0"/>
            <w:vAlign w:val="center"/>
          </w:tcPr>
          <w:p w14:paraId="252173A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D4C3537">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62F7A85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2C0CDE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A727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noWrap w:val="0"/>
            <w:vAlign w:val="center"/>
          </w:tcPr>
          <w:p w14:paraId="4085FEE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5233D2A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67CECFB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BEA809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FE086A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noWrap w:val="0"/>
            <w:vAlign w:val="center"/>
          </w:tcPr>
          <w:p w14:paraId="6F88876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343CAE7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04A3D6D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5627CAC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86C155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noWrap w:val="0"/>
            <w:vAlign w:val="center"/>
          </w:tcPr>
          <w:p w14:paraId="4D2AD4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17EF78E9">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327B420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03FE2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62479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noWrap w:val="0"/>
            <w:vAlign w:val="center"/>
          </w:tcPr>
          <w:p w14:paraId="1E4DD5B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noWrap w:val="0"/>
            <w:vAlign w:val="bottom"/>
          </w:tcPr>
          <w:p w14:paraId="3DF3E12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64237C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739026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6AA03C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noWrap w:val="0"/>
            <w:vAlign w:val="center"/>
          </w:tcPr>
          <w:p w14:paraId="49274AF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0838F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7D49A11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14A716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DE0C5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noWrap w:val="0"/>
            <w:vAlign w:val="center"/>
          </w:tcPr>
          <w:p w14:paraId="60326B3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7FF97C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3F130E1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EF17B9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FA35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noWrap w:val="0"/>
            <w:vAlign w:val="center"/>
          </w:tcPr>
          <w:p w14:paraId="3FF8B39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FB75E4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316D14C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0DEA382">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7A0AC8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noWrap w:val="0"/>
            <w:vAlign w:val="center"/>
          </w:tcPr>
          <w:p w14:paraId="7FFFB2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429DC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124DC40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04FF04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79648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noWrap w:val="0"/>
            <w:vAlign w:val="center"/>
          </w:tcPr>
          <w:p w14:paraId="09E2366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2645AC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0DEF967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48329E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C1FED5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noWrap w:val="0"/>
            <w:vAlign w:val="center"/>
          </w:tcPr>
          <w:p w14:paraId="5826580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noWrap w:val="0"/>
            <w:vAlign w:val="bottom"/>
          </w:tcPr>
          <w:p w14:paraId="70B9142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756A4E4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570344B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0350D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noWrap w:val="0"/>
            <w:vAlign w:val="center"/>
          </w:tcPr>
          <w:p w14:paraId="37E0323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F6668A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03977BA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B6029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C86FCC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noWrap w:val="0"/>
            <w:vAlign w:val="center"/>
          </w:tcPr>
          <w:p w14:paraId="055A00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2C9557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5EBFAC9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065980A0">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79CB68E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noWrap w:val="0"/>
            <w:vAlign w:val="center"/>
          </w:tcPr>
          <w:p w14:paraId="1A4E00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D3DE9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6E2EA0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54C27437">
      <w:pPr>
        <w:rPr>
          <w:szCs w:val="22"/>
        </w:rPr>
      </w:pPr>
    </w:p>
    <w:p w14:paraId="3298299F">
      <w:pPr>
        <w:rPr>
          <w:szCs w:val="22"/>
        </w:rPr>
      </w:pPr>
    </w:p>
    <w:p w14:paraId="6CAE0CF1">
      <w:pPr>
        <w:rPr>
          <w:szCs w:val="22"/>
        </w:rPr>
      </w:pPr>
    </w:p>
    <w:p w14:paraId="74C5840C">
      <w:pPr>
        <w:rPr>
          <w:szCs w:val="22"/>
        </w:rPr>
      </w:pPr>
    </w:p>
    <w:p w14:paraId="7FE9F838">
      <w:pPr>
        <w:rPr>
          <w:szCs w:val="22"/>
        </w:rPr>
      </w:pPr>
    </w:p>
    <w:p w14:paraId="07C89D30">
      <w:pPr>
        <w:rPr>
          <w:szCs w:val="22"/>
        </w:rPr>
      </w:pPr>
    </w:p>
    <w:p w14:paraId="1A90C216">
      <w:pPr>
        <w:rPr>
          <w:szCs w:val="22"/>
        </w:rPr>
      </w:pPr>
    </w:p>
    <w:p w14:paraId="2D4127C7">
      <w:pPr>
        <w:rPr>
          <w:szCs w:val="22"/>
        </w:rPr>
      </w:pPr>
    </w:p>
    <w:p w14:paraId="07AC0D17">
      <w:pPr>
        <w:rPr>
          <w:szCs w:val="22"/>
        </w:rPr>
      </w:pPr>
    </w:p>
    <w:p w14:paraId="16DDD6C9">
      <w:pPr>
        <w:rPr>
          <w:szCs w:val="22"/>
        </w:rPr>
      </w:pPr>
    </w:p>
    <w:p w14:paraId="2AF9C5C2">
      <w:pPr>
        <w:rPr>
          <w:szCs w:val="22"/>
        </w:rPr>
      </w:pPr>
    </w:p>
    <w:p w14:paraId="6E2C2BFA">
      <w:pPr>
        <w:rPr>
          <w:szCs w:val="22"/>
        </w:rPr>
      </w:pPr>
    </w:p>
    <w:p w14:paraId="20A2AD81">
      <w:pPr>
        <w:rPr>
          <w:szCs w:val="22"/>
        </w:rPr>
      </w:pPr>
    </w:p>
    <w:p w14:paraId="687A4B92">
      <w:pPr>
        <w:rPr>
          <w:szCs w:val="22"/>
        </w:rPr>
      </w:pPr>
    </w:p>
    <w:p w14:paraId="35947048">
      <w:pPr>
        <w:rPr>
          <w:szCs w:val="22"/>
        </w:rPr>
      </w:pPr>
    </w:p>
    <w:p w14:paraId="1108BED6">
      <w:pPr>
        <w:rPr>
          <w:szCs w:val="22"/>
        </w:rPr>
      </w:pPr>
    </w:p>
    <w:p w14:paraId="3FD9C486">
      <w:pPr>
        <w:rPr>
          <w:szCs w:val="22"/>
        </w:rPr>
      </w:pPr>
    </w:p>
    <w:p w14:paraId="0535844E">
      <w:pPr>
        <w:rPr>
          <w:szCs w:val="22"/>
        </w:rPr>
      </w:pPr>
    </w:p>
    <w:p w14:paraId="11AED904">
      <w:pPr>
        <w:rPr>
          <w:szCs w:val="22"/>
        </w:rPr>
      </w:pPr>
    </w:p>
    <w:p w14:paraId="6E1910E8">
      <w:pPr>
        <w:rPr>
          <w:rFonts w:hint="eastAsia"/>
          <w:szCs w:val="22"/>
        </w:rPr>
      </w:pPr>
    </w:p>
    <w:p w14:paraId="46B09FF5">
      <w:pPr>
        <w:jc w:val="left"/>
        <w:rPr>
          <w:sz w:val="28"/>
          <w:szCs w:val="28"/>
        </w:rPr>
      </w:pPr>
      <w:r>
        <w:rPr>
          <w:szCs w:val="22"/>
        </w:rPr>
        <w:br w:type="page"/>
      </w:r>
      <w:r>
        <w:rPr>
          <w:rFonts w:hint="eastAsia"/>
          <w:szCs w:val="22"/>
        </w:rPr>
        <w:t>附表2</w:t>
      </w:r>
    </w:p>
    <w:p w14:paraId="28B9FF6D">
      <w:pPr>
        <w:jc w:val="center"/>
        <w:rPr>
          <w:rFonts w:ascii="黑体" w:hAnsi="黑体" w:eastAsia="黑体"/>
          <w:sz w:val="32"/>
          <w:szCs w:val="32"/>
        </w:rPr>
      </w:pPr>
      <w:r>
        <w:rPr>
          <w:rFonts w:hint="eastAsia" w:ascii="黑体" w:hAnsi="黑体" w:eastAsia="黑体"/>
          <w:sz w:val="32"/>
          <w:szCs w:val="32"/>
        </w:rPr>
        <w:t>质量违约函</w:t>
      </w:r>
    </w:p>
    <w:p w14:paraId="6BE47E64">
      <w:pPr>
        <w:jc w:val="left"/>
        <w:rPr>
          <w:sz w:val="28"/>
          <w:szCs w:val="28"/>
        </w:rPr>
      </w:pPr>
      <w:r>
        <w:rPr>
          <w:rFonts w:hint="eastAsia"/>
          <w:sz w:val="28"/>
          <w:szCs w:val="28"/>
          <w:u w:val="single"/>
        </w:rPr>
        <w:t>XXXX公司</w:t>
      </w:r>
      <w:r>
        <w:rPr>
          <w:rFonts w:hint="eastAsia"/>
          <w:sz w:val="28"/>
          <w:szCs w:val="28"/>
        </w:rPr>
        <w:t>：</w:t>
      </w:r>
    </w:p>
    <w:p w14:paraId="69732ABF">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1BD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14:paraId="718F7C7A">
            <w:pPr>
              <w:keepNext w:val="0"/>
              <w:keepLines w:val="0"/>
              <w:widowControl/>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事件经过</w:t>
            </w:r>
          </w:p>
        </w:tc>
        <w:tc>
          <w:tcPr>
            <w:tcW w:w="3402" w:type="dxa"/>
            <w:noWrap w:val="0"/>
            <w:vAlign w:val="center"/>
          </w:tcPr>
          <w:p w14:paraId="11BAD986">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照 片</w:t>
            </w:r>
          </w:p>
        </w:tc>
        <w:tc>
          <w:tcPr>
            <w:tcW w:w="2205" w:type="dxa"/>
            <w:noWrap w:val="0"/>
            <w:vAlign w:val="center"/>
          </w:tcPr>
          <w:p w14:paraId="19C8FB5E">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处理决定</w:t>
            </w:r>
          </w:p>
        </w:tc>
      </w:tr>
      <w:tr w14:paraId="1B61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noWrap w:val="0"/>
            <w:vAlign w:val="top"/>
          </w:tcPr>
          <w:p w14:paraId="7A9FB0C3">
            <w:pPr>
              <w:keepNext w:val="0"/>
              <w:keepLines w:val="0"/>
              <w:suppressLineNumbers w:val="0"/>
              <w:spacing w:before="0" w:beforeAutospacing="0" w:after="0" w:afterAutospacing="0"/>
              <w:ind w:left="0" w:right="0"/>
              <w:jc w:val="left"/>
              <w:rPr>
                <w:rFonts w:hint="default" w:ascii="等线" w:hAnsi="等线" w:eastAsia="等线"/>
                <w:szCs w:val="22"/>
              </w:rPr>
            </w:pPr>
          </w:p>
        </w:tc>
        <w:tc>
          <w:tcPr>
            <w:tcW w:w="3402" w:type="dxa"/>
            <w:noWrap w:val="0"/>
            <w:vAlign w:val="top"/>
          </w:tcPr>
          <w:p w14:paraId="70AFF9CF">
            <w:pPr>
              <w:keepNext w:val="0"/>
              <w:keepLines w:val="0"/>
              <w:suppressLineNumbers w:val="0"/>
              <w:spacing w:before="0" w:beforeAutospacing="0" w:after="0" w:afterAutospacing="0"/>
              <w:ind w:left="0" w:right="0"/>
              <w:jc w:val="left"/>
              <w:rPr>
                <w:rFonts w:hint="default" w:ascii="等线" w:hAnsi="等线" w:eastAsia="等线"/>
                <w:szCs w:val="22"/>
              </w:rPr>
            </w:pPr>
          </w:p>
        </w:tc>
        <w:tc>
          <w:tcPr>
            <w:tcW w:w="2205" w:type="dxa"/>
            <w:noWrap w:val="0"/>
            <w:vAlign w:val="top"/>
          </w:tcPr>
          <w:p w14:paraId="149FAD4D">
            <w:pPr>
              <w:keepNext w:val="0"/>
              <w:keepLines w:val="0"/>
              <w:suppressLineNumbers w:val="0"/>
              <w:spacing w:before="0" w:beforeAutospacing="0" w:after="0" w:afterAutospacing="0"/>
              <w:ind w:left="0" w:right="0"/>
              <w:jc w:val="left"/>
              <w:rPr>
                <w:rFonts w:hint="default" w:ascii="等线" w:hAnsi="等线" w:eastAsia="等线"/>
                <w:szCs w:val="22"/>
              </w:rPr>
            </w:pPr>
          </w:p>
        </w:tc>
      </w:tr>
    </w:tbl>
    <w:p w14:paraId="06EF4346">
      <w:pPr>
        <w:rPr>
          <w:vanish/>
          <w:szCs w:val="22"/>
        </w:rPr>
      </w:pPr>
    </w:p>
    <w:tbl>
      <w:tblPr>
        <w:tblStyle w:val="20"/>
        <w:tblW w:w="8700" w:type="dxa"/>
        <w:tblInd w:w="108" w:type="dxa"/>
        <w:tblLayout w:type="fixed"/>
        <w:tblCellMar>
          <w:top w:w="0" w:type="dxa"/>
          <w:left w:w="108" w:type="dxa"/>
          <w:bottom w:w="0" w:type="dxa"/>
          <w:right w:w="108" w:type="dxa"/>
        </w:tblCellMar>
      </w:tblPr>
      <w:tblGrid>
        <w:gridCol w:w="8700"/>
      </w:tblGrid>
      <w:tr w14:paraId="774F08CC">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0"/>
            <w:vAlign w:val="bottom"/>
          </w:tcPr>
          <w:p w14:paraId="2AD88C24">
            <w:pPr>
              <w:keepNext w:val="0"/>
              <w:keepLines w:val="0"/>
              <w:widowControl/>
              <w:suppressLineNumbers w:val="0"/>
              <w:spacing w:before="0" w:beforeAutospacing="0" w:after="0" w:afterAutospacing="0"/>
              <w:ind w:left="0" w:right="0" w:firstLine="560" w:firstLineChars="20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46083646">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13D404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003FD621">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43348930">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7961ACD8">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C14824F">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35306A1D">
      <w:pPr>
        <w:ind w:firstLine="420" w:firstLineChars="200"/>
        <w:jc w:val="left"/>
        <w:rPr>
          <w:szCs w:val="22"/>
        </w:rPr>
      </w:pPr>
    </w:p>
    <w:p w14:paraId="4BE71A64">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4CF070D4">
      <w:pPr>
        <w:spacing w:line="360" w:lineRule="auto"/>
        <w:jc w:val="center"/>
        <w:rPr>
          <w:b/>
          <w:sz w:val="32"/>
          <w:szCs w:val="32"/>
        </w:rPr>
      </w:pPr>
      <w:r>
        <w:rPr>
          <w:rFonts w:hint="eastAsia"/>
          <w:b/>
          <w:sz w:val="32"/>
          <w:szCs w:val="32"/>
        </w:rPr>
        <w:t>工程项目设计变更管理办法</w:t>
      </w:r>
    </w:p>
    <w:p w14:paraId="233A9874">
      <w:pPr>
        <w:numPr>
          <w:ilvl w:val="0"/>
          <w:numId w:val="15"/>
        </w:numPr>
        <w:spacing w:before="312" w:beforeLines="100" w:after="312" w:afterLines="100"/>
        <w:ind w:left="3544" w:firstLine="0"/>
        <w:jc w:val="left"/>
        <w:outlineLvl w:val="1"/>
        <w:rPr>
          <w:rFonts w:hint="eastAsia" w:ascii="黑体" w:hAnsi="Times New Roman" w:eastAsia="黑体" w:cs="Times New Roman"/>
          <w:sz w:val="21"/>
          <w:lang w:val="en-US" w:eastAsia="zh-CN" w:bidi="ar-SA"/>
        </w:rPr>
      </w:pPr>
      <w:bookmarkStart w:id="647" w:name="_Toc180489608"/>
      <w:bookmarkStart w:id="648" w:name="_Toc21640_WPSOffice_Level1"/>
      <w:bookmarkStart w:id="649" w:name="_Toc13459"/>
      <w:bookmarkStart w:id="650" w:name="_Toc325380253"/>
      <w:bookmarkStart w:id="651" w:name="_Toc327262748"/>
      <w:bookmarkStart w:id="652" w:name="_Toc19649_WPSOffice_Level1"/>
      <w:bookmarkStart w:id="653" w:name="_Toc325380244"/>
      <w:bookmarkStart w:id="654" w:name="_Toc18402_WPSOffice_Level1"/>
      <w:bookmarkStart w:id="655" w:name="_Toc325035050"/>
      <w:bookmarkStart w:id="656" w:name="_Toc29571"/>
      <w:bookmarkStart w:id="657" w:name="_Toc325035189"/>
      <w:bookmarkStart w:id="658" w:name="_Toc3613_WPSOffice_Level1"/>
      <w:bookmarkStart w:id="659" w:name="_Toc15868"/>
      <w:bookmarkStart w:id="660" w:name="_Toc22219_WPSOffice_Level1"/>
      <w:r>
        <w:rPr>
          <w:rFonts w:hint="eastAsia" w:ascii="黑体" w:hAnsi="Times New Roman" w:eastAsia="黑体" w:cs="Times New Roman"/>
          <w:sz w:val="21"/>
          <w:lang w:val="en-US" w:eastAsia="zh-CN" w:bidi="ar-SA"/>
        </w:rPr>
        <w:t>目的</w:t>
      </w:r>
      <w:bookmarkEnd w:id="647"/>
    </w:p>
    <w:p w14:paraId="61A1E801">
      <w:pPr>
        <w:autoSpaceDE w:val="0"/>
        <w:autoSpaceDN w:val="0"/>
        <w:spacing w:before="109" w:beforeLines="35" w:after="109" w:afterLines="35"/>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为规范重庆国际复合材料股份有限公司（以下简称“国际复材”“公司”）</w:t>
      </w:r>
      <w:r>
        <w:rPr>
          <w:rFonts w:hint="eastAsia" w:ascii="宋体" w:hAnsi="宋体" w:eastAsia="宋体" w:cs="Times New Roman"/>
          <w:sz w:val="21"/>
          <w:lang w:val="en-US" w:eastAsia="zh-CN" w:bidi="ar-SA"/>
        </w:rPr>
        <w:t>工程建设过程发生</w:t>
      </w:r>
      <w:r>
        <w:rPr>
          <w:rFonts w:hint="eastAsia" w:ascii="宋体" w:hAnsi="Times New Roman" w:eastAsia="宋体" w:cs="Times New Roman"/>
          <w:sz w:val="21"/>
          <w:lang w:val="en-US" w:eastAsia="zh-CN" w:bidi="ar-SA"/>
        </w:rPr>
        <w:t>的工程项目</w:t>
      </w:r>
      <w:r>
        <w:rPr>
          <w:rFonts w:hint="eastAsia" w:ascii="宋体" w:hAnsi="宋体" w:eastAsia="宋体" w:cs="Times New Roman"/>
          <w:sz w:val="21"/>
          <w:lang w:val="en-US" w:eastAsia="zh-CN" w:bidi="ar-SA"/>
        </w:rPr>
        <w:t>设计变更（以下简称“设计变更”）</w:t>
      </w:r>
      <w:r>
        <w:rPr>
          <w:rFonts w:hint="eastAsia" w:ascii="宋体" w:hAnsi="Times New Roman" w:eastAsia="宋体" w:cs="Times New Roman"/>
          <w:sz w:val="21"/>
          <w:lang w:val="en-US" w:eastAsia="zh-CN" w:bidi="ar-SA"/>
        </w:rPr>
        <w:t>管理工作，规范工程项目设计变更审批管理，特制定本办法。</w:t>
      </w:r>
    </w:p>
    <w:p w14:paraId="269F62F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1" w:name="_Toc180489609"/>
      <w:r>
        <w:rPr>
          <w:rFonts w:hint="eastAsia" w:ascii="黑体" w:hAnsi="Times New Roman" w:eastAsia="黑体" w:cs="Times New Roman"/>
          <w:sz w:val="21"/>
          <w:lang w:val="en-US" w:eastAsia="zh-CN" w:bidi="ar-SA"/>
        </w:rPr>
        <w:t>范围</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98F1510">
      <w:pPr>
        <w:autoSpaceDE w:val="0"/>
        <w:autoSpaceDN w:val="0"/>
        <w:spacing w:line="288" w:lineRule="auto"/>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本制度适用于重庆国际复合材料股份有限公司（下称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）及各级公司全资（控股）子公司、分公司（下称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各分子公司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w:t>
      </w:r>
    </w:p>
    <w:p w14:paraId="3FAF6E82">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2" w:name="_Toc325380255"/>
      <w:bookmarkStart w:id="663" w:name="_Toc325380246"/>
      <w:bookmarkStart w:id="664" w:name="_Toc327262750"/>
      <w:bookmarkStart w:id="665" w:name="_Toc325035191"/>
      <w:bookmarkStart w:id="666" w:name="_Toc325035052"/>
      <w:bookmarkStart w:id="667" w:name="_Toc5572"/>
      <w:bookmarkStart w:id="668" w:name="_Toc5719"/>
      <w:bookmarkStart w:id="669" w:name="_Toc20062_WPSOffice_Level1"/>
      <w:bookmarkStart w:id="670" w:name="_Toc180489611"/>
      <w:bookmarkStart w:id="671" w:name="_Toc14162_WPSOffice_Level1"/>
      <w:bookmarkStart w:id="672" w:name="_Toc959"/>
      <w:bookmarkStart w:id="673" w:name="_Toc3537_WPSOffice_Level1"/>
      <w:bookmarkStart w:id="674" w:name="_Toc7014_WPSOffice_Level1"/>
      <w:r>
        <w:rPr>
          <w:rFonts w:hint="eastAsia" w:ascii="黑体" w:hAnsi="Times New Roman" w:eastAsia="黑体" w:cs="Times New Roman"/>
          <w:sz w:val="21"/>
          <w:lang w:val="en-US" w:eastAsia="zh-CN" w:bidi="ar-SA"/>
        </w:rPr>
        <w:t>术语</w:t>
      </w:r>
      <w:bookmarkEnd w:id="662"/>
      <w:bookmarkEnd w:id="663"/>
      <w:bookmarkEnd w:id="664"/>
      <w:bookmarkEnd w:id="665"/>
      <w:bookmarkEnd w:id="666"/>
      <w:r>
        <w:rPr>
          <w:rFonts w:hint="eastAsia" w:ascii="黑体" w:hAnsi="Times New Roman" w:eastAsia="黑体" w:cs="Times New Roman"/>
          <w:sz w:val="21"/>
          <w:lang w:val="en-US" w:eastAsia="zh-CN" w:bidi="ar-SA"/>
        </w:rPr>
        <w:t>和定义</w:t>
      </w:r>
      <w:bookmarkEnd w:id="667"/>
      <w:bookmarkEnd w:id="668"/>
      <w:bookmarkEnd w:id="669"/>
      <w:bookmarkEnd w:id="670"/>
      <w:bookmarkEnd w:id="671"/>
      <w:bookmarkEnd w:id="672"/>
      <w:bookmarkEnd w:id="673"/>
      <w:bookmarkEnd w:id="674"/>
    </w:p>
    <w:p w14:paraId="4809A7BB">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bookmarkStart w:id="675" w:name="_Toc180489615"/>
      <w:r>
        <w:rPr>
          <w:rFonts w:hint="eastAsia" w:ascii="宋体" w:hAnsi="Times New Roman" w:eastAsia="宋体" w:cs="Times New Roman"/>
          <w:sz w:val="21"/>
          <w:szCs w:val="21"/>
          <w:lang w:val="en-US" w:eastAsia="zh-CN" w:bidi="ar-SA"/>
        </w:rPr>
        <w:t>设计变更</w:t>
      </w:r>
    </w:p>
    <w:p w14:paraId="1D12DA60">
      <w:pPr>
        <w:autoSpaceDE w:val="0"/>
        <w:autoSpaceDN w:val="0"/>
        <w:ind w:firstLine="420" w:firstLineChars="200"/>
        <w:jc w:val="both"/>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t>项目自初步设计批准之日起至通过竣工验收正式交付使用之日止，对已批准的初步设计文件、技术设计文件或施工图设计文件所进行的修改、完善、优化等活动。</w:t>
      </w:r>
    </w:p>
    <w:p w14:paraId="7650EE7F">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一般变更</w:t>
      </w:r>
    </w:p>
    <w:p w14:paraId="1607B5F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设备及材料的名称、规格、安装方式等发生变化，没有超出原设计或工艺技术要求的。</w:t>
      </w:r>
    </w:p>
    <w:p w14:paraId="60E22B5F">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设备、材料及工程量的数量发生变化，不改变工艺技术要求且在单项批复估算内的。</w:t>
      </w:r>
    </w:p>
    <w:p w14:paraId="73DDB434">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重大变更</w:t>
      </w:r>
    </w:p>
    <w:p w14:paraId="0FAB18F1">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重大工艺变更、产品结构调整等发生变化，与可研报告不一致的。</w:t>
      </w:r>
    </w:p>
    <w:p w14:paraId="08B2E23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设备材料名称、规格、安装方式等发生变化，超出原设计或工艺技术要求的。</w:t>
      </w:r>
    </w:p>
    <w:p w14:paraId="4844C60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设备、材料及工程量的数量发生变化，超出单项批复估算但未超出项目总批复估算的。</w:t>
      </w:r>
    </w:p>
    <w:p w14:paraId="0E8F5763">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因实施方案漏项，或新增加的超出原设计工艺内容的。</w:t>
      </w:r>
    </w:p>
    <w:p w14:paraId="51C0B4C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 xml:space="preserve">特种设备实施内容发生变化的。 </w:t>
      </w:r>
    </w:p>
    <w:bookmarkEnd w:id="675"/>
    <w:p w14:paraId="4E52E06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原则</w:t>
      </w:r>
    </w:p>
    <w:p w14:paraId="12BCD0D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原设计不能保证工程质量要求、设计遗漏、有错误与现场不符无法施工、生产工艺重大变更。</w:t>
      </w:r>
    </w:p>
    <w:p w14:paraId="7138E82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建设单位和公司相关部门对设计图纸的合理修改意见，应在施工之前提出。在施工试车或验收过程中，只要不影响生产，原则上不再接受设计变更要求。</w:t>
      </w:r>
    </w:p>
    <w:p w14:paraId="2E60C1D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坚决杜绝内容不明确、没有详图或具体使用部位而只是增加材料用量的变更。</w:t>
      </w:r>
    </w:p>
    <w:p w14:paraId="6B1C349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严禁一次设计变更分多次提出，逃避审核程序。</w:t>
      </w:r>
    </w:p>
    <w:p w14:paraId="56D4063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工程造价增减幅度是否控制在总概算的范围之内，若确需变更但有可能超概算时，必须经过公司项目变更审议流程。</w:t>
      </w:r>
    </w:p>
    <w:p w14:paraId="2374C145">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职责</w:t>
      </w:r>
    </w:p>
    <w:p w14:paraId="4AC6DDB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属地部门负责提出项目变更，由属地部门按照项目办项目变更管理制度要求，完善项目变更手续。</w:t>
      </w:r>
    </w:p>
    <w:p w14:paraId="2B41244B">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建设单位、设计单位、施工单位负责设计变更提报，详见附件B、附件C、附件D。</w:t>
      </w:r>
    </w:p>
    <w:p w14:paraId="3F062C7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项目办负责设计变更的技术审核、设计变更费用预决算。</w:t>
      </w:r>
    </w:p>
    <w:p w14:paraId="4471556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数智化工装技术中心负责设计变更的审核、档案归档。</w:t>
      </w:r>
    </w:p>
    <w:p w14:paraId="351493F6">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管理内容</w:t>
      </w:r>
    </w:p>
    <w:p w14:paraId="289540FB">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bookmarkStart w:id="676" w:name="_Toc180489622"/>
      <w:bookmarkStart w:id="677" w:name="_Toc5661"/>
      <w:bookmarkStart w:id="678" w:name="_Toc20031_WPSOffice_Level1"/>
      <w:bookmarkStart w:id="679" w:name="_Toc28486"/>
      <w:bookmarkStart w:id="680" w:name="_Toc11779_WPSOffice_Level1"/>
      <w:bookmarkStart w:id="681" w:name="_Toc25939_WPSOffice_Level1"/>
      <w:bookmarkStart w:id="682" w:name="_Toc28607"/>
      <w:bookmarkStart w:id="683" w:name="_Toc9144_WPSOffice_Level1"/>
      <w:bookmarkStart w:id="684" w:name="_Toc4905_WPSOffice_Level1"/>
      <w:r>
        <w:rPr>
          <w:rFonts w:hint="eastAsia" w:ascii="黑体" w:hAnsi="Times New Roman" w:eastAsia="黑体" w:cs="Times New Roman"/>
          <w:sz w:val="21"/>
          <w:szCs w:val="21"/>
          <w:lang w:val="en-US" w:eastAsia="zh-CN" w:bidi="ar-SA"/>
        </w:rPr>
        <w:t>设计变更的原因</w:t>
      </w:r>
    </w:p>
    <w:p w14:paraId="305EB1B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修改工艺技术，包括设备的改变</w:t>
      </w:r>
      <w:r>
        <w:rPr>
          <w:rFonts w:hint="eastAsia" w:ascii="宋体" w:hAnsi="Times New Roman" w:eastAsia="宋体" w:cs="Times New Roman"/>
          <w:sz w:val="21"/>
          <w:szCs w:val="21"/>
          <w:lang w:val="en-US" w:eastAsia="zh-CN" w:bidi="ar-SA"/>
        </w:rPr>
        <w:t>。</w:t>
      </w:r>
    </w:p>
    <w:p w14:paraId="535A748C">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增减工程内容</w:t>
      </w:r>
      <w:r>
        <w:rPr>
          <w:rFonts w:hint="eastAsia" w:ascii="宋体" w:hAnsi="Times New Roman" w:eastAsia="宋体" w:cs="Times New Roman"/>
          <w:sz w:val="21"/>
          <w:szCs w:val="21"/>
          <w:lang w:val="en-US" w:eastAsia="zh-CN" w:bidi="ar-SA"/>
        </w:rPr>
        <w:t>。</w:t>
      </w:r>
    </w:p>
    <w:p w14:paraId="7573893B">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改变使用功能</w:t>
      </w:r>
      <w:r>
        <w:rPr>
          <w:rFonts w:hint="eastAsia" w:ascii="宋体" w:hAnsi="Times New Roman" w:eastAsia="宋体" w:cs="Times New Roman"/>
          <w:sz w:val="21"/>
          <w:szCs w:val="21"/>
          <w:lang w:val="en-US" w:eastAsia="zh-CN" w:bidi="ar-SA"/>
        </w:rPr>
        <w:t>。</w:t>
      </w:r>
    </w:p>
    <w:p w14:paraId="4AC1DE89">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设计错误、遗漏</w:t>
      </w:r>
      <w:r>
        <w:rPr>
          <w:rFonts w:hint="eastAsia" w:ascii="宋体" w:hAnsi="Times New Roman" w:eastAsia="宋体" w:cs="Times New Roman"/>
          <w:sz w:val="21"/>
          <w:szCs w:val="21"/>
          <w:lang w:val="en-US" w:eastAsia="zh-CN" w:bidi="ar-SA"/>
        </w:rPr>
        <w:t>。</w:t>
      </w:r>
    </w:p>
    <w:p w14:paraId="3F8D3C0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现场</w:t>
      </w:r>
      <w:r>
        <w:rPr>
          <w:rFonts w:ascii="宋体" w:hAnsi="Times New Roman" w:eastAsia="宋体" w:cs="Times New Roman"/>
          <w:sz w:val="21"/>
          <w:szCs w:val="21"/>
          <w:lang w:val="en-US" w:eastAsia="zh-CN" w:bidi="ar-SA"/>
        </w:rPr>
        <w:t>提</w:t>
      </w:r>
      <w:r>
        <w:rPr>
          <w:rFonts w:hint="eastAsia" w:ascii="宋体" w:hAnsi="Times New Roman" w:eastAsia="宋体" w:cs="Times New Roman"/>
          <w:sz w:val="21"/>
          <w:szCs w:val="21"/>
          <w:lang w:val="en-US" w:eastAsia="zh-CN" w:bidi="ar-SA"/>
        </w:rPr>
        <w:t>出的</w:t>
      </w:r>
      <w:r>
        <w:rPr>
          <w:rFonts w:ascii="宋体" w:hAnsi="Times New Roman" w:eastAsia="宋体" w:cs="Times New Roman"/>
          <w:sz w:val="21"/>
          <w:szCs w:val="21"/>
          <w:lang w:val="en-US" w:eastAsia="zh-CN" w:bidi="ar-SA"/>
        </w:rPr>
        <w:t>合理化建议</w:t>
      </w:r>
      <w:r>
        <w:rPr>
          <w:rFonts w:hint="eastAsia" w:ascii="宋体" w:hAnsi="Times New Roman" w:eastAsia="宋体" w:cs="Times New Roman"/>
          <w:sz w:val="21"/>
          <w:szCs w:val="21"/>
          <w:lang w:val="en-US" w:eastAsia="zh-CN" w:bidi="ar-SA"/>
        </w:rPr>
        <w:t>。</w:t>
      </w:r>
    </w:p>
    <w:p w14:paraId="0EC329F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宋体"/>
          <w:sz w:val="21"/>
          <w:szCs w:val="21"/>
          <w:lang w:val="en-US" w:eastAsia="zh-CN" w:bidi="ar-SA"/>
        </w:rPr>
        <w:t>施工过程中产生的错误。</w:t>
      </w:r>
    </w:p>
    <w:p w14:paraId="06CFDE0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使用的材料品种的改变</w:t>
      </w:r>
      <w:r>
        <w:rPr>
          <w:rFonts w:hint="eastAsia" w:ascii="宋体" w:hAnsi="Times New Roman" w:eastAsia="宋体" w:cs="Times New Roman"/>
          <w:sz w:val="21"/>
          <w:szCs w:val="21"/>
          <w:lang w:val="en-US" w:eastAsia="zh-CN" w:bidi="ar-SA"/>
        </w:rPr>
        <w:t>。</w:t>
      </w:r>
    </w:p>
    <w:p w14:paraId="247FEB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工程地质勘察资料不准确而引起的修改，如基础加深</w:t>
      </w:r>
      <w:r>
        <w:rPr>
          <w:rFonts w:hint="eastAsia" w:ascii="宋体" w:hAnsi="Times New Roman" w:eastAsia="宋体" w:cs="Times New Roman"/>
          <w:sz w:val="21"/>
          <w:szCs w:val="21"/>
          <w:lang w:val="en-US" w:eastAsia="zh-CN" w:bidi="ar-SA"/>
        </w:rPr>
        <w:t>等。</w:t>
      </w:r>
    </w:p>
    <w:p w14:paraId="1ABC1931">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设计变更的时效性：</w:t>
      </w:r>
    </w:p>
    <w:p w14:paraId="554AFE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项目专业设计人员对设计单位、施工单位提出的设计变更在2个工作日内完成审核。</w:t>
      </w:r>
    </w:p>
    <w:p w14:paraId="0CED858A">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项目（执行）经理在收到设计变更申请表和会议纪要后</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个工作日内完成审核。</w:t>
      </w:r>
    </w:p>
    <w:p w14:paraId="13EDDF5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设计院在2个工作日内组织讨论、审核及初步方案等。</w:t>
      </w:r>
    </w:p>
    <w:p w14:paraId="66FCBBC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项目负责人在</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个工作日内完成审批。</w:t>
      </w:r>
    </w:p>
    <w:p w14:paraId="08843501">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项目办造价人员在收到项目变更、初步方案后在2个工作日完成造价估算。</w:t>
      </w:r>
    </w:p>
    <w:p w14:paraId="0AA5CF1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18"/>
          <w:lang w:val="en-US" w:eastAsia="zh-CN" w:bidi="ar-SA"/>
        </w:rPr>
        <w:t>数智化工装技术中心、项目办</w:t>
      </w:r>
      <w:r>
        <w:rPr>
          <w:rFonts w:hint="eastAsia" w:ascii="宋体" w:hAnsi="Times New Roman" w:eastAsia="宋体" w:cs="Times New Roman"/>
          <w:sz w:val="21"/>
          <w:szCs w:val="21"/>
          <w:lang w:val="en-US" w:eastAsia="zh-CN" w:bidi="ar-SA"/>
        </w:rPr>
        <w:t>领导审</w:t>
      </w:r>
      <w:r>
        <w:rPr>
          <w:rFonts w:ascii="宋体" w:hAnsi="Times New Roman" w:eastAsia="宋体" w:cs="Times New Roman"/>
          <w:sz w:val="21"/>
          <w:szCs w:val="21"/>
          <w:lang w:val="en-US" w:eastAsia="zh-CN" w:bidi="ar-SA"/>
        </w:rPr>
        <w:t>核</w:t>
      </w:r>
      <w:r>
        <w:rPr>
          <w:rFonts w:hint="eastAsia" w:ascii="宋体" w:hAnsi="Times New Roman" w:eastAsia="宋体" w:cs="Times New Roman"/>
          <w:sz w:val="21"/>
          <w:szCs w:val="21"/>
          <w:lang w:val="en-US" w:eastAsia="zh-CN" w:bidi="ar-SA"/>
        </w:rPr>
        <w:t>和公司项目分管领导在2个工作日完成审批。</w:t>
      </w:r>
    </w:p>
    <w:p w14:paraId="343DF6D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项目竣工验收后</w:t>
      </w:r>
      <w:r>
        <w:rPr>
          <w:rFonts w:ascii="宋体" w:hAnsi="Times New Roman" w:eastAsia="宋体" w:cs="Times New Roman"/>
          <w:sz w:val="21"/>
          <w:szCs w:val="21"/>
          <w:lang w:val="en-US" w:eastAsia="zh-CN" w:bidi="ar-SA"/>
        </w:rPr>
        <w:t>30</w:t>
      </w:r>
      <w:r>
        <w:rPr>
          <w:rFonts w:hint="eastAsia" w:ascii="宋体" w:hAnsi="Times New Roman" w:eastAsia="宋体" w:cs="Times New Roman"/>
          <w:sz w:val="21"/>
          <w:szCs w:val="21"/>
          <w:lang w:val="en-US" w:eastAsia="zh-CN" w:bidi="ar-SA"/>
        </w:rPr>
        <w:t>日内各专业设计人员收集整理设计变更，并交项目技术负责人核对后交档案管理人员归档。</w:t>
      </w:r>
    </w:p>
    <w:p w14:paraId="54C944B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若现场出现紧急情况需要立即实施变更的，在变更完成后3日内补充完善流程。</w:t>
      </w:r>
    </w:p>
    <w:p w14:paraId="18EB1DB9">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设计变更的提出审批程序</w:t>
      </w:r>
    </w:p>
    <w:p w14:paraId="7CAEB66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设计变更提出前，必须先经施工预算。</w:t>
      </w:r>
    </w:p>
    <w:p w14:paraId="7D478EA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设计变更须说明变更产生的背景（变更提出单位、主要参与人员、时间等）、变更原因（工艺变更、工艺要求、设备选型不当、设计漏项、设计失误、提高或降低标准等），并进行经济效益分析及造价分析。</w:t>
      </w:r>
    </w:p>
    <w:p w14:paraId="0E68E99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设计变更的审批程序按照造价金额进行分级审批。</w:t>
      </w:r>
    </w:p>
    <w:p w14:paraId="2977B90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建设单位提出的设计变更审批程序：</w:t>
      </w:r>
    </w:p>
    <w:p w14:paraId="152A8806">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2A1F9D4A">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7634D95A">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设计单位提出的设计变更审批程序：</w:t>
      </w:r>
    </w:p>
    <w:p w14:paraId="6E080AC2">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753CC98B">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222341F3">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施工单位提出的设计变更审批程序：</w:t>
      </w:r>
    </w:p>
    <w:p w14:paraId="43D3AA40">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3A3F9307">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bookmarkEnd w:id="676"/>
    <w:p w14:paraId="78B69BF0">
      <w:pPr>
        <w:numPr>
          <w:ilvl w:val="0"/>
          <w:numId w:val="15"/>
        </w:numPr>
        <w:spacing w:before="312" w:beforeLines="100" w:after="312" w:afterLines="100"/>
        <w:ind w:left="3544" w:firstLine="0"/>
        <w:jc w:val="both"/>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监督管理要求</w:t>
      </w:r>
    </w:p>
    <w:p w14:paraId="76D949EB">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bookmarkStart w:id="685" w:name="_Hlk153955397"/>
      <w:r>
        <w:rPr>
          <w:rFonts w:hint="eastAsia" w:ascii="宋体" w:hAnsi="宋体" w:eastAsia="宋体" w:cs="宋体"/>
          <w:sz w:val="21"/>
          <w:szCs w:val="21"/>
          <w:lang w:val="en-US" w:eastAsia="zh-CN" w:bidi="ar-SA"/>
        </w:rPr>
        <w:t>一般变更：由项目（执行）经理根据变更原因提出考核建议，由项目办领导审核，并经公司项目分管领导审批后，出具考核单。考核金额为从当月绩效中减发100-500元/次。完善手续后提交人力资源部进行考核。</w:t>
      </w:r>
    </w:p>
    <w:p w14:paraId="65F49F55">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9A840AE">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时效性考核：如果没有在规定的时间内完成，考核100元/次。</w:t>
      </w:r>
    </w:p>
    <w:p w14:paraId="330F3FA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若同时进行了项目变更和设计变更，项目变更时已进行了考核，则不重复考核。</w:t>
      </w:r>
    </w:p>
    <w:p w14:paraId="2BC976C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由设计院发起的设计变更，对公司造成实质性损失的，由数智化工装技术中心相关人员依据合同约定提出考核。</w:t>
      </w:r>
    </w:p>
    <w:p w14:paraId="1F0B380D">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由施工单位发起的设计变更，对公司造成实质性损失的，由项目办相关人员依据合同约定提出考核。</w:t>
      </w:r>
    </w:p>
    <w:bookmarkEnd w:id="677"/>
    <w:bookmarkEnd w:id="678"/>
    <w:bookmarkEnd w:id="679"/>
    <w:bookmarkEnd w:id="680"/>
    <w:bookmarkEnd w:id="681"/>
    <w:bookmarkEnd w:id="682"/>
    <w:bookmarkEnd w:id="683"/>
    <w:bookmarkEnd w:id="684"/>
    <w:bookmarkEnd w:id="685"/>
    <w:p w14:paraId="5889EA8C">
      <w:pPr>
        <w:jc w:val="center"/>
        <w:rPr>
          <w:rFonts w:hint="eastAsia"/>
          <w:szCs w:val="22"/>
        </w:rPr>
      </w:pPr>
      <w:bookmarkStart w:id="686" w:name="_Toc21804"/>
      <w:bookmarkStart w:id="687" w:name="_Toc20393"/>
      <w:bookmarkStart w:id="688" w:name="_Toc9166"/>
    </w:p>
    <w:p w14:paraId="03660C0A">
      <w:pPr>
        <w:jc w:val="center"/>
        <w:rPr>
          <w:rFonts w:hint="eastAsia"/>
          <w:szCs w:val="22"/>
        </w:rPr>
      </w:pPr>
    </w:p>
    <w:p w14:paraId="2487D8B3">
      <w:pPr>
        <w:jc w:val="center"/>
        <w:rPr>
          <w:rFonts w:hint="eastAsia"/>
          <w:szCs w:val="22"/>
        </w:rPr>
      </w:pPr>
    </w:p>
    <w:p w14:paraId="793CC570">
      <w:pPr>
        <w:jc w:val="center"/>
        <w:rPr>
          <w:rFonts w:hint="eastAsia"/>
          <w:szCs w:val="22"/>
        </w:rPr>
      </w:pPr>
    </w:p>
    <w:p w14:paraId="58E5921A">
      <w:pPr>
        <w:jc w:val="center"/>
        <w:rPr>
          <w:rFonts w:hint="eastAsia"/>
          <w:szCs w:val="22"/>
        </w:rPr>
      </w:pPr>
    </w:p>
    <w:p w14:paraId="6BF9F885">
      <w:pPr>
        <w:jc w:val="center"/>
        <w:rPr>
          <w:rFonts w:hint="eastAsia"/>
          <w:szCs w:val="22"/>
        </w:rPr>
      </w:pPr>
    </w:p>
    <w:p w14:paraId="0DDFD946">
      <w:pPr>
        <w:rPr>
          <w:rFonts w:hint="eastAsia"/>
          <w:szCs w:val="22"/>
        </w:rPr>
      </w:pPr>
    </w:p>
    <w:p w14:paraId="6FE11FA8">
      <w:pPr>
        <w:rPr>
          <w:rFonts w:hint="eastAsia"/>
          <w:szCs w:val="22"/>
        </w:rPr>
      </w:pPr>
    </w:p>
    <w:p w14:paraId="38B1D627">
      <w:pPr>
        <w:jc w:val="center"/>
        <w:rPr>
          <w:rFonts w:hint="eastAsia"/>
          <w:szCs w:val="22"/>
        </w:rPr>
      </w:pPr>
      <w:r>
        <w:rPr>
          <w:szCs w:val="22"/>
        </w:rPr>
        <w:br w:type="page"/>
      </w:r>
    </w:p>
    <w:p w14:paraId="3DDFA480">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62188004">
      <w:pPr>
        <w:autoSpaceDE w:val="0"/>
        <w:autoSpaceDN w:val="0"/>
        <w:ind w:firstLine="420" w:firstLineChars="200"/>
        <w:jc w:val="left"/>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szCs w:val="21"/>
          <w:lang w:val="en-US" w:eastAsia="zh-CN" w:bidi="ar-SA"/>
        </w:rPr>
        <w:t>单位：</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S05.007.3-1</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保存期 </w:t>
      </w:r>
      <w:r>
        <w:rPr>
          <w:rFonts w:hint="eastAsia" w:ascii="宋体" w:hAnsi="Times New Roman" w:eastAsia="宋体" w:cs="Times New Roman"/>
          <w:sz w:val="21"/>
          <w:szCs w:val="21"/>
          <w:u w:val="single"/>
          <w:lang w:val="en-US" w:eastAsia="zh-CN" w:bidi="ar-SA"/>
        </w:rPr>
        <w:t>长期</w:t>
      </w:r>
    </w:p>
    <w:tbl>
      <w:tblPr>
        <w:tblStyle w:val="20"/>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03BB2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9703997">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项目名称</w:t>
            </w:r>
          </w:p>
        </w:tc>
        <w:tc>
          <w:tcPr>
            <w:tcW w:w="6965" w:type="dxa"/>
            <w:gridSpan w:val="3"/>
            <w:noWrap w:val="0"/>
            <w:vAlign w:val="top"/>
          </w:tcPr>
          <w:p w14:paraId="252EE999">
            <w:pPr>
              <w:keepNext w:val="0"/>
              <w:keepLines w:val="0"/>
              <w:suppressLineNumbers w:val="0"/>
              <w:spacing w:before="0" w:beforeAutospacing="0" w:after="0" w:afterAutospacing="0"/>
              <w:ind w:left="0" w:right="0"/>
              <w:jc w:val="center"/>
              <w:rPr>
                <w:rFonts w:hint="default" w:ascii="宋体"/>
                <w:szCs w:val="21"/>
              </w:rPr>
            </w:pPr>
          </w:p>
        </w:tc>
      </w:tr>
      <w:tr w14:paraId="603BD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6729E6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主 持 人</w:t>
            </w:r>
          </w:p>
        </w:tc>
        <w:tc>
          <w:tcPr>
            <w:tcW w:w="2130" w:type="dxa"/>
            <w:noWrap w:val="0"/>
            <w:vAlign w:val="top"/>
          </w:tcPr>
          <w:p w14:paraId="73250F1B">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585D491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组织部门</w:t>
            </w:r>
          </w:p>
        </w:tc>
        <w:tc>
          <w:tcPr>
            <w:tcW w:w="2704" w:type="dxa"/>
            <w:noWrap w:val="0"/>
            <w:vAlign w:val="top"/>
          </w:tcPr>
          <w:p w14:paraId="7C2C56D7">
            <w:pPr>
              <w:keepNext w:val="0"/>
              <w:keepLines w:val="0"/>
              <w:suppressLineNumbers w:val="0"/>
              <w:spacing w:before="0" w:beforeAutospacing="0" w:after="0" w:afterAutospacing="0"/>
              <w:ind w:left="0" w:right="0"/>
              <w:jc w:val="center"/>
              <w:rPr>
                <w:rFonts w:hint="default" w:ascii="宋体"/>
                <w:szCs w:val="21"/>
              </w:rPr>
            </w:pPr>
          </w:p>
        </w:tc>
      </w:tr>
      <w:tr w14:paraId="43705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860AB6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会议时间</w:t>
            </w:r>
          </w:p>
        </w:tc>
        <w:tc>
          <w:tcPr>
            <w:tcW w:w="2130" w:type="dxa"/>
            <w:noWrap w:val="0"/>
            <w:vAlign w:val="top"/>
          </w:tcPr>
          <w:p w14:paraId="0BC370E1">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4C1933E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会议地点</w:t>
            </w:r>
          </w:p>
        </w:tc>
        <w:tc>
          <w:tcPr>
            <w:tcW w:w="2704" w:type="dxa"/>
            <w:noWrap w:val="0"/>
            <w:vAlign w:val="top"/>
          </w:tcPr>
          <w:p w14:paraId="25D5C244">
            <w:pPr>
              <w:keepNext w:val="0"/>
              <w:keepLines w:val="0"/>
              <w:suppressLineNumbers w:val="0"/>
              <w:spacing w:before="0" w:beforeAutospacing="0" w:after="0" w:afterAutospacing="0"/>
              <w:ind w:left="0" w:right="0"/>
              <w:jc w:val="center"/>
              <w:rPr>
                <w:rFonts w:hint="default" w:ascii="宋体"/>
                <w:szCs w:val="21"/>
              </w:rPr>
            </w:pPr>
          </w:p>
        </w:tc>
      </w:tr>
      <w:tr w14:paraId="0EE8C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DE7FDD3">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设计变更名称</w:t>
            </w:r>
          </w:p>
        </w:tc>
        <w:tc>
          <w:tcPr>
            <w:tcW w:w="6965" w:type="dxa"/>
            <w:gridSpan w:val="3"/>
            <w:noWrap w:val="0"/>
            <w:vAlign w:val="top"/>
          </w:tcPr>
          <w:p w14:paraId="5656FA88">
            <w:pPr>
              <w:keepNext w:val="0"/>
              <w:keepLines w:val="0"/>
              <w:suppressLineNumbers w:val="0"/>
              <w:spacing w:before="0" w:beforeAutospacing="0" w:after="0" w:afterAutospacing="0"/>
              <w:ind w:left="0" w:right="0"/>
              <w:jc w:val="center"/>
              <w:rPr>
                <w:rFonts w:hint="default" w:ascii="宋体"/>
                <w:szCs w:val="21"/>
              </w:rPr>
            </w:pPr>
          </w:p>
        </w:tc>
      </w:tr>
      <w:tr w14:paraId="486F4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noWrap w:val="0"/>
            <w:vAlign w:val="top"/>
          </w:tcPr>
          <w:p w14:paraId="2DF7CB64">
            <w:pPr>
              <w:keepNext w:val="0"/>
              <w:keepLines w:val="0"/>
              <w:suppressLineNumbers w:val="0"/>
              <w:spacing w:before="0" w:beforeAutospacing="0" w:after="0" w:afterAutospacing="0"/>
              <w:ind w:left="0" w:right="0"/>
              <w:rPr>
                <w:rFonts w:hint="default" w:ascii="宋体"/>
                <w:szCs w:val="21"/>
              </w:rPr>
            </w:pPr>
            <w:r>
              <w:rPr>
                <w:rFonts w:hint="eastAsia" w:ascii="宋体"/>
                <w:szCs w:val="21"/>
              </w:rPr>
              <w:t>参会人员签字：</w:t>
            </w:r>
          </w:p>
          <w:p w14:paraId="13526B01">
            <w:pPr>
              <w:keepNext w:val="0"/>
              <w:keepLines w:val="0"/>
              <w:suppressLineNumbers w:val="0"/>
              <w:spacing w:before="0" w:beforeAutospacing="0" w:after="0" w:afterAutospacing="0"/>
              <w:ind w:left="0" w:right="0"/>
              <w:jc w:val="left"/>
              <w:rPr>
                <w:rFonts w:hint="default" w:ascii="宋体"/>
                <w:szCs w:val="21"/>
              </w:rPr>
            </w:pPr>
          </w:p>
          <w:p w14:paraId="2B19513D">
            <w:pPr>
              <w:keepNext w:val="0"/>
              <w:keepLines w:val="0"/>
              <w:suppressLineNumbers w:val="0"/>
              <w:spacing w:before="0" w:beforeAutospacing="0" w:after="0" w:afterAutospacing="0"/>
              <w:ind w:left="0" w:right="0"/>
              <w:rPr>
                <w:rFonts w:hint="default" w:ascii="宋体"/>
                <w:szCs w:val="21"/>
              </w:rPr>
            </w:pPr>
          </w:p>
          <w:p w14:paraId="7DD1559C">
            <w:pPr>
              <w:keepNext w:val="0"/>
              <w:keepLines w:val="0"/>
              <w:suppressLineNumbers w:val="0"/>
              <w:spacing w:before="0" w:beforeAutospacing="0" w:after="0" w:afterAutospacing="0"/>
              <w:ind w:left="0" w:right="0"/>
              <w:rPr>
                <w:rFonts w:hint="default" w:ascii="宋体"/>
                <w:szCs w:val="21"/>
              </w:rPr>
            </w:pPr>
          </w:p>
          <w:p w14:paraId="4E5972C8">
            <w:pPr>
              <w:keepNext w:val="0"/>
              <w:keepLines w:val="0"/>
              <w:suppressLineNumbers w:val="0"/>
              <w:spacing w:before="0" w:beforeAutospacing="0" w:after="0" w:afterAutospacing="0"/>
              <w:ind w:left="0" w:right="0"/>
              <w:rPr>
                <w:rFonts w:hint="default" w:ascii="宋体"/>
                <w:szCs w:val="21"/>
              </w:rPr>
            </w:pPr>
          </w:p>
          <w:p w14:paraId="722A0266">
            <w:pPr>
              <w:keepNext w:val="0"/>
              <w:keepLines w:val="0"/>
              <w:suppressLineNumbers w:val="0"/>
              <w:spacing w:before="0" w:beforeAutospacing="0" w:after="0" w:afterAutospacing="0"/>
              <w:ind w:left="0" w:right="0"/>
              <w:rPr>
                <w:rFonts w:hint="default" w:ascii="宋体"/>
                <w:szCs w:val="21"/>
              </w:rPr>
            </w:pPr>
          </w:p>
          <w:p w14:paraId="33137841">
            <w:pPr>
              <w:keepNext w:val="0"/>
              <w:keepLines w:val="0"/>
              <w:suppressLineNumbers w:val="0"/>
              <w:spacing w:before="0" w:beforeAutospacing="0" w:after="0" w:afterAutospacing="0"/>
              <w:ind w:left="0" w:right="0"/>
              <w:rPr>
                <w:rFonts w:hint="default" w:ascii="宋体"/>
                <w:szCs w:val="21"/>
              </w:rPr>
            </w:pPr>
          </w:p>
        </w:tc>
      </w:tr>
      <w:tr w14:paraId="09A96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noWrap w:val="0"/>
            <w:vAlign w:val="top"/>
          </w:tcPr>
          <w:p w14:paraId="7EF728A9">
            <w:pPr>
              <w:keepNext w:val="0"/>
              <w:keepLines w:val="0"/>
              <w:suppressLineNumbers w:val="0"/>
              <w:spacing w:before="0" w:beforeAutospacing="0" w:after="0" w:afterAutospacing="0"/>
              <w:ind w:left="0" w:right="0"/>
              <w:rPr>
                <w:rFonts w:hint="default" w:ascii="宋体"/>
                <w:szCs w:val="21"/>
              </w:rPr>
            </w:pPr>
            <w:r>
              <w:rPr>
                <w:rFonts w:hint="eastAsia" w:ascii="宋体"/>
                <w:szCs w:val="21"/>
              </w:rPr>
              <w:t>设计变更会议内容：</w:t>
            </w:r>
          </w:p>
          <w:p w14:paraId="41D0599C">
            <w:pPr>
              <w:keepNext w:val="0"/>
              <w:keepLines w:val="0"/>
              <w:suppressLineNumbers w:val="0"/>
              <w:spacing w:before="0" w:beforeAutospacing="0" w:after="0" w:afterAutospacing="0"/>
              <w:ind w:left="0" w:right="0"/>
              <w:rPr>
                <w:rFonts w:hint="default" w:ascii="宋体"/>
                <w:b/>
                <w:szCs w:val="21"/>
              </w:rPr>
            </w:pPr>
          </w:p>
          <w:p w14:paraId="6A40F440">
            <w:pPr>
              <w:keepNext w:val="0"/>
              <w:keepLines w:val="0"/>
              <w:suppressLineNumbers w:val="0"/>
              <w:spacing w:before="0" w:beforeAutospacing="0" w:after="0" w:afterAutospacing="0"/>
              <w:ind w:left="0" w:right="0"/>
              <w:rPr>
                <w:rFonts w:hint="default" w:ascii="宋体"/>
                <w:b/>
                <w:szCs w:val="21"/>
              </w:rPr>
            </w:pPr>
          </w:p>
          <w:p w14:paraId="41453C90">
            <w:pPr>
              <w:keepNext w:val="0"/>
              <w:keepLines w:val="0"/>
              <w:suppressLineNumbers w:val="0"/>
              <w:spacing w:before="0" w:beforeAutospacing="0" w:after="0" w:afterAutospacing="0"/>
              <w:ind w:left="0" w:right="0"/>
              <w:rPr>
                <w:rFonts w:hint="default" w:ascii="宋体"/>
                <w:b/>
                <w:szCs w:val="21"/>
              </w:rPr>
            </w:pPr>
          </w:p>
          <w:p w14:paraId="62E45419">
            <w:pPr>
              <w:keepNext w:val="0"/>
              <w:keepLines w:val="0"/>
              <w:suppressLineNumbers w:val="0"/>
              <w:spacing w:before="0" w:beforeAutospacing="0" w:after="0" w:afterAutospacing="0"/>
              <w:ind w:left="0" w:right="0"/>
              <w:rPr>
                <w:rFonts w:hint="default" w:ascii="宋体"/>
                <w:b/>
                <w:szCs w:val="21"/>
              </w:rPr>
            </w:pPr>
          </w:p>
          <w:p w14:paraId="1A2BB77D">
            <w:pPr>
              <w:keepNext w:val="0"/>
              <w:keepLines w:val="0"/>
              <w:suppressLineNumbers w:val="0"/>
              <w:spacing w:before="0" w:beforeAutospacing="0" w:after="0" w:afterAutospacing="0"/>
              <w:ind w:left="0" w:right="0"/>
              <w:rPr>
                <w:rFonts w:hint="default" w:ascii="宋体"/>
                <w:b/>
                <w:szCs w:val="21"/>
              </w:rPr>
            </w:pPr>
          </w:p>
          <w:p w14:paraId="4ADE890C">
            <w:pPr>
              <w:keepNext w:val="0"/>
              <w:keepLines w:val="0"/>
              <w:suppressLineNumbers w:val="0"/>
              <w:spacing w:before="0" w:beforeAutospacing="0" w:after="0" w:afterAutospacing="0"/>
              <w:ind w:left="0" w:right="0"/>
              <w:rPr>
                <w:rFonts w:hint="default" w:ascii="宋体"/>
                <w:b/>
                <w:szCs w:val="21"/>
              </w:rPr>
            </w:pPr>
          </w:p>
          <w:p w14:paraId="74A24AB8">
            <w:pPr>
              <w:keepNext w:val="0"/>
              <w:keepLines w:val="0"/>
              <w:suppressLineNumbers w:val="0"/>
              <w:spacing w:before="0" w:beforeAutospacing="0" w:after="0" w:afterAutospacing="0"/>
              <w:ind w:left="0" w:right="0"/>
              <w:rPr>
                <w:rFonts w:hint="default" w:ascii="宋体"/>
                <w:b/>
                <w:szCs w:val="21"/>
              </w:rPr>
            </w:pPr>
          </w:p>
          <w:p w14:paraId="50B036FC">
            <w:pPr>
              <w:keepNext w:val="0"/>
              <w:keepLines w:val="0"/>
              <w:suppressLineNumbers w:val="0"/>
              <w:spacing w:before="0" w:beforeAutospacing="0" w:after="0" w:afterAutospacing="0"/>
              <w:ind w:left="0" w:right="0"/>
              <w:rPr>
                <w:rFonts w:hint="default" w:ascii="宋体"/>
                <w:b/>
                <w:szCs w:val="21"/>
              </w:rPr>
            </w:pPr>
          </w:p>
          <w:p w14:paraId="5428AB01">
            <w:pPr>
              <w:keepNext w:val="0"/>
              <w:keepLines w:val="0"/>
              <w:suppressLineNumbers w:val="0"/>
              <w:spacing w:before="0" w:beforeAutospacing="0" w:after="0" w:afterAutospacing="0"/>
              <w:ind w:left="0" w:right="0"/>
              <w:rPr>
                <w:rFonts w:hint="default" w:ascii="宋体"/>
                <w:b/>
                <w:szCs w:val="21"/>
              </w:rPr>
            </w:pPr>
          </w:p>
          <w:p w14:paraId="65797039">
            <w:pPr>
              <w:keepNext w:val="0"/>
              <w:keepLines w:val="0"/>
              <w:suppressLineNumbers w:val="0"/>
              <w:spacing w:before="0" w:beforeAutospacing="0" w:after="0" w:afterAutospacing="0"/>
              <w:ind w:left="0" w:right="0"/>
              <w:rPr>
                <w:rFonts w:hint="default" w:ascii="宋体"/>
                <w:b/>
                <w:szCs w:val="21"/>
              </w:rPr>
            </w:pPr>
          </w:p>
          <w:p w14:paraId="440EC851">
            <w:pPr>
              <w:keepNext w:val="0"/>
              <w:keepLines w:val="0"/>
              <w:suppressLineNumbers w:val="0"/>
              <w:spacing w:before="0" w:beforeAutospacing="0" w:after="0" w:afterAutospacing="0"/>
              <w:ind w:left="0" w:right="0"/>
              <w:rPr>
                <w:rFonts w:hint="default" w:ascii="宋体"/>
                <w:b/>
                <w:szCs w:val="21"/>
              </w:rPr>
            </w:pPr>
          </w:p>
          <w:p w14:paraId="6CCE05DD">
            <w:pPr>
              <w:keepNext w:val="0"/>
              <w:keepLines w:val="0"/>
              <w:suppressLineNumbers w:val="0"/>
              <w:spacing w:before="0" w:beforeAutospacing="0" w:after="0" w:afterAutospacing="0"/>
              <w:ind w:left="0" w:right="0"/>
              <w:rPr>
                <w:rFonts w:hint="eastAsia" w:ascii="宋体"/>
                <w:b/>
                <w:szCs w:val="21"/>
              </w:rPr>
            </w:pPr>
          </w:p>
          <w:p w14:paraId="4B4B6DD5">
            <w:pPr>
              <w:keepNext w:val="0"/>
              <w:keepLines w:val="0"/>
              <w:suppressLineNumbers w:val="0"/>
              <w:spacing w:before="0" w:beforeAutospacing="0" w:after="0" w:afterAutospacing="0"/>
              <w:ind w:left="0" w:right="0"/>
              <w:rPr>
                <w:rFonts w:hint="default" w:ascii="宋体"/>
                <w:b/>
                <w:szCs w:val="21"/>
              </w:rPr>
            </w:pPr>
          </w:p>
          <w:p w14:paraId="1E42CC2F">
            <w:pPr>
              <w:keepNext w:val="0"/>
              <w:keepLines w:val="0"/>
              <w:suppressLineNumbers w:val="0"/>
              <w:spacing w:before="0" w:beforeAutospacing="0" w:after="0" w:afterAutospacing="0"/>
              <w:ind w:left="0" w:right="0"/>
              <w:rPr>
                <w:rFonts w:hint="default" w:ascii="宋体"/>
                <w:b/>
                <w:szCs w:val="21"/>
              </w:rPr>
            </w:pPr>
          </w:p>
          <w:p w14:paraId="7D082AB9">
            <w:pPr>
              <w:keepNext w:val="0"/>
              <w:keepLines w:val="0"/>
              <w:suppressLineNumbers w:val="0"/>
              <w:spacing w:before="0" w:beforeAutospacing="0" w:after="0" w:afterAutospacing="0"/>
              <w:ind w:left="0" w:right="0"/>
              <w:rPr>
                <w:rFonts w:hint="default" w:ascii="宋体"/>
                <w:b/>
                <w:szCs w:val="21"/>
              </w:rPr>
            </w:pPr>
          </w:p>
          <w:p w14:paraId="64EE4DCA">
            <w:pPr>
              <w:keepNext w:val="0"/>
              <w:keepLines w:val="0"/>
              <w:suppressLineNumbers w:val="0"/>
              <w:spacing w:before="0" w:beforeAutospacing="0" w:after="0" w:afterAutospacing="0"/>
              <w:ind w:left="0" w:right="240"/>
              <w:jc w:val="right"/>
              <w:rPr>
                <w:rFonts w:hint="default" w:ascii="宋体"/>
                <w:szCs w:val="21"/>
              </w:rPr>
            </w:pPr>
          </w:p>
        </w:tc>
      </w:tr>
      <w:tr w14:paraId="1E235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noWrap w:val="0"/>
            <w:vAlign w:val="center"/>
          </w:tcPr>
          <w:p w14:paraId="4B75F5CA">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记录人</w:t>
            </w:r>
          </w:p>
        </w:tc>
        <w:tc>
          <w:tcPr>
            <w:tcW w:w="2130" w:type="dxa"/>
            <w:noWrap w:val="0"/>
            <w:vAlign w:val="center"/>
          </w:tcPr>
          <w:p w14:paraId="70B58FD5">
            <w:pPr>
              <w:keepNext w:val="0"/>
              <w:keepLines w:val="0"/>
              <w:suppressLineNumbers w:val="0"/>
              <w:spacing w:before="0" w:beforeAutospacing="0" w:after="0" w:afterAutospacing="0"/>
              <w:ind w:left="0" w:right="0"/>
              <w:rPr>
                <w:rFonts w:hint="default" w:ascii="宋体"/>
                <w:szCs w:val="21"/>
              </w:rPr>
            </w:pPr>
          </w:p>
        </w:tc>
        <w:tc>
          <w:tcPr>
            <w:tcW w:w="2131" w:type="dxa"/>
            <w:noWrap w:val="0"/>
            <w:vAlign w:val="center"/>
          </w:tcPr>
          <w:p w14:paraId="3B37A081">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审核</w:t>
            </w:r>
          </w:p>
        </w:tc>
        <w:tc>
          <w:tcPr>
            <w:tcW w:w="2704" w:type="dxa"/>
            <w:noWrap w:val="0"/>
            <w:vAlign w:val="center"/>
          </w:tcPr>
          <w:p w14:paraId="5FD26579">
            <w:pPr>
              <w:keepNext w:val="0"/>
              <w:keepLines w:val="0"/>
              <w:suppressLineNumbers w:val="0"/>
              <w:spacing w:before="0" w:beforeAutospacing="0" w:after="0" w:afterAutospacing="0"/>
              <w:ind w:left="0" w:right="0"/>
              <w:rPr>
                <w:rFonts w:hint="default" w:ascii="宋体"/>
                <w:szCs w:val="21"/>
              </w:rPr>
            </w:pPr>
          </w:p>
        </w:tc>
      </w:tr>
    </w:tbl>
    <w:p w14:paraId="7A86AA0A">
      <w:pPr>
        <w:jc w:val="center"/>
        <w:rPr>
          <w:szCs w:val="22"/>
        </w:rPr>
      </w:pPr>
    </w:p>
    <w:p w14:paraId="2A7AD842">
      <w:pPr>
        <w:jc w:val="center"/>
        <w:rPr>
          <w:szCs w:val="22"/>
        </w:rPr>
      </w:pPr>
    </w:p>
    <w:p w14:paraId="45EA6AAD">
      <w:pPr>
        <w:jc w:val="center"/>
        <w:rPr>
          <w:szCs w:val="22"/>
        </w:rPr>
      </w:pPr>
    </w:p>
    <w:p w14:paraId="261B7CF0">
      <w:pPr>
        <w:rPr>
          <w:rFonts w:hint="eastAsia"/>
          <w:szCs w:val="22"/>
        </w:rPr>
      </w:pPr>
    </w:p>
    <w:p w14:paraId="1CBD88FC">
      <w:pPr>
        <w:jc w:val="center"/>
        <w:rPr>
          <w:rFonts w:hint="eastAsia"/>
          <w:szCs w:val="22"/>
        </w:rPr>
      </w:pPr>
    </w:p>
    <w:p w14:paraId="55910FF1">
      <w:pPr>
        <w:jc w:val="center"/>
        <w:rPr>
          <w:szCs w:val="22"/>
        </w:rPr>
      </w:pPr>
    </w:p>
    <w:bookmarkEnd w:id="686"/>
    <w:bookmarkEnd w:id="687"/>
    <w:bookmarkEnd w:id="688"/>
    <w:p w14:paraId="50E94292">
      <w:pPr>
        <w:jc w:val="center"/>
        <w:rPr>
          <w:szCs w:val="22"/>
        </w:rPr>
      </w:pPr>
      <w:bookmarkStart w:id="689" w:name="_Toc7361"/>
      <w:bookmarkEnd w:id="689"/>
      <w:bookmarkStart w:id="690" w:name="_Toc17657"/>
      <w:bookmarkEnd w:id="690"/>
      <w:bookmarkStart w:id="691" w:name="_Toc12503"/>
      <w:bookmarkEnd w:id="691"/>
      <w:bookmarkStart w:id="692" w:name="_Toc6085"/>
      <w:bookmarkEnd w:id="692"/>
      <w:r>
        <w:rPr>
          <w:rFonts w:hint="eastAsia"/>
          <w:szCs w:val="22"/>
        </w:rPr>
        <w:t>附录B</w:t>
      </w:r>
      <w:r>
        <w:rPr>
          <w:szCs w:val="22"/>
        </w:rPr>
        <w:br w:type="textWrapping"/>
      </w:r>
      <w:r>
        <w:rPr>
          <w:rFonts w:hint="eastAsia"/>
          <w:szCs w:val="22"/>
        </w:rPr>
        <w:t>（规范性附录）</w:t>
      </w:r>
    </w:p>
    <w:p w14:paraId="0329662B">
      <w:pPr>
        <w:jc w:val="center"/>
        <w:rPr>
          <w:szCs w:val="22"/>
        </w:rPr>
      </w:pPr>
      <w:r>
        <w:rPr>
          <w:rFonts w:hint="eastAsia"/>
          <w:szCs w:val="22"/>
        </w:rPr>
        <w:t>工程设计变更申请审批表（建设单位）</w:t>
      </w:r>
    </w:p>
    <w:p w14:paraId="52BC295A">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2</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53F3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noWrap w:val="0"/>
            <w:vAlign w:val="center"/>
          </w:tcPr>
          <w:p w14:paraId="7A16004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noWrap w:val="0"/>
            <w:vAlign w:val="center"/>
          </w:tcPr>
          <w:p w14:paraId="5064759C">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12" w:space="0"/>
              <w:left w:val="single" w:color="auto" w:sz="6" w:space="0"/>
              <w:bottom w:val="single" w:color="auto" w:sz="6" w:space="0"/>
              <w:right w:val="single" w:color="auto" w:sz="6" w:space="0"/>
            </w:tcBorders>
            <w:noWrap w:val="0"/>
            <w:vAlign w:val="center"/>
          </w:tcPr>
          <w:p w14:paraId="105AE74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noWrap w:val="0"/>
            <w:vAlign w:val="center"/>
          </w:tcPr>
          <w:p w14:paraId="6F1EEAE7">
            <w:pPr>
              <w:keepNext w:val="0"/>
              <w:keepLines w:val="0"/>
              <w:suppressLineNumbers w:val="0"/>
              <w:snapToGrid w:val="0"/>
              <w:spacing w:before="0" w:beforeAutospacing="0" w:after="0" w:afterAutospacing="0"/>
              <w:ind w:left="0" w:right="0"/>
              <w:jc w:val="center"/>
              <w:rPr>
                <w:rFonts w:hint="default"/>
                <w:sz w:val="24"/>
                <w:szCs w:val="22"/>
              </w:rPr>
            </w:pPr>
          </w:p>
        </w:tc>
      </w:tr>
      <w:tr w14:paraId="5F73E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noWrap w:val="0"/>
            <w:vAlign w:val="center"/>
          </w:tcPr>
          <w:p w14:paraId="61805E0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noWrap w:val="0"/>
            <w:vAlign w:val="center"/>
          </w:tcPr>
          <w:p w14:paraId="010A0342">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14:paraId="557B3F09">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noWrap w:val="0"/>
            <w:vAlign w:val="center"/>
          </w:tcPr>
          <w:p w14:paraId="1C7CF502">
            <w:pPr>
              <w:keepNext w:val="0"/>
              <w:keepLines w:val="0"/>
              <w:suppressLineNumbers w:val="0"/>
              <w:snapToGrid w:val="0"/>
              <w:spacing w:before="0" w:beforeAutospacing="0" w:after="0" w:afterAutospacing="0"/>
              <w:ind w:left="0" w:right="0"/>
              <w:jc w:val="center"/>
              <w:rPr>
                <w:rFonts w:hint="default"/>
                <w:sz w:val="24"/>
                <w:szCs w:val="22"/>
              </w:rPr>
            </w:pPr>
          </w:p>
        </w:tc>
      </w:tr>
      <w:tr w14:paraId="4854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noWrap w:val="0"/>
            <w:vAlign w:val="center"/>
          </w:tcPr>
          <w:p w14:paraId="5B1454C4">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08121103">
            <w:pPr>
              <w:keepNext w:val="0"/>
              <w:keepLines w:val="0"/>
              <w:suppressLineNumbers w:val="0"/>
              <w:snapToGrid w:val="0"/>
              <w:spacing w:before="0" w:beforeAutospacing="0" w:after="0" w:afterAutospacing="0"/>
              <w:ind w:left="0" w:right="0"/>
              <w:rPr>
                <w:rFonts w:hint="default"/>
                <w:sz w:val="24"/>
                <w:szCs w:val="22"/>
              </w:rPr>
            </w:pPr>
          </w:p>
          <w:p w14:paraId="28521982">
            <w:pPr>
              <w:keepNext w:val="0"/>
              <w:keepLines w:val="0"/>
              <w:suppressLineNumbers w:val="0"/>
              <w:snapToGrid w:val="0"/>
              <w:spacing w:before="0" w:beforeAutospacing="0" w:after="0" w:afterAutospacing="0"/>
              <w:ind w:left="0" w:right="0"/>
              <w:rPr>
                <w:rFonts w:hint="default"/>
                <w:sz w:val="24"/>
                <w:szCs w:val="22"/>
              </w:rPr>
            </w:pPr>
          </w:p>
          <w:p w14:paraId="106DE8F3">
            <w:pPr>
              <w:keepNext w:val="0"/>
              <w:keepLines w:val="0"/>
              <w:suppressLineNumbers w:val="0"/>
              <w:snapToGrid w:val="0"/>
              <w:spacing w:before="0" w:beforeAutospacing="0" w:after="0" w:afterAutospacing="0"/>
              <w:ind w:left="0" w:right="0"/>
              <w:rPr>
                <w:rFonts w:hint="default"/>
                <w:sz w:val="24"/>
                <w:szCs w:val="22"/>
              </w:rPr>
            </w:pPr>
          </w:p>
          <w:p w14:paraId="2369D734">
            <w:pPr>
              <w:keepNext w:val="0"/>
              <w:keepLines w:val="0"/>
              <w:suppressLineNumbers w:val="0"/>
              <w:snapToGrid w:val="0"/>
              <w:spacing w:before="0" w:beforeAutospacing="0" w:after="0" w:afterAutospacing="0"/>
              <w:ind w:left="0" w:right="0"/>
              <w:rPr>
                <w:rFonts w:hint="default"/>
                <w:sz w:val="24"/>
                <w:szCs w:val="22"/>
              </w:rPr>
            </w:pPr>
          </w:p>
          <w:p w14:paraId="43B86B93">
            <w:pPr>
              <w:keepNext w:val="0"/>
              <w:keepLines w:val="0"/>
              <w:suppressLineNumbers w:val="0"/>
              <w:snapToGrid w:val="0"/>
              <w:spacing w:before="0" w:beforeAutospacing="0" w:after="0" w:afterAutospacing="0"/>
              <w:ind w:left="0" w:right="0"/>
              <w:rPr>
                <w:rFonts w:hint="default"/>
                <w:sz w:val="24"/>
                <w:szCs w:val="22"/>
              </w:rPr>
            </w:pPr>
          </w:p>
          <w:p w14:paraId="0C069AFD">
            <w:pPr>
              <w:keepNext w:val="0"/>
              <w:keepLines w:val="0"/>
              <w:suppressLineNumbers w:val="0"/>
              <w:snapToGrid w:val="0"/>
              <w:spacing w:before="0" w:beforeAutospacing="0" w:after="0" w:afterAutospacing="0"/>
              <w:ind w:left="0" w:right="0"/>
              <w:rPr>
                <w:rFonts w:hint="default"/>
                <w:sz w:val="24"/>
                <w:szCs w:val="22"/>
              </w:rPr>
            </w:pPr>
          </w:p>
          <w:p w14:paraId="09264456">
            <w:pPr>
              <w:keepNext w:val="0"/>
              <w:keepLines w:val="0"/>
              <w:suppressLineNumbers w:val="0"/>
              <w:snapToGrid w:val="0"/>
              <w:spacing w:before="0" w:beforeAutospacing="0" w:after="0" w:afterAutospacing="0"/>
              <w:ind w:left="0" w:right="0"/>
              <w:rPr>
                <w:rFonts w:hint="default"/>
                <w:sz w:val="24"/>
                <w:szCs w:val="22"/>
              </w:rPr>
            </w:pPr>
          </w:p>
          <w:p w14:paraId="5F567B9A">
            <w:pPr>
              <w:keepNext w:val="0"/>
              <w:keepLines w:val="0"/>
              <w:suppressLineNumbers w:val="0"/>
              <w:snapToGrid w:val="0"/>
              <w:spacing w:before="0" w:beforeAutospacing="0" w:after="0" w:afterAutospacing="0"/>
              <w:ind w:left="0" w:right="0"/>
              <w:rPr>
                <w:rFonts w:hint="default"/>
                <w:sz w:val="24"/>
                <w:szCs w:val="22"/>
              </w:rPr>
            </w:pPr>
          </w:p>
          <w:p w14:paraId="79A9C87D">
            <w:pPr>
              <w:keepNext w:val="0"/>
              <w:keepLines w:val="0"/>
              <w:suppressLineNumbers w:val="0"/>
              <w:snapToGrid w:val="0"/>
              <w:spacing w:before="0" w:beforeAutospacing="0" w:after="0" w:afterAutospacing="0"/>
              <w:ind w:left="0" w:right="0"/>
              <w:rPr>
                <w:rFonts w:hint="default"/>
                <w:sz w:val="24"/>
                <w:szCs w:val="22"/>
              </w:rPr>
            </w:pPr>
          </w:p>
          <w:p w14:paraId="729628B5">
            <w:pPr>
              <w:keepNext w:val="0"/>
              <w:keepLines w:val="0"/>
              <w:suppressLineNumbers w:val="0"/>
              <w:snapToGrid w:val="0"/>
              <w:spacing w:before="0" w:beforeAutospacing="0" w:after="0" w:afterAutospacing="0"/>
              <w:ind w:left="0" w:right="0"/>
              <w:rPr>
                <w:rFonts w:hint="default"/>
                <w:sz w:val="24"/>
                <w:szCs w:val="22"/>
              </w:rPr>
            </w:pPr>
          </w:p>
          <w:p w14:paraId="28ABD88A">
            <w:pPr>
              <w:keepNext w:val="0"/>
              <w:keepLines w:val="0"/>
              <w:suppressLineNumbers w:val="0"/>
              <w:snapToGrid w:val="0"/>
              <w:spacing w:before="0" w:beforeAutospacing="0" w:after="0" w:afterAutospacing="0"/>
              <w:ind w:left="0" w:right="0"/>
              <w:rPr>
                <w:rFonts w:hint="default"/>
                <w:sz w:val="24"/>
                <w:szCs w:val="22"/>
              </w:rPr>
            </w:pPr>
          </w:p>
        </w:tc>
      </w:tr>
      <w:tr w14:paraId="623C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noWrap w:val="0"/>
            <w:vAlign w:val="center"/>
          </w:tcPr>
          <w:p w14:paraId="5AEBD80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专业技术负责人：</w:t>
            </w:r>
          </w:p>
          <w:p w14:paraId="53281FE7">
            <w:pPr>
              <w:keepNext w:val="0"/>
              <w:keepLines w:val="0"/>
              <w:suppressLineNumbers w:val="0"/>
              <w:snapToGrid w:val="0"/>
              <w:spacing w:before="0" w:beforeAutospacing="0" w:after="0" w:afterAutospacing="0"/>
              <w:ind w:left="0" w:right="0"/>
              <w:rPr>
                <w:rFonts w:hint="default"/>
                <w:sz w:val="24"/>
                <w:szCs w:val="22"/>
              </w:rPr>
            </w:pPr>
          </w:p>
          <w:p w14:paraId="50E36F8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项目技术负责人：</w:t>
            </w:r>
          </w:p>
          <w:p w14:paraId="044CB49D">
            <w:pPr>
              <w:keepNext w:val="0"/>
              <w:keepLines w:val="0"/>
              <w:suppressLineNumbers w:val="0"/>
              <w:snapToGrid w:val="0"/>
              <w:spacing w:before="0" w:beforeAutospacing="0" w:after="0" w:afterAutospacing="0"/>
              <w:ind w:left="0" w:right="0"/>
              <w:rPr>
                <w:rFonts w:hint="default"/>
                <w:sz w:val="24"/>
                <w:szCs w:val="22"/>
              </w:rPr>
            </w:pPr>
          </w:p>
        </w:tc>
      </w:tr>
      <w:tr w14:paraId="4BF6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noWrap w:val="0"/>
            <w:vAlign w:val="center"/>
          </w:tcPr>
          <w:p w14:paraId="71B5EF6C">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0F52F841">
            <w:pPr>
              <w:keepNext w:val="0"/>
              <w:keepLines w:val="0"/>
              <w:suppressLineNumbers w:val="0"/>
              <w:snapToGrid w:val="0"/>
              <w:spacing w:before="0" w:beforeAutospacing="0" w:after="0" w:afterAutospacing="0"/>
              <w:ind w:left="0" w:right="0"/>
              <w:rPr>
                <w:rFonts w:hint="default"/>
                <w:sz w:val="24"/>
                <w:szCs w:val="22"/>
              </w:rPr>
            </w:pPr>
          </w:p>
          <w:p w14:paraId="55EE029F">
            <w:pPr>
              <w:keepNext w:val="0"/>
              <w:keepLines w:val="0"/>
              <w:suppressLineNumbers w:val="0"/>
              <w:spacing w:before="0" w:beforeAutospacing="0" w:after="0" w:afterAutospacing="0"/>
              <w:ind w:left="0" w:right="0"/>
              <w:rPr>
                <w:rFonts w:hint="default"/>
                <w:szCs w:val="22"/>
              </w:rPr>
            </w:pPr>
          </w:p>
          <w:p w14:paraId="1DAB7542">
            <w:pPr>
              <w:keepNext w:val="0"/>
              <w:keepLines w:val="0"/>
              <w:suppressLineNumbers w:val="0"/>
              <w:spacing w:before="0" w:beforeAutospacing="0" w:after="0" w:afterAutospacing="0"/>
              <w:ind w:left="0" w:right="0"/>
              <w:rPr>
                <w:rFonts w:hint="default"/>
                <w:szCs w:val="22"/>
              </w:rPr>
            </w:pPr>
          </w:p>
          <w:p w14:paraId="0CC691E3">
            <w:pPr>
              <w:keepNext w:val="0"/>
              <w:keepLines w:val="0"/>
              <w:suppressLineNumbers w:val="0"/>
              <w:snapToGrid w:val="0"/>
              <w:spacing w:before="0" w:beforeAutospacing="0" w:after="0" w:afterAutospacing="0"/>
              <w:ind w:left="0" w:right="0"/>
              <w:rPr>
                <w:rFonts w:hint="default"/>
                <w:sz w:val="24"/>
                <w:szCs w:val="22"/>
              </w:rPr>
            </w:pPr>
          </w:p>
        </w:tc>
        <w:tc>
          <w:tcPr>
            <w:tcW w:w="5599" w:type="dxa"/>
            <w:gridSpan w:val="3"/>
            <w:tcBorders>
              <w:top w:val="single" w:color="auto" w:sz="6" w:space="0"/>
              <w:left w:val="single" w:color="auto" w:sz="6" w:space="0"/>
              <w:bottom w:val="single" w:color="auto" w:sz="6" w:space="0"/>
              <w:right w:val="single" w:color="auto" w:sz="12" w:space="0"/>
            </w:tcBorders>
            <w:noWrap w:val="0"/>
            <w:vAlign w:val="center"/>
          </w:tcPr>
          <w:p w14:paraId="51FAA033">
            <w:pPr>
              <w:keepNext w:val="0"/>
              <w:keepLines w:val="0"/>
              <w:suppressLineNumbers w:val="0"/>
              <w:spacing w:before="0" w:beforeAutospacing="0" w:after="0" w:afterAutospacing="0"/>
              <w:ind w:left="0" w:right="0"/>
              <w:rPr>
                <w:rFonts w:hint="default"/>
                <w:szCs w:val="22"/>
              </w:rPr>
            </w:pPr>
            <w:r>
              <w:rPr>
                <w:rFonts w:hint="eastAsia"/>
                <w:sz w:val="24"/>
                <w:szCs w:val="22"/>
              </w:rPr>
              <w:t>预决算审核意见</w:t>
            </w:r>
          </w:p>
          <w:p w14:paraId="2A3B651C">
            <w:pPr>
              <w:keepNext w:val="0"/>
              <w:keepLines w:val="0"/>
              <w:suppressLineNumbers w:val="0"/>
              <w:spacing w:before="0" w:beforeAutospacing="0" w:after="0" w:afterAutospacing="0"/>
              <w:ind w:left="0" w:right="0"/>
              <w:rPr>
                <w:rFonts w:hint="default"/>
                <w:szCs w:val="22"/>
              </w:rPr>
            </w:pPr>
          </w:p>
          <w:p w14:paraId="559B6D5C">
            <w:pPr>
              <w:keepNext w:val="0"/>
              <w:keepLines w:val="0"/>
              <w:suppressLineNumbers w:val="0"/>
              <w:spacing w:before="0" w:beforeAutospacing="0" w:after="0" w:afterAutospacing="0"/>
              <w:ind w:left="0" w:right="0"/>
              <w:rPr>
                <w:rFonts w:hint="default"/>
                <w:szCs w:val="22"/>
              </w:rPr>
            </w:pPr>
          </w:p>
          <w:p w14:paraId="5A4F90E6">
            <w:pPr>
              <w:keepNext w:val="0"/>
              <w:keepLines w:val="0"/>
              <w:suppressLineNumbers w:val="0"/>
              <w:spacing w:before="0" w:beforeAutospacing="0" w:after="0" w:afterAutospacing="0"/>
              <w:ind w:left="0" w:right="0"/>
              <w:rPr>
                <w:rFonts w:hint="default"/>
                <w:szCs w:val="22"/>
              </w:rPr>
            </w:pPr>
          </w:p>
          <w:p w14:paraId="65E807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 xml:space="preserve"> </w:t>
            </w:r>
          </w:p>
          <w:p w14:paraId="75D5251A">
            <w:pPr>
              <w:keepNext w:val="0"/>
              <w:keepLines w:val="0"/>
              <w:suppressLineNumbers w:val="0"/>
              <w:snapToGrid w:val="0"/>
              <w:spacing w:before="0" w:beforeAutospacing="0" w:after="0" w:afterAutospacing="0"/>
              <w:ind w:left="0" w:right="0"/>
              <w:rPr>
                <w:rFonts w:hint="default"/>
                <w:sz w:val="24"/>
                <w:szCs w:val="22"/>
              </w:rPr>
            </w:pPr>
          </w:p>
        </w:tc>
      </w:tr>
      <w:tr w14:paraId="14B7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noWrap w:val="0"/>
            <w:vAlign w:val="center"/>
          </w:tcPr>
          <w:p w14:paraId="351AF6AE">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5882236E">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noWrap w:val="0"/>
            <w:vAlign w:val="center"/>
          </w:tcPr>
          <w:p w14:paraId="275B4681">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6FD1CA16">
            <w:pPr>
              <w:keepNext w:val="0"/>
              <w:keepLines w:val="0"/>
              <w:suppressLineNumbers w:val="0"/>
              <w:snapToGrid w:val="0"/>
              <w:spacing w:before="0" w:beforeAutospacing="0" w:after="0" w:afterAutospacing="0"/>
              <w:ind w:left="0" w:right="0"/>
              <w:rPr>
                <w:rFonts w:hint="default"/>
                <w:sz w:val="24"/>
                <w:szCs w:val="22"/>
              </w:rPr>
            </w:pPr>
          </w:p>
          <w:p w14:paraId="55888538">
            <w:pPr>
              <w:keepNext w:val="0"/>
              <w:keepLines w:val="0"/>
              <w:suppressLineNumbers w:val="0"/>
              <w:snapToGrid w:val="0"/>
              <w:spacing w:before="0" w:beforeAutospacing="0" w:after="0" w:afterAutospacing="0"/>
              <w:ind w:left="0" w:right="0"/>
              <w:rPr>
                <w:rFonts w:hint="default"/>
                <w:sz w:val="24"/>
                <w:szCs w:val="22"/>
              </w:rPr>
            </w:pPr>
          </w:p>
        </w:tc>
      </w:tr>
      <w:tr w14:paraId="52AC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noWrap w:val="0"/>
            <w:vAlign w:val="center"/>
          </w:tcPr>
          <w:p w14:paraId="19B478D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noWrap w:val="0"/>
            <w:vAlign w:val="center"/>
          </w:tcPr>
          <w:p w14:paraId="7738A5F2">
            <w:pPr>
              <w:keepNext w:val="0"/>
              <w:keepLines w:val="0"/>
              <w:widowControl/>
              <w:suppressLineNumbers w:val="0"/>
              <w:spacing w:before="0" w:beforeAutospacing="0" w:after="0" w:afterAutospacing="0"/>
              <w:ind w:left="0" w:right="0"/>
              <w:jc w:val="left"/>
              <w:rPr>
                <w:rFonts w:hint="default"/>
                <w:sz w:val="24"/>
                <w:szCs w:val="22"/>
              </w:rPr>
            </w:pPr>
          </w:p>
          <w:p w14:paraId="6E1F21F4">
            <w:pPr>
              <w:keepNext w:val="0"/>
              <w:keepLines w:val="0"/>
              <w:suppressLineNumbers w:val="0"/>
              <w:snapToGrid w:val="0"/>
              <w:spacing w:before="0" w:beforeAutospacing="0" w:after="0" w:afterAutospacing="0"/>
              <w:ind w:left="0" w:right="0"/>
              <w:rPr>
                <w:rFonts w:hint="default"/>
                <w:sz w:val="24"/>
                <w:szCs w:val="22"/>
              </w:rPr>
            </w:pPr>
          </w:p>
        </w:tc>
      </w:tr>
      <w:tr w14:paraId="1EDE5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noWrap w:val="0"/>
            <w:vAlign w:val="center"/>
          </w:tcPr>
          <w:p w14:paraId="652292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公司分管领导审核意见：</w:t>
            </w:r>
          </w:p>
          <w:p w14:paraId="435D0CD3">
            <w:pPr>
              <w:keepNext w:val="0"/>
              <w:keepLines w:val="0"/>
              <w:suppressLineNumbers w:val="0"/>
              <w:snapToGrid w:val="0"/>
              <w:spacing w:before="0" w:beforeAutospacing="0" w:after="0" w:afterAutospacing="0"/>
              <w:ind w:left="0" w:right="0"/>
              <w:rPr>
                <w:rFonts w:hint="default"/>
                <w:sz w:val="24"/>
                <w:szCs w:val="22"/>
              </w:rPr>
            </w:pPr>
          </w:p>
          <w:p w14:paraId="76BD6D5C">
            <w:pPr>
              <w:keepNext w:val="0"/>
              <w:keepLines w:val="0"/>
              <w:suppressLineNumbers w:val="0"/>
              <w:snapToGrid w:val="0"/>
              <w:spacing w:before="0" w:beforeAutospacing="0" w:after="0" w:afterAutospacing="0"/>
              <w:ind w:left="0" w:right="0"/>
              <w:rPr>
                <w:rFonts w:hint="default"/>
                <w:sz w:val="24"/>
                <w:szCs w:val="22"/>
              </w:rPr>
            </w:pPr>
          </w:p>
          <w:p w14:paraId="3171E47A">
            <w:pPr>
              <w:keepNext w:val="0"/>
              <w:keepLines w:val="0"/>
              <w:suppressLineNumbers w:val="0"/>
              <w:snapToGrid w:val="0"/>
              <w:spacing w:before="0" w:beforeAutospacing="0" w:after="0" w:afterAutospacing="0"/>
              <w:ind w:left="0" w:right="0"/>
              <w:rPr>
                <w:rFonts w:hint="default"/>
                <w:sz w:val="24"/>
                <w:szCs w:val="22"/>
              </w:rPr>
            </w:pPr>
          </w:p>
        </w:tc>
      </w:tr>
    </w:tbl>
    <w:p w14:paraId="6B348119">
      <w:pPr>
        <w:keepNext/>
        <w:pageBreakBefore/>
        <w:widowControl/>
        <w:numPr>
          <w:ilvl w:val="0"/>
          <w:numId w:val="0"/>
        </w:numPr>
        <w:spacing w:line="14" w:lineRule="exact"/>
        <w:ind w:left="0" w:firstLine="363"/>
        <w:jc w:val="both"/>
        <w:outlineLvl w:val="9"/>
        <w:rPr>
          <w:rFonts w:hint="eastAsia" w:ascii="Times New Roman" w:hAnsi="Times New Roman" w:eastAsia="宋体" w:cs="Times New Roman"/>
          <w:color w:val="auto"/>
          <w:kern w:val="2"/>
          <w:sz w:val="21"/>
          <w:szCs w:val="24"/>
          <w:lang w:val="en-US" w:eastAsia="zh-CN" w:bidi="ar-SA"/>
        </w:rPr>
      </w:pPr>
    </w:p>
    <w:p w14:paraId="135ACECE">
      <w:pPr>
        <w:rPr>
          <w:rFonts w:hint="eastAsia"/>
          <w:szCs w:val="22"/>
        </w:rPr>
      </w:pPr>
    </w:p>
    <w:p w14:paraId="7855FC10">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18D7A02E">
      <w:pPr>
        <w:jc w:val="center"/>
        <w:rPr>
          <w:szCs w:val="22"/>
        </w:rPr>
      </w:pPr>
      <w:r>
        <w:rPr>
          <w:rFonts w:hint="eastAsia"/>
          <w:szCs w:val="22"/>
        </w:rPr>
        <w:t>工程设计变更申请审批表（设计单位）</w:t>
      </w:r>
    </w:p>
    <w:p w14:paraId="5E6E2E46">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3</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57F0D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noWrap w:val="0"/>
            <w:vAlign w:val="center"/>
          </w:tcPr>
          <w:p w14:paraId="27B24501">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noWrap w:val="0"/>
            <w:vAlign w:val="center"/>
          </w:tcPr>
          <w:p w14:paraId="0D457C4B">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12" w:space="0"/>
              <w:left w:val="single" w:color="auto" w:sz="6" w:space="0"/>
              <w:bottom w:val="single" w:color="auto" w:sz="6" w:space="0"/>
              <w:right w:val="single" w:color="auto" w:sz="6" w:space="0"/>
            </w:tcBorders>
            <w:noWrap w:val="0"/>
            <w:vAlign w:val="center"/>
          </w:tcPr>
          <w:p w14:paraId="5A66C9D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noWrap w:val="0"/>
            <w:vAlign w:val="center"/>
          </w:tcPr>
          <w:p w14:paraId="773DFFCE">
            <w:pPr>
              <w:keepNext w:val="0"/>
              <w:keepLines w:val="0"/>
              <w:suppressLineNumbers w:val="0"/>
              <w:snapToGrid w:val="0"/>
              <w:spacing w:before="0" w:beforeAutospacing="0" w:after="0" w:afterAutospacing="0"/>
              <w:ind w:left="0" w:right="0"/>
              <w:jc w:val="center"/>
              <w:rPr>
                <w:rFonts w:hint="default"/>
                <w:sz w:val="24"/>
                <w:szCs w:val="22"/>
              </w:rPr>
            </w:pPr>
          </w:p>
        </w:tc>
      </w:tr>
      <w:tr w14:paraId="3D7F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noWrap w:val="0"/>
            <w:vAlign w:val="center"/>
          </w:tcPr>
          <w:p w14:paraId="4AE65F1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noWrap w:val="0"/>
            <w:vAlign w:val="center"/>
          </w:tcPr>
          <w:p w14:paraId="48E475A7">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6" w:space="0"/>
              <w:left w:val="single" w:color="auto" w:sz="6" w:space="0"/>
              <w:bottom w:val="single" w:color="auto" w:sz="6" w:space="0"/>
              <w:right w:val="single" w:color="auto" w:sz="6" w:space="0"/>
            </w:tcBorders>
            <w:noWrap w:val="0"/>
            <w:vAlign w:val="center"/>
          </w:tcPr>
          <w:p w14:paraId="021427DD">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noWrap w:val="0"/>
            <w:vAlign w:val="center"/>
          </w:tcPr>
          <w:p w14:paraId="37CC9379">
            <w:pPr>
              <w:keepNext w:val="0"/>
              <w:keepLines w:val="0"/>
              <w:suppressLineNumbers w:val="0"/>
              <w:snapToGrid w:val="0"/>
              <w:spacing w:before="0" w:beforeAutospacing="0" w:after="0" w:afterAutospacing="0"/>
              <w:ind w:left="0" w:right="0"/>
              <w:jc w:val="center"/>
              <w:rPr>
                <w:rFonts w:hint="default"/>
                <w:sz w:val="24"/>
                <w:szCs w:val="22"/>
              </w:rPr>
            </w:pPr>
          </w:p>
        </w:tc>
      </w:tr>
      <w:tr w14:paraId="330A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noWrap w:val="0"/>
            <w:vAlign w:val="center"/>
          </w:tcPr>
          <w:p w14:paraId="0A79056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18D1426">
            <w:pPr>
              <w:keepNext w:val="0"/>
              <w:keepLines w:val="0"/>
              <w:suppressLineNumbers w:val="0"/>
              <w:snapToGrid w:val="0"/>
              <w:spacing w:before="0" w:beforeAutospacing="0" w:after="0" w:afterAutospacing="0"/>
              <w:ind w:left="0" w:right="0"/>
              <w:rPr>
                <w:rFonts w:hint="default"/>
                <w:sz w:val="24"/>
                <w:szCs w:val="22"/>
              </w:rPr>
            </w:pPr>
          </w:p>
          <w:p w14:paraId="2B1E375C">
            <w:pPr>
              <w:keepNext w:val="0"/>
              <w:keepLines w:val="0"/>
              <w:suppressLineNumbers w:val="0"/>
              <w:snapToGrid w:val="0"/>
              <w:spacing w:before="0" w:beforeAutospacing="0" w:after="0" w:afterAutospacing="0"/>
              <w:ind w:left="0" w:right="0"/>
              <w:rPr>
                <w:rFonts w:hint="default"/>
                <w:sz w:val="24"/>
                <w:szCs w:val="22"/>
              </w:rPr>
            </w:pPr>
          </w:p>
          <w:p w14:paraId="18BC8DFD">
            <w:pPr>
              <w:keepNext w:val="0"/>
              <w:keepLines w:val="0"/>
              <w:suppressLineNumbers w:val="0"/>
              <w:snapToGrid w:val="0"/>
              <w:spacing w:before="0" w:beforeAutospacing="0" w:after="0" w:afterAutospacing="0"/>
              <w:ind w:left="0" w:right="0"/>
              <w:rPr>
                <w:rFonts w:hint="default"/>
                <w:sz w:val="24"/>
                <w:szCs w:val="22"/>
              </w:rPr>
            </w:pPr>
          </w:p>
          <w:p w14:paraId="66AF5F21">
            <w:pPr>
              <w:keepNext w:val="0"/>
              <w:keepLines w:val="0"/>
              <w:suppressLineNumbers w:val="0"/>
              <w:snapToGrid w:val="0"/>
              <w:spacing w:before="0" w:beforeAutospacing="0" w:after="0" w:afterAutospacing="0"/>
              <w:ind w:left="0" w:right="0"/>
              <w:rPr>
                <w:rFonts w:hint="default"/>
                <w:sz w:val="24"/>
                <w:szCs w:val="22"/>
              </w:rPr>
            </w:pPr>
          </w:p>
          <w:p w14:paraId="67FA93D9">
            <w:pPr>
              <w:keepNext w:val="0"/>
              <w:keepLines w:val="0"/>
              <w:suppressLineNumbers w:val="0"/>
              <w:snapToGrid w:val="0"/>
              <w:spacing w:before="0" w:beforeAutospacing="0" w:after="0" w:afterAutospacing="0"/>
              <w:ind w:left="0" w:right="0"/>
              <w:rPr>
                <w:rFonts w:hint="default"/>
                <w:sz w:val="24"/>
                <w:szCs w:val="22"/>
              </w:rPr>
            </w:pPr>
          </w:p>
          <w:p w14:paraId="07A50105">
            <w:pPr>
              <w:keepNext w:val="0"/>
              <w:keepLines w:val="0"/>
              <w:suppressLineNumbers w:val="0"/>
              <w:snapToGrid w:val="0"/>
              <w:spacing w:before="0" w:beforeAutospacing="0" w:after="0" w:afterAutospacing="0"/>
              <w:ind w:left="0" w:right="0"/>
              <w:rPr>
                <w:rFonts w:hint="default"/>
                <w:sz w:val="24"/>
                <w:szCs w:val="22"/>
              </w:rPr>
            </w:pPr>
          </w:p>
          <w:p w14:paraId="6BDCD0F7">
            <w:pPr>
              <w:keepNext w:val="0"/>
              <w:keepLines w:val="0"/>
              <w:suppressLineNumbers w:val="0"/>
              <w:snapToGrid w:val="0"/>
              <w:spacing w:before="0" w:beforeAutospacing="0" w:after="0" w:afterAutospacing="0"/>
              <w:ind w:left="0" w:right="0"/>
              <w:rPr>
                <w:rFonts w:hint="default"/>
                <w:sz w:val="24"/>
                <w:szCs w:val="22"/>
              </w:rPr>
            </w:pPr>
          </w:p>
          <w:p w14:paraId="4546057B">
            <w:pPr>
              <w:keepNext w:val="0"/>
              <w:keepLines w:val="0"/>
              <w:suppressLineNumbers w:val="0"/>
              <w:snapToGrid w:val="0"/>
              <w:spacing w:before="0" w:beforeAutospacing="0" w:after="0" w:afterAutospacing="0"/>
              <w:ind w:left="0" w:right="0"/>
              <w:rPr>
                <w:rFonts w:hint="default"/>
                <w:sz w:val="24"/>
                <w:szCs w:val="22"/>
              </w:rPr>
            </w:pPr>
          </w:p>
          <w:p w14:paraId="6B5F89A5">
            <w:pPr>
              <w:keepNext w:val="0"/>
              <w:keepLines w:val="0"/>
              <w:suppressLineNumbers w:val="0"/>
              <w:snapToGrid w:val="0"/>
              <w:spacing w:before="0" w:beforeAutospacing="0" w:after="0" w:afterAutospacing="0"/>
              <w:ind w:left="0" w:right="0"/>
              <w:rPr>
                <w:rFonts w:hint="default"/>
                <w:sz w:val="24"/>
                <w:szCs w:val="22"/>
              </w:rPr>
            </w:pPr>
          </w:p>
          <w:p w14:paraId="2D79C294">
            <w:pPr>
              <w:keepNext w:val="0"/>
              <w:keepLines w:val="0"/>
              <w:suppressLineNumbers w:val="0"/>
              <w:snapToGrid w:val="0"/>
              <w:spacing w:before="0" w:beforeAutospacing="0" w:after="0" w:afterAutospacing="0"/>
              <w:ind w:left="0" w:right="0"/>
              <w:rPr>
                <w:rFonts w:hint="default"/>
                <w:sz w:val="24"/>
                <w:szCs w:val="22"/>
              </w:rPr>
            </w:pPr>
          </w:p>
          <w:p w14:paraId="5EA249A4">
            <w:pPr>
              <w:keepNext w:val="0"/>
              <w:keepLines w:val="0"/>
              <w:suppressLineNumbers w:val="0"/>
              <w:snapToGrid w:val="0"/>
              <w:spacing w:before="0" w:beforeAutospacing="0" w:after="0" w:afterAutospacing="0"/>
              <w:ind w:left="0" w:right="0"/>
              <w:rPr>
                <w:rFonts w:hint="default"/>
                <w:sz w:val="24"/>
                <w:szCs w:val="22"/>
              </w:rPr>
            </w:pPr>
          </w:p>
        </w:tc>
      </w:tr>
      <w:tr w14:paraId="35DD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noWrap w:val="0"/>
            <w:vAlign w:val="center"/>
          </w:tcPr>
          <w:p w14:paraId="60E733D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设计单位专业设计人员：</w:t>
            </w:r>
          </w:p>
          <w:p w14:paraId="6D67D2DE">
            <w:pPr>
              <w:keepNext w:val="0"/>
              <w:keepLines w:val="0"/>
              <w:suppressLineNumbers w:val="0"/>
              <w:snapToGrid w:val="0"/>
              <w:spacing w:before="0" w:beforeAutospacing="0" w:after="0" w:afterAutospacing="0"/>
              <w:ind w:left="0" w:right="0"/>
              <w:rPr>
                <w:rFonts w:hint="default"/>
                <w:sz w:val="24"/>
                <w:szCs w:val="22"/>
              </w:rPr>
            </w:pPr>
          </w:p>
          <w:p w14:paraId="7F7246E6">
            <w:pPr>
              <w:keepNext w:val="0"/>
              <w:keepLines w:val="0"/>
              <w:suppressLineNumbers w:val="0"/>
              <w:spacing w:before="0" w:beforeAutospacing="0" w:after="0" w:afterAutospacing="0"/>
              <w:ind w:left="0" w:right="0"/>
              <w:rPr>
                <w:rFonts w:hint="default"/>
                <w:szCs w:val="22"/>
              </w:rPr>
            </w:pPr>
          </w:p>
          <w:p w14:paraId="19E615DD">
            <w:pPr>
              <w:keepNext w:val="0"/>
              <w:keepLines w:val="0"/>
              <w:suppressLineNumbers w:val="0"/>
              <w:snapToGrid w:val="0"/>
              <w:spacing w:before="0" w:beforeAutospacing="0" w:after="0" w:afterAutospacing="0"/>
              <w:ind w:left="0" w:right="0"/>
              <w:rPr>
                <w:rFonts w:hint="default"/>
                <w:sz w:val="24"/>
                <w:szCs w:val="22"/>
              </w:rPr>
            </w:pPr>
          </w:p>
        </w:tc>
      </w:tr>
      <w:tr w14:paraId="1929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noWrap w:val="0"/>
            <w:vAlign w:val="center"/>
          </w:tcPr>
          <w:p w14:paraId="4C7D2F18">
            <w:pPr>
              <w:keepNext w:val="0"/>
              <w:keepLines w:val="0"/>
              <w:suppressLineNumbers w:val="0"/>
              <w:spacing w:before="0" w:beforeAutospacing="0" w:after="0" w:afterAutospacing="0"/>
              <w:ind w:left="0" w:right="0"/>
              <w:rPr>
                <w:rFonts w:hint="default"/>
                <w:szCs w:val="22"/>
              </w:rPr>
            </w:pPr>
          </w:p>
          <w:p w14:paraId="42C007CE">
            <w:pPr>
              <w:keepNext w:val="0"/>
              <w:keepLines w:val="0"/>
              <w:suppressLineNumbers w:val="0"/>
              <w:snapToGrid w:val="0"/>
              <w:spacing w:before="0" w:beforeAutospacing="0" w:after="0" w:afterAutospacing="0"/>
              <w:ind w:left="0" w:right="0"/>
              <w:rPr>
                <w:rFonts w:hint="default"/>
                <w:sz w:val="24"/>
                <w:szCs w:val="22"/>
              </w:rPr>
            </w:pPr>
          </w:p>
          <w:p w14:paraId="20CAEB4B">
            <w:pPr>
              <w:keepNext w:val="0"/>
              <w:keepLines w:val="0"/>
              <w:suppressLineNumbers w:val="0"/>
              <w:snapToGrid w:val="0"/>
              <w:spacing w:before="0" w:beforeAutospacing="0" w:after="0" w:afterAutospacing="0"/>
              <w:ind w:left="0" w:right="0"/>
              <w:rPr>
                <w:rFonts w:hint="default"/>
                <w:sz w:val="24"/>
                <w:szCs w:val="22"/>
              </w:rPr>
            </w:pPr>
          </w:p>
          <w:p w14:paraId="15CD128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23239C1E">
            <w:pPr>
              <w:keepNext w:val="0"/>
              <w:keepLines w:val="0"/>
              <w:suppressLineNumbers w:val="0"/>
              <w:snapToGrid w:val="0"/>
              <w:spacing w:before="0" w:beforeAutospacing="0" w:after="0" w:afterAutospacing="0"/>
              <w:ind w:left="0" w:right="0"/>
              <w:rPr>
                <w:rFonts w:hint="default"/>
                <w:sz w:val="24"/>
                <w:szCs w:val="22"/>
              </w:rPr>
            </w:pPr>
          </w:p>
          <w:p w14:paraId="067B6798">
            <w:pPr>
              <w:keepNext w:val="0"/>
              <w:keepLines w:val="0"/>
              <w:suppressLineNumbers w:val="0"/>
              <w:snapToGrid w:val="0"/>
              <w:spacing w:before="0" w:beforeAutospacing="0" w:after="0" w:afterAutospacing="0"/>
              <w:ind w:left="0" w:right="0"/>
              <w:rPr>
                <w:rFonts w:hint="default"/>
                <w:sz w:val="24"/>
                <w:szCs w:val="22"/>
              </w:rPr>
            </w:pPr>
          </w:p>
        </w:tc>
        <w:tc>
          <w:tcPr>
            <w:tcW w:w="5149" w:type="dxa"/>
            <w:gridSpan w:val="3"/>
            <w:tcBorders>
              <w:top w:val="single" w:color="auto" w:sz="6" w:space="0"/>
              <w:left w:val="single" w:color="auto" w:sz="6" w:space="0"/>
              <w:bottom w:val="single" w:color="auto" w:sz="6" w:space="0"/>
              <w:right w:val="single" w:color="auto" w:sz="12" w:space="0"/>
            </w:tcBorders>
            <w:noWrap w:val="0"/>
            <w:vAlign w:val="center"/>
          </w:tcPr>
          <w:p w14:paraId="0978015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06EDE0D8">
            <w:pPr>
              <w:keepNext w:val="0"/>
              <w:keepLines w:val="0"/>
              <w:suppressLineNumbers w:val="0"/>
              <w:snapToGrid w:val="0"/>
              <w:spacing w:before="0" w:beforeAutospacing="0" w:after="0" w:afterAutospacing="0"/>
              <w:ind w:left="0" w:right="0"/>
              <w:rPr>
                <w:rFonts w:hint="default"/>
                <w:sz w:val="24"/>
                <w:szCs w:val="22"/>
              </w:rPr>
            </w:pPr>
          </w:p>
          <w:p w14:paraId="65B7DB2A">
            <w:pPr>
              <w:keepNext w:val="0"/>
              <w:keepLines w:val="0"/>
              <w:suppressLineNumbers w:val="0"/>
              <w:snapToGrid w:val="0"/>
              <w:spacing w:before="0" w:beforeAutospacing="0" w:after="0" w:afterAutospacing="0"/>
              <w:ind w:left="0" w:right="0"/>
              <w:rPr>
                <w:rFonts w:hint="default"/>
                <w:sz w:val="24"/>
                <w:szCs w:val="22"/>
              </w:rPr>
            </w:pPr>
          </w:p>
          <w:p w14:paraId="6BEC0377">
            <w:pPr>
              <w:keepNext w:val="0"/>
              <w:keepLines w:val="0"/>
              <w:suppressLineNumbers w:val="0"/>
              <w:snapToGrid w:val="0"/>
              <w:spacing w:before="0" w:beforeAutospacing="0" w:after="0" w:afterAutospacing="0"/>
              <w:ind w:left="0" w:right="0"/>
              <w:rPr>
                <w:rFonts w:hint="default"/>
                <w:sz w:val="24"/>
                <w:szCs w:val="22"/>
              </w:rPr>
            </w:pPr>
          </w:p>
          <w:p w14:paraId="02FEA3F0">
            <w:pPr>
              <w:keepNext w:val="0"/>
              <w:keepLines w:val="0"/>
              <w:suppressLineNumbers w:val="0"/>
              <w:snapToGrid w:val="0"/>
              <w:spacing w:before="0" w:beforeAutospacing="0" w:after="0" w:afterAutospacing="0"/>
              <w:ind w:left="0" w:right="0"/>
              <w:rPr>
                <w:rFonts w:hint="default"/>
                <w:sz w:val="24"/>
                <w:szCs w:val="22"/>
              </w:rPr>
            </w:pPr>
          </w:p>
        </w:tc>
      </w:tr>
      <w:tr w14:paraId="52E52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noWrap w:val="0"/>
            <w:vAlign w:val="center"/>
          </w:tcPr>
          <w:p w14:paraId="2C3EA7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05E40F80">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noWrap w:val="0"/>
            <w:vAlign w:val="center"/>
          </w:tcPr>
          <w:p w14:paraId="0C5EA9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407B5458">
            <w:pPr>
              <w:keepNext w:val="0"/>
              <w:keepLines w:val="0"/>
              <w:suppressLineNumbers w:val="0"/>
              <w:snapToGrid w:val="0"/>
              <w:spacing w:before="0" w:beforeAutospacing="0" w:after="0" w:afterAutospacing="0"/>
              <w:ind w:left="0" w:right="0"/>
              <w:rPr>
                <w:rFonts w:hint="default"/>
                <w:sz w:val="24"/>
                <w:szCs w:val="22"/>
              </w:rPr>
            </w:pPr>
          </w:p>
          <w:p w14:paraId="2FF244FB">
            <w:pPr>
              <w:keepNext w:val="0"/>
              <w:keepLines w:val="0"/>
              <w:suppressLineNumbers w:val="0"/>
              <w:snapToGrid w:val="0"/>
              <w:spacing w:before="0" w:beforeAutospacing="0" w:after="0" w:afterAutospacing="0"/>
              <w:ind w:left="0" w:right="0"/>
              <w:rPr>
                <w:rFonts w:hint="default"/>
                <w:sz w:val="24"/>
                <w:szCs w:val="22"/>
              </w:rPr>
            </w:pPr>
          </w:p>
        </w:tc>
      </w:tr>
      <w:tr w14:paraId="38DC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noWrap w:val="0"/>
            <w:vAlign w:val="center"/>
          </w:tcPr>
          <w:p w14:paraId="2ADCB8C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noWrap w:val="0"/>
            <w:vAlign w:val="center"/>
          </w:tcPr>
          <w:p w14:paraId="1D873860">
            <w:pPr>
              <w:keepNext w:val="0"/>
              <w:keepLines w:val="0"/>
              <w:widowControl/>
              <w:suppressLineNumbers w:val="0"/>
              <w:spacing w:before="0" w:beforeAutospacing="0" w:after="0" w:afterAutospacing="0"/>
              <w:ind w:left="0" w:right="0"/>
              <w:jc w:val="left"/>
              <w:rPr>
                <w:rFonts w:hint="default"/>
                <w:sz w:val="24"/>
                <w:szCs w:val="22"/>
              </w:rPr>
            </w:pPr>
          </w:p>
          <w:p w14:paraId="0DB3672F">
            <w:pPr>
              <w:keepNext w:val="0"/>
              <w:keepLines w:val="0"/>
              <w:suppressLineNumbers w:val="0"/>
              <w:snapToGrid w:val="0"/>
              <w:spacing w:before="0" w:beforeAutospacing="0" w:after="0" w:afterAutospacing="0"/>
              <w:ind w:left="0" w:right="0"/>
              <w:rPr>
                <w:rFonts w:hint="default"/>
                <w:sz w:val="24"/>
                <w:szCs w:val="22"/>
              </w:rPr>
            </w:pPr>
          </w:p>
        </w:tc>
      </w:tr>
      <w:tr w14:paraId="18A9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noWrap w:val="0"/>
            <w:vAlign w:val="center"/>
          </w:tcPr>
          <w:p w14:paraId="4403D8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6B083FC1">
            <w:pPr>
              <w:keepNext w:val="0"/>
              <w:keepLines w:val="0"/>
              <w:suppressLineNumbers w:val="0"/>
              <w:snapToGrid w:val="0"/>
              <w:spacing w:before="0" w:beforeAutospacing="0" w:after="0" w:afterAutospacing="0"/>
              <w:ind w:left="0" w:right="0"/>
              <w:rPr>
                <w:rFonts w:hint="default"/>
                <w:sz w:val="24"/>
                <w:szCs w:val="22"/>
              </w:rPr>
            </w:pPr>
          </w:p>
          <w:p w14:paraId="6FB1687B">
            <w:pPr>
              <w:keepNext w:val="0"/>
              <w:keepLines w:val="0"/>
              <w:suppressLineNumbers w:val="0"/>
              <w:snapToGrid w:val="0"/>
              <w:spacing w:before="0" w:beforeAutospacing="0" w:after="0" w:afterAutospacing="0"/>
              <w:ind w:left="0" w:right="0"/>
              <w:rPr>
                <w:rFonts w:hint="default"/>
                <w:sz w:val="24"/>
                <w:szCs w:val="22"/>
              </w:rPr>
            </w:pPr>
          </w:p>
          <w:p w14:paraId="287524CF">
            <w:pPr>
              <w:keepNext w:val="0"/>
              <w:keepLines w:val="0"/>
              <w:suppressLineNumbers w:val="0"/>
              <w:snapToGrid w:val="0"/>
              <w:spacing w:before="0" w:beforeAutospacing="0" w:after="0" w:afterAutospacing="0"/>
              <w:ind w:left="0" w:right="0"/>
              <w:rPr>
                <w:rFonts w:hint="default"/>
                <w:sz w:val="24"/>
                <w:szCs w:val="22"/>
              </w:rPr>
            </w:pPr>
          </w:p>
        </w:tc>
      </w:tr>
    </w:tbl>
    <w:p w14:paraId="2CFEF012">
      <w:pPr>
        <w:autoSpaceDE w:val="0"/>
        <w:autoSpaceDN w:val="0"/>
        <w:ind w:firstLine="0" w:firstLineChars="0"/>
        <w:jc w:val="both"/>
        <w:rPr>
          <w:rFonts w:ascii="宋体" w:hAnsi="Times New Roman" w:eastAsia="宋体" w:cs="Times New Roman"/>
          <w:sz w:val="21"/>
          <w:lang w:val="en-US" w:eastAsia="zh-CN" w:bidi="ar-SA"/>
        </w:rPr>
      </w:pPr>
    </w:p>
    <w:p w14:paraId="252F9BB0">
      <w:pPr>
        <w:autoSpaceDE w:val="0"/>
        <w:autoSpaceDN w:val="0"/>
        <w:ind w:firstLine="0" w:firstLineChars="0"/>
        <w:jc w:val="both"/>
        <w:rPr>
          <w:rFonts w:ascii="宋体" w:hAnsi="Times New Roman" w:eastAsia="宋体" w:cs="Times New Roman"/>
          <w:sz w:val="21"/>
          <w:lang w:val="en-US" w:eastAsia="zh-CN" w:bidi="ar-SA"/>
        </w:rPr>
      </w:pPr>
    </w:p>
    <w:p w14:paraId="59129FCB">
      <w:pPr>
        <w:jc w:val="center"/>
        <w:rPr>
          <w:szCs w:val="22"/>
        </w:rPr>
      </w:pPr>
    </w:p>
    <w:p w14:paraId="7B4B0ECC">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05F93CED">
      <w:pPr>
        <w:jc w:val="center"/>
        <w:rPr>
          <w:szCs w:val="22"/>
        </w:rPr>
      </w:pPr>
      <w:r>
        <w:rPr>
          <w:rFonts w:hint="eastAsia"/>
          <w:szCs w:val="22"/>
        </w:rPr>
        <w:t>工程设计变更申请审批表（施工单位）</w:t>
      </w:r>
    </w:p>
    <w:p w14:paraId="18EB43F2">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4</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6560F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noWrap w:val="0"/>
            <w:vAlign w:val="center"/>
          </w:tcPr>
          <w:p w14:paraId="3AF40FC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noWrap w:val="0"/>
            <w:vAlign w:val="center"/>
          </w:tcPr>
          <w:p w14:paraId="4355B144">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12" w:space="0"/>
              <w:left w:val="single" w:color="auto" w:sz="6" w:space="0"/>
              <w:bottom w:val="single" w:color="auto" w:sz="6" w:space="0"/>
              <w:right w:val="single" w:color="auto" w:sz="6" w:space="0"/>
            </w:tcBorders>
            <w:noWrap w:val="0"/>
            <w:vAlign w:val="center"/>
          </w:tcPr>
          <w:p w14:paraId="1EC8200B">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noWrap w:val="0"/>
            <w:vAlign w:val="center"/>
          </w:tcPr>
          <w:p w14:paraId="2E38CEF1">
            <w:pPr>
              <w:keepNext w:val="0"/>
              <w:keepLines w:val="0"/>
              <w:suppressLineNumbers w:val="0"/>
              <w:snapToGrid w:val="0"/>
              <w:spacing w:before="0" w:beforeAutospacing="0" w:after="0" w:afterAutospacing="0"/>
              <w:ind w:left="0" w:right="0"/>
              <w:jc w:val="center"/>
              <w:rPr>
                <w:rFonts w:hint="default"/>
                <w:sz w:val="24"/>
                <w:szCs w:val="22"/>
              </w:rPr>
            </w:pPr>
          </w:p>
        </w:tc>
      </w:tr>
      <w:tr w14:paraId="2731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noWrap w:val="0"/>
            <w:vAlign w:val="center"/>
          </w:tcPr>
          <w:p w14:paraId="5EC614D2">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noWrap w:val="0"/>
            <w:vAlign w:val="center"/>
          </w:tcPr>
          <w:p w14:paraId="4048ABEF">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14:paraId="4E035E2E">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noWrap w:val="0"/>
            <w:vAlign w:val="center"/>
          </w:tcPr>
          <w:p w14:paraId="4594AA07">
            <w:pPr>
              <w:keepNext w:val="0"/>
              <w:keepLines w:val="0"/>
              <w:suppressLineNumbers w:val="0"/>
              <w:snapToGrid w:val="0"/>
              <w:spacing w:before="0" w:beforeAutospacing="0" w:after="0" w:afterAutospacing="0"/>
              <w:ind w:left="0" w:right="0"/>
              <w:jc w:val="center"/>
              <w:rPr>
                <w:rFonts w:hint="default"/>
                <w:sz w:val="24"/>
                <w:szCs w:val="22"/>
              </w:rPr>
            </w:pPr>
          </w:p>
        </w:tc>
      </w:tr>
      <w:tr w14:paraId="5DC5B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noWrap w:val="0"/>
            <w:vAlign w:val="center"/>
          </w:tcPr>
          <w:p w14:paraId="7A3B5B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A9CECD9">
            <w:pPr>
              <w:keepNext w:val="0"/>
              <w:keepLines w:val="0"/>
              <w:suppressLineNumbers w:val="0"/>
              <w:snapToGrid w:val="0"/>
              <w:spacing w:before="0" w:beforeAutospacing="0" w:after="0" w:afterAutospacing="0"/>
              <w:ind w:left="0" w:right="0"/>
              <w:rPr>
                <w:rFonts w:hint="default"/>
                <w:sz w:val="24"/>
                <w:szCs w:val="22"/>
              </w:rPr>
            </w:pPr>
          </w:p>
          <w:p w14:paraId="66E6AF17">
            <w:pPr>
              <w:keepNext w:val="0"/>
              <w:keepLines w:val="0"/>
              <w:suppressLineNumbers w:val="0"/>
              <w:snapToGrid w:val="0"/>
              <w:spacing w:before="0" w:beforeAutospacing="0" w:after="0" w:afterAutospacing="0"/>
              <w:ind w:left="0" w:right="0"/>
              <w:rPr>
                <w:rFonts w:hint="default"/>
                <w:sz w:val="24"/>
                <w:szCs w:val="22"/>
              </w:rPr>
            </w:pPr>
          </w:p>
          <w:p w14:paraId="18E180CF">
            <w:pPr>
              <w:keepNext w:val="0"/>
              <w:keepLines w:val="0"/>
              <w:suppressLineNumbers w:val="0"/>
              <w:snapToGrid w:val="0"/>
              <w:spacing w:before="0" w:beforeAutospacing="0" w:after="0" w:afterAutospacing="0"/>
              <w:ind w:left="0" w:right="0"/>
              <w:rPr>
                <w:rFonts w:hint="default"/>
                <w:sz w:val="24"/>
                <w:szCs w:val="22"/>
              </w:rPr>
            </w:pPr>
          </w:p>
          <w:p w14:paraId="56FC053C">
            <w:pPr>
              <w:keepNext w:val="0"/>
              <w:keepLines w:val="0"/>
              <w:suppressLineNumbers w:val="0"/>
              <w:snapToGrid w:val="0"/>
              <w:spacing w:before="0" w:beforeAutospacing="0" w:after="0" w:afterAutospacing="0"/>
              <w:ind w:left="0" w:right="0"/>
              <w:rPr>
                <w:rFonts w:hint="default"/>
                <w:sz w:val="24"/>
                <w:szCs w:val="22"/>
              </w:rPr>
            </w:pPr>
          </w:p>
          <w:p w14:paraId="5830DDF1">
            <w:pPr>
              <w:keepNext w:val="0"/>
              <w:keepLines w:val="0"/>
              <w:suppressLineNumbers w:val="0"/>
              <w:snapToGrid w:val="0"/>
              <w:spacing w:before="0" w:beforeAutospacing="0" w:after="0" w:afterAutospacing="0"/>
              <w:ind w:left="0" w:right="0"/>
              <w:rPr>
                <w:rFonts w:hint="default"/>
                <w:sz w:val="24"/>
                <w:szCs w:val="22"/>
              </w:rPr>
            </w:pPr>
          </w:p>
          <w:p w14:paraId="428BC631">
            <w:pPr>
              <w:keepNext w:val="0"/>
              <w:keepLines w:val="0"/>
              <w:suppressLineNumbers w:val="0"/>
              <w:snapToGrid w:val="0"/>
              <w:spacing w:before="0" w:beforeAutospacing="0" w:after="0" w:afterAutospacing="0"/>
              <w:ind w:left="0" w:right="0"/>
              <w:rPr>
                <w:rFonts w:hint="default"/>
                <w:sz w:val="24"/>
                <w:szCs w:val="22"/>
              </w:rPr>
            </w:pPr>
          </w:p>
          <w:p w14:paraId="203A1684">
            <w:pPr>
              <w:keepNext w:val="0"/>
              <w:keepLines w:val="0"/>
              <w:suppressLineNumbers w:val="0"/>
              <w:snapToGrid w:val="0"/>
              <w:spacing w:before="0" w:beforeAutospacing="0" w:after="0" w:afterAutospacing="0"/>
              <w:ind w:left="0" w:right="0"/>
              <w:rPr>
                <w:rFonts w:hint="default"/>
                <w:sz w:val="24"/>
                <w:szCs w:val="22"/>
              </w:rPr>
            </w:pPr>
          </w:p>
          <w:p w14:paraId="3F5BCBFB">
            <w:pPr>
              <w:keepNext w:val="0"/>
              <w:keepLines w:val="0"/>
              <w:suppressLineNumbers w:val="0"/>
              <w:snapToGrid w:val="0"/>
              <w:spacing w:before="0" w:beforeAutospacing="0" w:after="0" w:afterAutospacing="0"/>
              <w:ind w:left="0" w:right="0"/>
              <w:rPr>
                <w:rFonts w:hint="default"/>
                <w:sz w:val="24"/>
                <w:szCs w:val="22"/>
              </w:rPr>
            </w:pPr>
          </w:p>
          <w:p w14:paraId="428B3848">
            <w:pPr>
              <w:keepNext w:val="0"/>
              <w:keepLines w:val="0"/>
              <w:suppressLineNumbers w:val="0"/>
              <w:snapToGrid w:val="0"/>
              <w:spacing w:before="0" w:beforeAutospacing="0" w:after="0" w:afterAutospacing="0"/>
              <w:ind w:left="0" w:right="0"/>
              <w:rPr>
                <w:rFonts w:hint="default"/>
                <w:sz w:val="24"/>
                <w:szCs w:val="22"/>
              </w:rPr>
            </w:pPr>
          </w:p>
          <w:p w14:paraId="367415E2">
            <w:pPr>
              <w:keepNext w:val="0"/>
              <w:keepLines w:val="0"/>
              <w:suppressLineNumbers w:val="0"/>
              <w:snapToGrid w:val="0"/>
              <w:spacing w:before="0" w:beforeAutospacing="0" w:after="0" w:afterAutospacing="0"/>
              <w:ind w:left="0" w:right="0"/>
              <w:rPr>
                <w:rFonts w:hint="default"/>
                <w:sz w:val="24"/>
                <w:szCs w:val="22"/>
              </w:rPr>
            </w:pPr>
          </w:p>
          <w:p w14:paraId="513FEF1B">
            <w:pPr>
              <w:keepNext w:val="0"/>
              <w:keepLines w:val="0"/>
              <w:suppressLineNumbers w:val="0"/>
              <w:snapToGrid w:val="0"/>
              <w:spacing w:before="0" w:beforeAutospacing="0" w:after="0" w:afterAutospacing="0"/>
              <w:ind w:left="0" w:right="0"/>
              <w:rPr>
                <w:rFonts w:hint="default"/>
                <w:sz w:val="24"/>
                <w:szCs w:val="22"/>
              </w:rPr>
            </w:pPr>
          </w:p>
        </w:tc>
      </w:tr>
      <w:tr w14:paraId="2E1C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72E8CCD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施工单位专业技术负责人：</w:t>
            </w:r>
          </w:p>
          <w:p w14:paraId="238190B6">
            <w:pPr>
              <w:keepNext w:val="0"/>
              <w:keepLines w:val="0"/>
              <w:suppressLineNumbers w:val="0"/>
              <w:snapToGrid w:val="0"/>
              <w:spacing w:before="0" w:beforeAutospacing="0" w:after="0" w:afterAutospacing="0"/>
              <w:ind w:left="0" w:right="0"/>
              <w:rPr>
                <w:rFonts w:hint="default"/>
                <w:sz w:val="24"/>
                <w:szCs w:val="22"/>
              </w:rPr>
            </w:pPr>
          </w:p>
          <w:p w14:paraId="5FC364F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施工单位项目经理（盖章）：</w:t>
            </w:r>
          </w:p>
          <w:p w14:paraId="154FE0DD">
            <w:pPr>
              <w:keepNext w:val="0"/>
              <w:keepLines w:val="0"/>
              <w:suppressLineNumbers w:val="0"/>
              <w:snapToGrid w:val="0"/>
              <w:spacing w:before="0" w:beforeAutospacing="0" w:after="0" w:afterAutospacing="0"/>
              <w:ind w:left="0" w:right="0"/>
              <w:rPr>
                <w:rFonts w:hint="default"/>
                <w:sz w:val="24"/>
                <w:szCs w:val="22"/>
              </w:rPr>
            </w:pPr>
          </w:p>
        </w:tc>
      </w:tr>
      <w:tr w14:paraId="1AE1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07A6A31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建设单位专业设计人员：</w:t>
            </w:r>
          </w:p>
          <w:p w14:paraId="79699E07">
            <w:pPr>
              <w:keepNext w:val="0"/>
              <w:keepLines w:val="0"/>
              <w:suppressLineNumbers w:val="0"/>
              <w:snapToGrid w:val="0"/>
              <w:spacing w:before="0" w:beforeAutospacing="0" w:after="0" w:afterAutospacing="0"/>
              <w:ind w:left="0" w:right="0"/>
              <w:rPr>
                <w:rFonts w:hint="default"/>
                <w:sz w:val="24"/>
                <w:szCs w:val="22"/>
              </w:rPr>
            </w:pPr>
          </w:p>
          <w:p w14:paraId="3E33011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07A77252">
            <w:pPr>
              <w:keepNext w:val="0"/>
              <w:keepLines w:val="0"/>
              <w:suppressLineNumbers w:val="0"/>
              <w:snapToGrid w:val="0"/>
              <w:spacing w:before="0" w:beforeAutospacing="0" w:after="0" w:afterAutospacing="0"/>
              <w:ind w:left="0" w:right="0"/>
              <w:rPr>
                <w:rFonts w:hint="default"/>
                <w:sz w:val="24"/>
                <w:szCs w:val="22"/>
              </w:rPr>
            </w:pPr>
          </w:p>
        </w:tc>
      </w:tr>
      <w:tr w14:paraId="00C7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noWrap w:val="0"/>
            <w:vAlign w:val="center"/>
          </w:tcPr>
          <w:p w14:paraId="17AF8E7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1ADCB52F">
            <w:pPr>
              <w:keepNext w:val="0"/>
              <w:keepLines w:val="0"/>
              <w:suppressLineNumbers w:val="0"/>
              <w:snapToGrid w:val="0"/>
              <w:spacing w:before="0" w:beforeAutospacing="0" w:after="0" w:afterAutospacing="0"/>
              <w:ind w:left="0" w:right="0"/>
              <w:rPr>
                <w:rFonts w:hint="default"/>
                <w:sz w:val="24"/>
                <w:szCs w:val="22"/>
              </w:rPr>
            </w:pPr>
          </w:p>
          <w:p w14:paraId="7DE6A55B">
            <w:pPr>
              <w:keepNext w:val="0"/>
              <w:keepLines w:val="0"/>
              <w:suppressLineNumbers w:val="0"/>
              <w:snapToGrid w:val="0"/>
              <w:spacing w:before="0" w:beforeAutospacing="0" w:after="0" w:afterAutospacing="0"/>
              <w:ind w:left="0" w:right="0"/>
              <w:rPr>
                <w:rFonts w:hint="default"/>
                <w:sz w:val="24"/>
                <w:szCs w:val="22"/>
              </w:rPr>
            </w:pPr>
          </w:p>
        </w:tc>
        <w:tc>
          <w:tcPr>
            <w:tcW w:w="5487" w:type="dxa"/>
            <w:gridSpan w:val="3"/>
            <w:tcBorders>
              <w:top w:val="single" w:color="auto" w:sz="6" w:space="0"/>
              <w:left w:val="single" w:color="auto" w:sz="6" w:space="0"/>
              <w:bottom w:val="single" w:color="auto" w:sz="6" w:space="0"/>
              <w:right w:val="single" w:color="auto" w:sz="12" w:space="0"/>
            </w:tcBorders>
            <w:noWrap w:val="0"/>
            <w:vAlign w:val="center"/>
          </w:tcPr>
          <w:p w14:paraId="59BDB3A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5007795B">
            <w:pPr>
              <w:keepNext w:val="0"/>
              <w:keepLines w:val="0"/>
              <w:suppressLineNumbers w:val="0"/>
              <w:snapToGrid w:val="0"/>
              <w:spacing w:before="0" w:beforeAutospacing="0" w:after="0" w:afterAutospacing="0"/>
              <w:ind w:left="0" w:right="0"/>
              <w:rPr>
                <w:rFonts w:hint="default"/>
                <w:sz w:val="24"/>
                <w:szCs w:val="22"/>
              </w:rPr>
            </w:pPr>
          </w:p>
          <w:p w14:paraId="5F6AB836">
            <w:pPr>
              <w:keepNext w:val="0"/>
              <w:keepLines w:val="0"/>
              <w:suppressLineNumbers w:val="0"/>
              <w:spacing w:before="0" w:beforeAutospacing="0" w:after="0" w:afterAutospacing="0"/>
              <w:ind w:left="0" w:right="0"/>
              <w:rPr>
                <w:rFonts w:hint="default"/>
                <w:szCs w:val="22"/>
              </w:rPr>
            </w:pPr>
          </w:p>
          <w:p w14:paraId="62B3A288">
            <w:pPr>
              <w:keepNext w:val="0"/>
              <w:keepLines w:val="0"/>
              <w:suppressLineNumbers w:val="0"/>
              <w:snapToGrid w:val="0"/>
              <w:spacing w:before="0" w:beforeAutospacing="0" w:after="0" w:afterAutospacing="0"/>
              <w:ind w:left="0" w:right="0"/>
              <w:rPr>
                <w:rFonts w:hint="default"/>
                <w:sz w:val="24"/>
                <w:szCs w:val="22"/>
              </w:rPr>
            </w:pPr>
          </w:p>
        </w:tc>
      </w:tr>
      <w:tr w14:paraId="3ABBC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noWrap w:val="0"/>
            <w:vAlign w:val="center"/>
          </w:tcPr>
          <w:p w14:paraId="475959A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1121D904">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noWrap w:val="0"/>
            <w:vAlign w:val="center"/>
          </w:tcPr>
          <w:p w14:paraId="400F3FA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7A40B209">
            <w:pPr>
              <w:keepNext w:val="0"/>
              <w:keepLines w:val="0"/>
              <w:suppressLineNumbers w:val="0"/>
              <w:snapToGrid w:val="0"/>
              <w:spacing w:before="0" w:beforeAutospacing="0" w:after="0" w:afterAutospacing="0"/>
              <w:ind w:left="0" w:right="0"/>
              <w:rPr>
                <w:rFonts w:hint="default"/>
                <w:sz w:val="24"/>
                <w:szCs w:val="22"/>
              </w:rPr>
            </w:pPr>
          </w:p>
          <w:p w14:paraId="130C8C52">
            <w:pPr>
              <w:keepNext w:val="0"/>
              <w:keepLines w:val="0"/>
              <w:suppressLineNumbers w:val="0"/>
              <w:snapToGrid w:val="0"/>
              <w:spacing w:before="0" w:beforeAutospacing="0" w:after="0" w:afterAutospacing="0"/>
              <w:ind w:left="0" w:right="0"/>
              <w:rPr>
                <w:rFonts w:hint="default"/>
                <w:sz w:val="24"/>
                <w:szCs w:val="22"/>
              </w:rPr>
            </w:pPr>
          </w:p>
          <w:p w14:paraId="6EDC093A">
            <w:pPr>
              <w:keepNext w:val="0"/>
              <w:keepLines w:val="0"/>
              <w:suppressLineNumbers w:val="0"/>
              <w:snapToGrid w:val="0"/>
              <w:spacing w:before="0" w:beforeAutospacing="0" w:after="0" w:afterAutospacing="0"/>
              <w:ind w:left="0" w:right="0"/>
              <w:rPr>
                <w:rFonts w:hint="default"/>
                <w:sz w:val="24"/>
                <w:szCs w:val="22"/>
              </w:rPr>
            </w:pPr>
          </w:p>
        </w:tc>
      </w:tr>
      <w:tr w14:paraId="6391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noWrap w:val="0"/>
            <w:vAlign w:val="center"/>
          </w:tcPr>
          <w:p w14:paraId="3AB51BD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noWrap w:val="0"/>
            <w:vAlign w:val="center"/>
          </w:tcPr>
          <w:p w14:paraId="101BDD14">
            <w:pPr>
              <w:keepNext w:val="0"/>
              <w:keepLines w:val="0"/>
              <w:widowControl/>
              <w:suppressLineNumbers w:val="0"/>
              <w:spacing w:before="0" w:beforeAutospacing="0" w:after="0" w:afterAutospacing="0"/>
              <w:ind w:left="0" w:right="0"/>
              <w:jc w:val="left"/>
              <w:rPr>
                <w:rFonts w:hint="default"/>
                <w:sz w:val="24"/>
                <w:szCs w:val="22"/>
              </w:rPr>
            </w:pPr>
          </w:p>
          <w:p w14:paraId="7CB0C469">
            <w:pPr>
              <w:keepNext w:val="0"/>
              <w:keepLines w:val="0"/>
              <w:suppressLineNumbers w:val="0"/>
              <w:snapToGrid w:val="0"/>
              <w:spacing w:before="0" w:beforeAutospacing="0" w:after="0" w:afterAutospacing="0"/>
              <w:ind w:left="0" w:right="0"/>
              <w:rPr>
                <w:rFonts w:hint="default"/>
                <w:sz w:val="24"/>
                <w:szCs w:val="22"/>
              </w:rPr>
            </w:pPr>
          </w:p>
        </w:tc>
      </w:tr>
      <w:tr w14:paraId="53E6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noWrap w:val="0"/>
            <w:vAlign w:val="center"/>
          </w:tcPr>
          <w:p w14:paraId="763CC6F2">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23B371F1">
            <w:pPr>
              <w:keepNext w:val="0"/>
              <w:keepLines w:val="0"/>
              <w:suppressLineNumbers w:val="0"/>
              <w:snapToGrid w:val="0"/>
              <w:spacing w:before="0" w:beforeAutospacing="0" w:after="0" w:afterAutospacing="0"/>
              <w:ind w:left="0" w:right="0"/>
              <w:rPr>
                <w:rFonts w:hint="default"/>
                <w:sz w:val="24"/>
                <w:szCs w:val="22"/>
              </w:rPr>
            </w:pPr>
          </w:p>
          <w:p w14:paraId="32A02E8C">
            <w:pPr>
              <w:keepNext w:val="0"/>
              <w:keepLines w:val="0"/>
              <w:suppressLineNumbers w:val="0"/>
              <w:snapToGrid w:val="0"/>
              <w:spacing w:before="0" w:beforeAutospacing="0" w:after="0" w:afterAutospacing="0"/>
              <w:ind w:left="0" w:right="0"/>
              <w:rPr>
                <w:rFonts w:hint="default"/>
                <w:sz w:val="24"/>
                <w:szCs w:val="22"/>
              </w:rPr>
            </w:pPr>
          </w:p>
          <w:p w14:paraId="50806456">
            <w:pPr>
              <w:keepNext w:val="0"/>
              <w:keepLines w:val="0"/>
              <w:suppressLineNumbers w:val="0"/>
              <w:snapToGrid w:val="0"/>
              <w:spacing w:before="0" w:beforeAutospacing="0" w:after="0" w:afterAutospacing="0"/>
              <w:ind w:left="0" w:right="0"/>
              <w:rPr>
                <w:rFonts w:hint="default"/>
                <w:sz w:val="24"/>
                <w:szCs w:val="22"/>
              </w:rPr>
            </w:pPr>
          </w:p>
        </w:tc>
      </w:tr>
    </w:tbl>
    <w:p w14:paraId="69F445FF">
      <w:pPr>
        <w:jc w:val="center"/>
        <w:rPr>
          <w:szCs w:val="22"/>
        </w:rPr>
      </w:pPr>
    </w:p>
    <w:p w14:paraId="403B2F9C">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68376B5B">
      <w:pPr>
        <w:jc w:val="center"/>
        <w:rPr>
          <w:szCs w:val="22"/>
        </w:rPr>
      </w:pPr>
      <w:r>
        <w:rPr>
          <w:rFonts w:hint="eastAsia"/>
          <w:szCs w:val="22"/>
        </w:rPr>
        <w:t>附录E</w:t>
      </w:r>
      <w:r>
        <w:rPr>
          <w:szCs w:val="22"/>
        </w:rPr>
        <w:br w:type="textWrapping"/>
      </w:r>
      <w:r>
        <w:rPr>
          <w:rFonts w:hint="eastAsia"/>
          <w:szCs w:val="22"/>
        </w:rPr>
        <w:t>（规范性附录）</w:t>
      </w:r>
    </w:p>
    <w:p w14:paraId="0C823FD9">
      <w:pPr>
        <w:jc w:val="center"/>
        <w:rPr>
          <w:szCs w:val="22"/>
        </w:rPr>
      </w:pPr>
      <w:r>
        <w:rPr>
          <w:rFonts w:hint="eastAsia"/>
          <w:szCs w:val="22"/>
        </w:rPr>
        <w:t>建设单位提出的设计变更流程</w:t>
      </w:r>
    </w:p>
    <w:p w14:paraId="0DA205B5">
      <w:pPr>
        <w:jc w:val="center"/>
        <w:rPr>
          <w:ins w:id="0" w:author="XUBIN" w:date="2024-11-13T14:16:00Z"/>
          <w:szCs w:val="22"/>
        </w:rPr>
      </w:pPr>
      <w:r>
        <w:rPr>
          <w:szCs w:val="22"/>
        </w:rPr>
        <w:object>
          <v:shape id="_x0000_i1025" o:spt="75" type="#_x0000_t75" style="height:561.2pt;width:456.5pt;" o:ole="t" filled="f" o:preferrelative="t" stroked="f" coordsize="21600,21600">
            <v:path/>
            <v:fill on="f" focussize="0,0"/>
            <v:stroke on="f"/>
            <v:imagedata r:id="rId16" o:title=""/>
            <o:lock v:ext="edit" aspectratio="t"/>
            <w10:wrap type="none"/>
            <w10:anchorlock/>
          </v:shape>
          <o:OLEObject Type="Embed" ProgID="Visio.Drawing.15" ShapeID="_x0000_i1025" DrawAspect="Content" ObjectID="_1468075725" r:id="rId15">
            <o:LockedField>false</o:LockedField>
          </o:OLEObject>
        </w:object>
      </w:r>
    </w:p>
    <w:p w14:paraId="61E3047E">
      <w:pPr>
        <w:jc w:val="center"/>
        <w:rPr>
          <w:szCs w:val="22"/>
        </w:rPr>
      </w:pPr>
    </w:p>
    <w:p w14:paraId="429452FD">
      <w:pPr>
        <w:rPr>
          <w:szCs w:val="22"/>
        </w:rPr>
      </w:pPr>
    </w:p>
    <w:p w14:paraId="475BE314">
      <w:pPr>
        <w:jc w:val="center"/>
        <w:rPr>
          <w:szCs w:val="22"/>
        </w:rPr>
      </w:pPr>
    </w:p>
    <w:p w14:paraId="7F218955">
      <w:pPr>
        <w:jc w:val="center"/>
        <w:rPr>
          <w:szCs w:val="22"/>
        </w:rPr>
      </w:pPr>
      <w:r>
        <w:rPr>
          <w:rFonts w:hint="eastAsia"/>
          <w:szCs w:val="22"/>
        </w:rPr>
        <w:t>附录F</w:t>
      </w:r>
      <w:r>
        <w:rPr>
          <w:szCs w:val="22"/>
        </w:rPr>
        <w:br w:type="textWrapping"/>
      </w:r>
      <w:r>
        <w:rPr>
          <w:rFonts w:hint="eastAsia"/>
          <w:szCs w:val="22"/>
        </w:rPr>
        <w:t>（规范性附录）</w:t>
      </w:r>
    </w:p>
    <w:p w14:paraId="149902D7">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设计院提出的设计变更流程</w:t>
      </w:r>
    </w:p>
    <w:p w14:paraId="4950F5BE">
      <w:pPr>
        <w:autoSpaceDE w:val="0"/>
        <w:autoSpaceDN w:val="0"/>
        <w:ind w:firstLine="0" w:firstLineChars="0"/>
        <w:jc w:val="center"/>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object>
          <v:shape id="_x0000_i1026" o:spt="75" type="#_x0000_t75" style="height:491.25pt;width:456.5pt;" o:ole="t" filled="f" o:preferrelative="t" stroked="f" coordsize="21600,21600">
            <v:path/>
            <v:fill on="f" focussize="0,0"/>
            <v:stroke on="f"/>
            <v:imagedata r:id="rId18" o:title=""/>
            <o:lock v:ext="edit" aspectratio="t"/>
            <w10:wrap type="none"/>
            <w10:anchorlock/>
          </v:shape>
          <o:OLEObject Type="Embed" ProgID="Visio.Drawing.15" ShapeID="_x0000_i1026" DrawAspect="Content" ObjectID="_1468075726" r:id="rId17">
            <o:LockedField>false</o:LockedField>
          </o:OLEObject>
        </w:object>
      </w:r>
    </w:p>
    <w:p w14:paraId="27A1FF7A">
      <w:pPr>
        <w:autoSpaceDE w:val="0"/>
        <w:autoSpaceDN w:val="0"/>
        <w:ind w:firstLine="0" w:firstLineChars="0"/>
        <w:jc w:val="both"/>
        <w:rPr>
          <w:rFonts w:hint="eastAsia" w:ascii="宋体" w:hAnsi="Times New Roman" w:eastAsia="宋体" w:cs="Times New Roman"/>
          <w:sz w:val="21"/>
          <w:lang w:val="en-US" w:eastAsia="zh-CN" w:bidi="ar-SA"/>
        </w:rPr>
      </w:pPr>
    </w:p>
    <w:p w14:paraId="0FE2B0DD">
      <w:pPr>
        <w:autoSpaceDE w:val="0"/>
        <w:autoSpaceDN w:val="0"/>
        <w:ind w:firstLine="0" w:firstLineChars="0"/>
        <w:jc w:val="both"/>
        <w:rPr>
          <w:rFonts w:hint="eastAsia" w:ascii="宋体" w:hAnsi="Times New Roman" w:eastAsia="宋体" w:cs="Times New Roman"/>
          <w:sz w:val="21"/>
          <w:lang w:val="en-US" w:eastAsia="zh-CN" w:bidi="ar-SA"/>
        </w:rPr>
      </w:pPr>
    </w:p>
    <w:p w14:paraId="090C5037">
      <w:pPr>
        <w:autoSpaceDE w:val="0"/>
        <w:autoSpaceDN w:val="0"/>
        <w:ind w:firstLine="0" w:firstLineChars="0"/>
        <w:jc w:val="both"/>
        <w:rPr>
          <w:rFonts w:hint="eastAsia" w:ascii="宋体" w:hAnsi="Times New Roman" w:eastAsia="宋体" w:cs="Times New Roman"/>
          <w:sz w:val="21"/>
          <w:lang w:val="en-US" w:eastAsia="zh-CN" w:bidi="ar-SA"/>
        </w:rPr>
      </w:pPr>
    </w:p>
    <w:p w14:paraId="5D1C2FD2">
      <w:pPr>
        <w:autoSpaceDE w:val="0"/>
        <w:autoSpaceDN w:val="0"/>
        <w:ind w:firstLine="0" w:firstLineChars="0"/>
        <w:jc w:val="both"/>
        <w:rPr>
          <w:ins w:id="1" w:author="XUBIN" w:date="2024-11-18T13:47:00Z"/>
          <w:rFonts w:hint="eastAsia" w:ascii="宋体" w:hAnsi="Times New Roman" w:eastAsia="宋体" w:cs="Times New Roman"/>
          <w:sz w:val="21"/>
          <w:lang w:val="en-US" w:eastAsia="zh-CN" w:bidi="ar-SA"/>
        </w:rPr>
      </w:pPr>
    </w:p>
    <w:p w14:paraId="05B0AD50">
      <w:pPr>
        <w:autoSpaceDE w:val="0"/>
        <w:autoSpaceDN w:val="0"/>
        <w:ind w:firstLine="0" w:firstLineChars="0"/>
        <w:jc w:val="center"/>
        <w:rPr>
          <w:ins w:id="2" w:author="XUBIN" w:date="2024-11-18T13:48:00Z"/>
          <w:rFonts w:ascii="宋体" w:hAnsi="Times New Roman" w:eastAsia="宋体" w:cs="Times New Roman"/>
          <w:sz w:val="21"/>
          <w:lang w:val="en-US" w:eastAsia="zh-CN" w:bidi="ar-SA"/>
        </w:rPr>
      </w:pPr>
    </w:p>
    <w:p w14:paraId="26037C18">
      <w:pPr>
        <w:autoSpaceDE w:val="0"/>
        <w:autoSpaceDN w:val="0"/>
        <w:ind w:firstLine="0" w:firstLineChars="0"/>
        <w:jc w:val="both"/>
        <w:rPr>
          <w:rFonts w:hint="eastAsia" w:ascii="宋体" w:hAnsi="Times New Roman" w:eastAsia="宋体" w:cs="Times New Roman"/>
          <w:sz w:val="21"/>
          <w:lang w:val="en-US" w:eastAsia="zh-CN" w:bidi="ar-SA"/>
        </w:rPr>
      </w:pPr>
    </w:p>
    <w:p w14:paraId="28C72E51">
      <w:pPr>
        <w:autoSpaceDE w:val="0"/>
        <w:autoSpaceDN w:val="0"/>
        <w:ind w:firstLine="0" w:firstLineChars="0"/>
        <w:jc w:val="center"/>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5D11D9A2">
      <w:pPr>
        <w:jc w:val="center"/>
        <w:rPr>
          <w:rFonts w:hint="eastAsia"/>
          <w:szCs w:val="22"/>
        </w:rPr>
      </w:pPr>
      <w:r>
        <w:rPr>
          <w:rFonts w:hint="eastAsia"/>
          <w:szCs w:val="22"/>
        </w:rPr>
        <w:t>附录G</w:t>
      </w:r>
    </w:p>
    <w:p w14:paraId="27763CF1">
      <w:pPr>
        <w:jc w:val="center"/>
        <w:rPr>
          <w:szCs w:val="22"/>
        </w:rPr>
      </w:pPr>
      <w:r>
        <w:rPr>
          <w:rFonts w:hint="eastAsia"/>
          <w:szCs w:val="22"/>
        </w:rPr>
        <w:t>（规范性附录）</w:t>
      </w:r>
    </w:p>
    <w:p w14:paraId="1C62107B">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施工单位提出的设计变更流程</w:t>
      </w:r>
    </w:p>
    <w:p w14:paraId="79239B9B">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v:imagedata r:id="rId20" o:title=""/>
            <o:lock v:ext="edit" aspectratio="t"/>
            <w10:wrap type="none"/>
            <w10:anchorlock/>
          </v:shape>
          <o:OLEObject Type="Embed" ProgID="Visio.Drawing.15" ShapeID="_x0000_i1027" DrawAspect="Content" ObjectID="_1468075727" r:id="rId19">
            <o:LockedField>false</o:LockedField>
          </o:OLEObject>
        </w:object>
      </w:r>
    </w:p>
    <w:p w14:paraId="1A04C681">
      <w:pPr>
        <w:widowControl w:val="0"/>
        <w:adjustRightInd w:val="0"/>
        <w:spacing w:after="60" w:afterLines="0" w:line="360" w:lineRule="atLeast"/>
        <w:ind w:left="63" w:leftChars="30" w:right="63" w:rightChars="30"/>
        <w:jc w:val="left"/>
        <w:textAlignment w:val="baseline"/>
        <w:rPr>
          <w:rFonts w:ascii="仿宋_GB2312" w:hAnsi="Times New Roman" w:eastAsia="仿宋_GB2312" w:cs="Times New Roman"/>
          <w:kern w:val="0"/>
          <w:sz w:val="30"/>
          <w:szCs w:val="30"/>
          <w:lang w:val="en-US" w:eastAsia="zh-CN" w:bidi="ar-SA"/>
        </w:rPr>
      </w:pPr>
      <w:r>
        <w:rPr>
          <w:rFonts w:ascii="Times New Roman" w:hAnsi="Times New Roman" w:eastAsia="宋体" w:cs="Times New Roman"/>
          <w:kern w:val="0"/>
          <w:sz w:val="20"/>
          <w:szCs w:val="20"/>
          <w:lang w:val="en-US" w:eastAsia="zh-CN" w:bidi="ar-SA"/>
        </w:rPr>
        <w:br w:type="page"/>
      </w:r>
      <w:r>
        <w:rPr>
          <w:rFonts w:hint="eastAsia" w:ascii="仿宋_GB2312" w:hAnsi="Times New Roman" w:eastAsia="仿宋_GB2312" w:cs="Times New Roman"/>
          <w:kern w:val="0"/>
          <w:sz w:val="30"/>
          <w:szCs w:val="30"/>
          <w:lang w:val="en-US" w:eastAsia="zh-CN" w:bidi="ar-SA"/>
        </w:rPr>
        <w:t>附件7：</w:t>
      </w:r>
    </w:p>
    <w:p w14:paraId="618DFE3C">
      <w:pPr>
        <w:widowControl w:val="0"/>
        <w:adjustRightInd w:val="0"/>
        <w:spacing w:after="60" w:afterLines="0" w:line="360" w:lineRule="atLeast"/>
        <w:ind w:left="63" w:leftChars="30" w:right="63" w:rightChars="30"/>
        <w:jc w:val="center"/>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履约保函示范文本</w:t>
      </w:r>
    </w:p>
    <w:p w14:paraId="051D3216">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67FCD5DC">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申请人：</w:t>
      </w:r>
    </w:p>
    <w:p w14:paraId="0C65EBC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1DD48C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w:t>
      </w:r>
    </w:p>
    <w:p w14:paraId="1AA67DE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3702AA9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p>
    <w:p w14:paraId="4970D727">
      <w:pPr>
        <w:widowControl w:val="0"/>
        <w:adjustRightInd w:val="0"/>
        <w:spacing w:after="60" w:afterLines="0" w:line="360" w:lineRule="atLeast"/>
        <w:ind w:left="63" w:leftChars="30" w:right="63" w:rightChars="30" w:firstLine="616" w:firstLineChars="200"/>
        <w:jc w:val="left"/>
        <w:textAlignment w:val="baseline"/>
        <w:rPr>
          <w:rFonts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p>
    <w:p w14:paraId="5B7746E2">
      <w:pPr>
        <w:widowControl w:val="0"/>
        <w:adjustRightInd w:val="0"/>
        <w:spacing w:after="60" w:afterLines="0" w:line="360" w:lineRule="atLeast"/>
        <w:ind w:left="71" w:leftChars="34" w:right="63" w:rightChars="30"/>
        <w:jc w:val="left"/>
        <w:textAlignment w:val="baseline"/>
        <w:rPr>
          <w:rFonts w:ascii="仿宋" w:hAnsi="仿宋" w:eastAsia="宋体" w:cs="仿宋"/>
          <w:spacing w:val="4"/>
          <w:kern w:val="0"/>
          <w:sz w:val="30"/>
          <w:szCs w:val="30"/>
          <w:lang w:val="en-US" w:eastAsia="zh-CN" w:bidi="ar-SA"/>
        </w:rPr>
      </w:pP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受益人名称</w:t>
      </w:r>
      <w:r>
        <w:rPr>
          <w:rFonts w:hint="eastAsia" w:ascii="仿宋" w:hAnsi="仿宋" w:eastAsia="仿宋" w:cs="仿宋"/>
          <w:spacing w:val="4"/>
          <w:kern w:val="0"/>
          <w:sz w:val="30"/>
          <w:szCs w:val="30"/>
          <w:lang w:val="en-US" w:eastAsia="zh-CN" w:bidi="ar-SA"/>
        </w:rPr>
        <w:t>):</w:t>
      </w:r>
    </w:p>
    <w:p w14:paraId="00B4A1AF">
      <w:pPr>
        <w:widowControl w:val="0"/>
        <w:adjustRightInd w:val="0"/>
        <w:spacing w:after="60" w:afterLines="0" w:line="360" w:lineRule="atLeast"/>
        <w:ind w:left="71" w:leftChars="34" w:right="63" w:rightChars="30" w:firstLine="616" w:firstLineChars="200"/>
        <w:jc w:val="left"/>
        <w:textAlignment w:val="baseline"/>
        <w:rPr>
          <w:rFonts w:hint="eastAsia"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鉴于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以</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申请人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就工程</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本工程</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施工和有关事项协商一致，根据本工程中选通知书、招标文件和报价文件，了解到申请人为本工程项下之承包人、受益人为本工程</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项下之发包人，基于申请人的请求，我方</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即</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开立人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同意就</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申请人履行本工程依据中选通知书、招标文件和报价文件签订的《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基础合同</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约定的义务，向贵方提供不可撤销、不可转让的见索即付保函</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本保函</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46424D8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一、本保函担保范围：承包人未按照基础合同的约定履行义务，应当向贵方承担的违约责任和赔偿因此造成的损失、利息、律师费、诉讼费用等实现债权的费用。</w:t>
      </w:r>
    </w:p>
    <w:p w14:paraId="0182AB2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二、本保函担保金额最高不超过人民币</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大写</w:t>
      </w: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元</w:t>
      </w:r>
    </w:p>
    <w:p w14:paraId="79EC124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74164AF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三、本保函有效期自受益人与申请人签订的合同生效之日起至合同约定的工期截止日后</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天，最迟不超过</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日。</w:t>
      </w:r>
    </w:p>
    <w:p w14:paraId="7FFC8FD2">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四、我方承诺，在收到受益人发来的书面索赔通知和本保函原件后的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个工作日内无条件支付至受益人指定账户，前述书面索赔通知即为付款要求之单据，且应满足以下要求：</w:t>
      </w:r>
    </w:p>
    <w:p w14:paraId="284FAD55">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(1)</w:t>
      </w:r>
      <w:r>
        <w:rPr>
          <w:rFonts w:hint="eastAsia" w:ascii="宋体" w:hAnsi="宋体" w:eastAsia="宋体" w:cs="宋体"/>
          <w:spacing w:val="4"/>
          <w:kern w:val="0"/>
          <w:sz w:val="30"/>
          <w:szCs w:val="30"/>
          <w:lang w:val="en-US" w:eastAsia="zh-CN" w:bidi="ar-SA"/>
        </w:rPr>
        <w:t>索赔通知到达的日期在本保函的有效期内；</w:t>
      </w:r>
    </w:p>
    <w:p w14:paraId="0D50AB76">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(2)</w:t>
      </w:r>
      <w:r>
        <w:rPr>
          <w:rFonts w:hint="eastAsia" w:ascii="宋体" w:hAnsi="宋体" w:eastAsia="宋体" w:cs="宋体"/>
          <w:spacing w:val="4"/>
          <w:kern w:val="0"/>
          <w:sz w:val="30"/>
          <w:szCs w:val="30"/>
          <w:lang w:val="en-US" w:eastAsia="zh-CN" w:bidi="ar-SA"/>
        </w:rPr>
        <w:t>载明要求支付的金额；</w:t>
      </w:r>
    </w:p>
    <w:p w14:paraId="4D4343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(3)</w:t>
      </w:r>
      <w:r>
        <w:rPr>
          <w:rFonts w:hint="eastAsia" w:ascii="宋体" w:hAnsi="宋体" w:eastAsia="宋体" w:cs="宋体"/>
          <w:spacing w:val="4"/>
          <w:kern w:val="0"/>
          <w:sz w:val="30"/>
          <w:szCs w:val="30"/>
          <w:lang w:val="en-US" w:eastAsia="zh-CN" w:bidi="ar-SA"/>
        </w:rPr>
        <w:t>载明申请人违反合同义务的条款和内容；</w:t>
      </w:r>
    </w:p>
    <w:p w14:paraId="22BC4EFA">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(4)</w:t>
      </w:r>
      <w:r>
        <w:rPr>
          <w:rFonts w:hint="eastAsia" w:ascii="宋体" w:hAnsi="宋体" w:eastAsia="宋体" w:cs="宋体"/>
          <w:spacing w:val="4"/>
          <w:kern w:val="0"/>
          <w:sz w:val="30"/>
          <w:szCs w:val="30"/>
          <w:lang w:val="en-US" w:eastAsia="zh-CN" w:bidi="ar-SA"/>
        </w:rPr>
        <w:t>声明不存在合同文件约定或我国法律规定免除申请人或开立人支付责任的情形；</w:t>
      </w:r>
    </w:p>
    <w:p w14:paraId="4923ECC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(5)</w:t>
      </w:r>
      <w:r>
        <w:rPr>
          <w:rFonts w:hint="eastAsia" w:ascii="宋体" w:hAnsi="宋体" w:eastAsia="宋体" w:cs="宋体"/>
          <w:spacing w:val="4"/>
          <w:kern w:val="0"/>
          <w:sz w:val="30"/>
          <w:szCs w:val="30"/>
          <w:lang w:val="en-US" w:eastAsia="zh-CN" w:bidi="ar-SA"/>
        </w:rPr>
        <w:t>索赔通知应在本保函有效期内到达的地址是：</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p>
    <w:p w14:paraId="7FD49E0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受益人发出的书面索赔通知应由其为鉴明受益人法定代表人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负责人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或授权代理人签字或盖个人名章并加盖公章。</w:t>
      </w:r>
    </w:p>
    <w:p w14:paraId="1F638D75">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五、本保函项下的权利不得转让，不得设定担保。贵方未经我方书面同意转让本保函或其项下任何权利，对我方不发生法律效力。</w:t>
      </w:r>
    </w:p>
    <w:p w14:paraId="5CEB24F7">
      <w:pPr>
        <w:widowControl w:val="0"/>
        <w:adjustRightInd w:val="0"/>
        <w:spacing w:after="60" w:afterLines="0" w:line="360" w:lineRule="atLeast"/>
        <w:ind w:left="63" w:leftChars="30" w:right="63" w:rightChars="30"/>
        <w:jc w:val="left"/>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六、与本保函有关的基础合同不成立、不生效、无效、被撤销、被解除，不影响本保函的独立有效。</w:t>
      </w:r>
    </w:p>
    <w:p w14:paraId="130BBF0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七、贵方应在本保函到期后的七个工作日内将本保函正本退回我方注销，但是不论贵方是否按此要求将本保函正本退回我方，我方在本保函项下的义务和责任均在保函有效期到期后自动消灭。</w:t>
      </w:r>
    </w:p>
    <w:p w14:paraId="4F03320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八、本保函适用的法律为中华人民共和国法律，争议裁判管辖地为中华人民共和国</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7393942F">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九、本保函自我方法定代表人或授权代表签字或盖个人名章并加盖公章或合同专用章之日起生效。</w:t>
      </w:r>
    </w:p>
    <w:p w14:paraId="7C91722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十、本保函在重庆市辖区范围内的核验地点：</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核验方式：</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34CC625E">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12FEF46B">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316EBCF1">
      <w:pPr>
        <w:widowControl w:val="0"/>
        <w:adjustRightInd w:val="0"/>
        <w:spacing w:after="60" w:afterLines="0" w:line="360" w:lineRule="atLeast"/>
        <w:ind w:left="63" w:leftChars="30" w:right="63" w:rightChars="30" w:firstLine="616" w:firstLineChars="200"/>
        <w:jc w:val="both"/>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 </w:t>
      </w:r>
      <w:r>
        <w:rPr>
          <w:rFonts w:hint="eastAsia" w:ascii="宋体" w:hAnsi="宋体" w:eastAsia="宋体" w:cs="宋体"/>
          <w:spacing w:val="4"/>
          <w:kern w:val="0"/>
          <w:sz w:val="30"/>
          <w:szCs w:val="30"/>
          <w:lang w:val="en-US" w:eastAsia="zh-CN" w:bidi="ar-SA"/>
        </w:rPr>
        <w:t>公</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章</w:t>
      </w:r>
      <w:r>
        <w:rPr>
          <w:rFonts w:hint="eastAsia" w:ascii="仿宋" w:hAnsi="仿宋" w:eastAsia="仿宋" w:cs="仿宋"/>
          <w:spacing w:val="4"/>
          <w:kern w:val="0"/>
          <w:sz w:val="30"/>
          <w:szCs w:val="30"/>
          <w:lang w:val="en-US" w:eastAsia="zh-CN" w:bidi="ar-SA"/>
        </w:rPr>
        <w:t xml:space="preserve"> )</w:t>
      </w:r>
    </w:p>
    <w:p w14:paraId="24D955CA">
      <w:pPr>
        <w:rPr>
          <w:rFonts w:hint="eastAsia"/>
          <w:szCs w:val="22"/>
        </w:rPr>
      </w:pPr>
    </w:p>
    <w:p w14:paraId="2B128018">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或授权代表</w:t>
      </w:r>
      <w:r>
        <w:rPr>
          <w:rFonts w:hint="eastAsia" w:ascii="仿宋" w:hAnsi="仿宋" w:eastAsia="仿宋" w:cs="仿宋"/>
          <w:spacing w:val="4"/>
          <w:kern w:val="0"/>
          <w:sz w:val="30"/>
          <w:szCs w:val="30"/>
          <w:lang w:val="en-US" w:eastAsia="zh-CN" w:bidi="ar-SA"/>
        </w:rPr>
        <w:t xml:space="preserve">):     </w:t>
      </w:r>
      <w:r>
        <w:rPr>
          <w:rFonts w:ascii="仿宋" w:hAnsi="仿宋" w:eastAsia="仿宋" w:cs="仿宋"/>
          <w:spacing w:val="4"/>
          <w:kern w:val="0"/>
          <w:sz w:val="30"/>
          <w:szCs w:val="30"/>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签字或盖个人名章</w:t>
      </w:r>
      <w:r>
        <w:rPr>
          <w:rFonts w:hint="eastAsia" w:ascii="仿宋" w:hAnsi="仿宋" w:eastAsia="仿宋" w:cs="仿宋"/>
          <w:spacing w:val="4"/>
          <w:kern w:val="0"/>
          <w:sz w:val="30"/>
          <w:szCs w:val="30"/>
          <w:lang w:val="en-US" w:eastAsia="zh-CN" w:bidi="ar-SA"/>
        </w:rPr>
        <w:t>)</w:t>
      </w:r>
    </w:p>
    <w:p w14:paraId="24ED388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1B0B84C0">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邮政编码：</w:t>
      </w:r>
      <w:r>
        <w:rPr>
          <w:rFonts w:hint="eastAsia" w:ascii="仿宋" w:hAnsi="仿宋" w:eastAsia="仿宋" w:cs="仿宋"/>
          <w:spacing w:val="4"/>
          <w:kern w:val="0"/>
          <w:sz w:val="30"/>
          <w:szCs w:val="30"/>
          <w:lang w:val="en-US" w:eastAsia="zh-CN" w:bidi="ar-SA"/>
        </w:rPr>
        <w:t xml:space="preserve">                                              </w:t>
      </w:r>
    </w:p>
    <w:p w14:paraId="38093856">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电</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话：</w:t>
      </w:r>
      <w:r>
        <w:rPr>
          <w:rFonts w:hint="eastAsia" w:ascii="仿宋" w:hAnsi="仿宋" w:eastAsia="仿宋" w:cs="仿宋"/>
          <w:spacing w:val="4"/>
          <w:kern w:val="0"/>
          <w:sz w:val="30"/>
          <w:szCs w:val="30"/>
          <w:lang w:val="en-US" w:eastAsia="zh-CN" w:bidi="ar-SA"/>
        </w:rPr>
        <w:t xml:space="preserve">                                              </w:t>
      </w:r>
    </w:p>
    <w:p w14:paraId="0B48BA7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传</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真</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5713EA00">
      <w:pPr>
        <w:widowControl w:val="0"/>
        <w:adjustRightInd w:val="0"/>
        <w:spacing w:after="60" w:afterLines="0" w:line="360" w:lineRule="atLeast"/>
        <w:ind w:left="63" w:leftChars="30" w:right="63" w:rightChars="30" w:firstLine="616"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宋体" w:hAnsi="宋体" w:eastAsia="宋体" w:cs="宋体"/>
          <w:spacing w:val="4"/>
          <w:kern w:val="0"/>
          <w:sz w:val="30"/>
          <w:szCs w:val="30"/>
          <w:lang w:val="en-US" w:eastAsia="zh-CN" w:bidi="ar-SA"/>
        </w:rPr>
        <w:t>开立时间：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lang w:val="en-US" w:eastAsia="zh-CN" w:bidi="ar-SA"/>
        </w:rPr>
        <w:t xml:space="preserve">    </w:t>
      </w:r>
    </w:p>
    <w:p w14:paraId="753378D3">
      <w:pPr>
        <w:rPr>
          <w:rFonts w:hint="default"/>
          <w:lang w:val="en-US"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2D1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0EC02">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10EC02">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DDD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FCB3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9FCB37">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360B0A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A7EB">
    <w:pPr>
      <w:widowControl w:val="0"/>
      <w:snapToGrid w:val="0"/>
      <w:jc w:val="center"/>
      <w:rPr>
        <w:rFonts w:ascii="Times New Roman" w:hAnsi="Times New Roman" w:eastAsia="仿宋_GB2312" w:cs="Times New Roman"/>
        <w:kern w:val="2"/>
        <w:sz w:val="24"/>
        <w:szCs w:val="18"/>
        <w:lang w:val="en-US" w:eastAsia="zh-CN" w:bidi="ar-SA"/>
      </w:rPr>
    </w:pPr>
    <w:r>
      <w:rPr>
        <w:rFonts w:ascii="Times New Roman" w:hAnsi="Times New Roman" w:eastAsia="仿宋_GB2312" w:cs="Times New Roman"/>
        <w:kern w:val="2"/>
        <w:sz w:val="24"/>
        <w:szCs w:val="18"/>
        <w:lang w:val="en-US" w:eastAsia="zh-CN" w:bidi="ar-SA"/>
      </w:rPr>
      <w:fldChar w:fldCharType="begin"/>
    </w:r>
    <w:r>
      <w:rPr>
        <w:rFonts w:ascii="Times New Roman" w:hAnsi="Times New Roman" w:eastAsia="仿宋_GB2312" w:cs="Times New Roman"/>
        <w:kern w:val="2"/>
        <w:sz w:val="24"/>
        <w:szCs w:val="18"/>
        <w:lang w:val="en-US" w:eastAsia="zh-CN" w:bidi="ar-SA"/>
      </w:rPr>
      <w:instrText xml:space="preserve"> PAGE  \* MERGEFORMAT </w:instrText>
    </w:r>
    <w:r>
      <w:rPr>
        <w:rFonts w:ascii="Times New Roman" w:hAnsi="Times New Roman" w:eastAsia="仿宋_GB2312" w:cs="Times New Roman"/>
        <w:kern w:val="2"/>
        <w:sz w:val="24"/>
        <w:szCs w:val="18"/>
        <w:lang w:val="en-US" w:eastAsia="zh-CN" w:bidi="ar-SA"/>
      </w:rPr>
      <w:fldChar w:fldCharType="separate"/>
    </w:r>
    <w:r>
      <w:rPr>
        <w:rFonts w:ascii="Times New Roman" w:hAnsi="Times New Roman" w:eastAsia="宋体" w:cs="Times New Roman"/>
        <w:kern w:val="2"/>
        <w:sz w:val="18"/>
        <w:szCs w:val="18"/>
        <w:lang w:val="en-US" w:eastAsia="zh-CN" w:bidi="ar-SA"/>
      </w:rPr>
      <w:t>51</w:t>
    </w:r>
    <w:r>
      <w:rPr>
        <w:rFonts w:ascii="Times New Roman" w:hAnsi="Times New Roman" w:eastAsia="仿宋_GB2312" w:cs="Times New Roman"/>
        <w:kern w:val="2"/>
        <w:sz w:val="24"/>
        <w:szCs w:val="18"/>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80AA">
    <w:pPr>
      <w:pStyle w:val="14"/>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v:textbox>
            </v:shape>
          </w:pict>
        </mc:Fallback>
      </mc:AlternateContent>
    </w:r>
  </w:p>
  <w:p w14:paraId="50C1E46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A02">
    <w:pPr>
      <w:pStyle w:val="15"/>
      <w:pBdr>
        <w:bottom w:val="thinThickMediumGap" w:color="auto" w:sz="18" w:space="1"/>
      </w:pBdr>
      <w:jc w:val="distribute"/>
      <w:rPr>
        <w:rFonts w:ascii="宋体" w:hAnsi="宋体" w:cs="宋体"/>
        <w:b/>
      </w:rPr>
    </w:pPr>
  </w:p>
  <w:p w14:paraId="7B509B3F">
    <w:pPr>
      <w:pStyle w:val="15"/>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8167">
    <w:pPr>
      <w:pStyle w:val="15"/>
      <w:pBdr>
        <w:bottom w:val="none" w:color="auto" w:sz="0" w:space="1"/>
      </w:pBdr>
      <w:jc w:val="both"/>
    </w:pPr>
  </w:p>
  <w:p w14:paraId="03F67144">
    <w:pPr>
      <w:pStyle w:val="15"/>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324D">
    <w:pPr>
      <w:pStyle w:val="15"/>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C61D2A68"/>
    <w:multiLevelType w:val="singleLevel"/>
    <w:tmpl w:val="C61D2A68"/>
    <w:lvl w:ilvl="0" w:tentative="0">
      <w:start w:val="1"/>
      <w:numFmt w:val="decimal"/>
      <w:suff w:val="nothing"/>
      <w:lvlText w:val="（%1）"/>
      <w:lvlJc w:val="left"/>
    </w:lvl>
  </w:abstractNum>
  <w:abstractNum w:abstractNumId="2">
    <w:nsid w:val="E6B65167"/>
    <w:multiLevelType w:val="singleLevel"/>
    <w:tmpl w:val="E6B65167"/>
    <w:lvl w:ilvl="0" w:tentative="0">
      <w:start w:val="1"/>
      <w:numFmt w:val="lowerRoman"/>
      <w:lvlText w:val="%1."/>
      <w:lvlJc w:val="left"/>
      <w:pPr>
        <w:tabs>
          <w:tab w:val="left" w:pos="312"/>
        </w:tabs>
      </w:pPr>
    </w:lvl>
  </w:abstractNum>
  <w:abstractNum w:abstractNumId="3">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1FC91163"/>
    <w:multiLevelType w:val="multilevel"/>
    <w:tmpl w:val="1FC91163"/>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C2B4862"/>
    <w:multiLevelType w:val="multilevel"/>
    <w:tmpl w:val="4C2B4862"/>
    <w:lvl w:ilvl="0" w:tentative="0">
      <w:start w:val="1"/>
      <w:numFmt w:val="lowerLetter"/>
      <w:lvlText w:val="%1)"/>
      <w:lvlJc w:val="left"/>
      <w:pPr>
        <w:ind w:left="4620" w:hanging="420"/>
      </w:pPr>
    </w:lvl>
    <w:lvl w:ilvl="1" w:tentative="0">
      <w:start w:val="1"/>
      <w:numFmt w:val="lowerLetter"/>
      <w:lvlText w:val="%2)"/>
      <w:lvlJc w:val="left"/>
      <w:pPr>
        <w:ind w:left="5040" w:hanging="420"/>
      </w:pPr>
    </w:lvl>
    <w:lvl w:ilvl="2" w:tentative="0">
      <w:start w:val="1"/>
      <w:numFmt w:val="lowerRoman"/>
      <w:lvlText w:val="%3."/>
      <w:lvlJc w:val="right"/>
      <w:pPr>
        <w:ind w:left="5460" w:hanging="420"/>
      </w:pPr>
    </w:lvl>
    <w:lvl w:ilvl="3" w:tentative="0">
      <w:start w:val="1"/>
      <w:numFmt w:val="decimal"/>
      <w:lvlText w:val="%4."/>
      <w:lvlJc w:val="left"/>
      <w:pPr>
        <w:ind w:left="5880" w:hanging="420"/>
      </w:pPr>
    </w:lvl>
    <w:lvl w:ilvl="4" w:tentative="0">
      <w:start w:val="1"/>
      <w:numFmt w:val="lowerLetter"/>
      <w:lvlText w:val="%5)"/>
      <w:lvlJc w:val="left"/>
      <w:pPr>
        <w:ind w:left="6300" w:hanging="420"/>
      </w:pPr>
    </w:lvl>
    <w:lvl w:ilvl="5" w:tentative="0">
      <w:start w:val="1"/>
      <w:numFmt w:val="lowerRoman"/>
      <w:lvlText w:val="%6."/>
      <w:lvlJc w:val="right"/>
      <w:pPr>
        <w:ind w:left="6720" w:hanging="420"/>
      </w:pPr>
    </w:lvl>
    <w:lvl w:ilvl="6" w:tentative="0">
      <w:start w:val="1"/>
      <w:numFmt w:val="decimal"/>
      <w:lvlText w:val="%7."/>
      <w:lvlJc w:val="left"/>
      <w:pPr>
        <w:ind w:left="7140" w:hanging="420"/>
      </w:pPr>
    </w:lvl>
    <w:lvl w:ilvl="7" w:tentative="0">
      <w:start w:val="1"/>
      <w:numFmt w:val="lowerLetter"/>
      <w:lvlText w:val="%8)"/>
      <w:lvlJc w:val="left"/>
      <w:pPr>
        <w:ind w:left="7560" w:hanging="420"/>
      </w:pPr>
    </w:lvl>
    <w:lvl w:ilvl="8" w:tentative="0">
      <w:start w:val="1"/>
      <w:numFmt w:val="lowerRoman"/>
      <w:lvlText w:val="%9."/>
      <w:lvlJc w:val="right"/>
      <w:pPr>
        <w:ind w:left="7980" w:hanging="420"/>
      </w:pPr>
    </w:lvl>
  </w:abstractNum>
  <w:abstractNum w:abstractNumId="8">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5EA1A11"/>
    <w:multiLevelType w:val="singleLevel"/>
    <w:tmpl w:val="55EA1A11"/>
    <w:lvl w:ilvl="0" w:tentative="0">
      <w:start w:val="2"/>
      <w:numFmt w:val="decimal"/>
      <w:suff w:val="space"/>
      <w:lvlText w:val="%1."/>
      <w:lvlJc w:val="left"/>
    </w:lvl>
  </w:abstractNum>
  <w:abstractNum w:abstractNumId="10">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513807E"/>
    <w:multiLevelType w:val="singleLevel"/>
    <w:tmpl w:val="7513807E"/>
    <w:lvl w:ilvl="0" w:tentative="0">
      <w:start w:val="5"/>
      <w:numFmt w:val="decimal"/>
      <w:lvlText w:val="%1."/>
      <w:lvlJc w:val="left"/>
      <w:pPr>
        <w:tabs>
          <w:tab w:val="left" w:pos="312"/>
        </w:tabs>
      </w:pPr>
    </w:lvl>
  </w:abstractNum>
  <w:num w:numId="1">
    <w:abstractNumId w:val="11"/>
  </w:num>
  <w:num w:numId="2">
    <w:abstractNumId w:val="1"/>
  </w:num>
  <w:num w:numId="3">
    <w:abstractNumId w:val="2"/>
  </w:num>
  <w:num w:numId="4">
    <w:abstractNumId w:val="14"/>
  </w:num>
  <w:num w:numId="5">
    <w:abstractNumId w:val="0"/>
  </w:num>
  <w:num w:numId="6">
    <w:abstractNumId w:val="9"/>
  </w:num>
  <w:num w:numId="7">
    <w:abstractNumId w:val="7"/>
  </w:num>
  <w:num w:numId="8">
    <w:abstractNumId w:val="13"/>
  </w:num>
  <w:num w:numId="9">
    <w:abstractNumId w:val="5"/>
  </w:num>
  <w:num w:numId="10">
    <w:abstractNumId w:val="8"/>
  </w:num>
  <w:num w:numId="11">
    <w:abstractNumId w:val="3"/>
  </w:num>
  <w:num w:numId="12">
    <w:abstractNumId w:val="6"/>
  </w:num>
  <w:num w:numId="13">
    <w:abstractNumId w:val="4"/>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5784A"/>
    <w:rsid w:val="0006349A"/>
    <w:rsid w:val="000639DA"/>
    <w:rsid w:val="00066327"/>
    <w:rsid w:val="00067A52"/>
    <w:rsid w:val="00074A9C"/>
    <w:rsid w:val="000C313A"/>
    <w:rsid w:val="000C59FF"/>
    <w:rsid w:val="000D61D5"/>
    <w:rsid w:val="000E3867"/>
    <w:rsid w:val="000F4C42"/>
    <w:rsid w:val="000F6CBB"/>
    <w:rsid w:val="00101650"/>
    <w:rsid w:val="001246C1"/>
    <w:rsid w:val="0013357C"/>
    <w:rsid w:val="00134003"/>
    <w:rsid w:val="0013507B"/>
    <w:rsid w:val="0015136C"/>
    <w:rsid w:val="001546C4"/>
    <w:rsid w:val="0017455F"/>
    <w:rsid w:val="00177480"/>
    <w:rsid w:val="00177D96"/>
    <w:rsid w:val="00181091"/>
    <w:rsid w:val="00195024"/>
    <w:rsid w:val="001A7ABD"/>
    <w:rsid w:val="001C504A"/>
    <w:rsid w:val="001D263E"/>
    <w:rsid w:val="001E4C22"/>
    <w:rsid w:val="001E7567"/>
    <w:rsid w:val="001F306D"/>
    <w:rsid w:val="001F6D3B"/>
    <w:rsid w:val="001F75D1"/>
    <w:rsid w:val="00245607"/>
    <w:rsid w:val="00271875"/>
    <w:rsid w:val="002769D8"/>
    <w:rsid w:val="00277025"/>
    <w:rsid w:val="002A4E7C"/>
    <w:rsid w:val="002A74FC"/>
    <w:rsid w:val="002C7821"/>
    <w:rsid w:val="00304C5C"/>
    <w:rsid w:val="003176E5"/>
    <w:rsid w:val="00320BF2"/>
    <w:rsid w:val="003315DC"/>
    <w:rsid w:val="00331BC5"/>
    <w:rsid w:val="00340F41"/>
    <w:rsid w:val="00343409"/>
    <w:rsid w:val="00347237"/>
    <w:rsid w:val="00360D0D"/>
    <w:rsid w:val="00362B9C"/>
    <w:rsid w:val="00366930"/>
    <w:rsid w:val="00367BC3"/>
    <w:rsid w:val="00370CFF"/>
    <w:rsid w:val="0038741C"/>
    <w:rsid w:val="00391ABF"/>
    <w:rsid w:val="003A0B07"/>
    <w:rsid w:val="003B0DA4"/>
    <w:rsid w:val="003C1200"/>
    <w:rsid w:val="003C19D4"/>
    <w:rsid w:val="003D3228"/>
    <w:rsid w:val="003E2337"/>
    <w:rsid w:val="004027DD"/>
    <w:rsid w:val="00411C82"/>
    <w:rsid w:val="0041311F"/>
    <w:rsid w:val="00423578"/>
    <w:rsid w:val="00427796"/>
    <w:rsid w:val="00444480"/>
    <w:rsid w:val="00445084"/>
    <w:rsid w:val="00465DC3"/>
    <w:rsid w:val="00491316"/>
    <w:rsid w:val="00494362"/>
    <w:rsid w:val="004A5B13"/>
    <w:rsid w:val="004B6BE1"/>
    <w:rsid w:val="004C1C65"/>
    <w:rsid w:val="004C4ED6"/>
    <w:rsid w:val="004C7FDE"/>
    <w:rsid w:val="004D0768"/>
    <w:rsid w:val="004D0830"/>
    <w:rsid w:val="00506E72"/>
    <w:rsid w:val="0051340F"/>
    <w:rsid w:val="00530CFA"/>
    <w:rsid w:val="00535B40"/>
    <w:rsid w:val="0055580E"/>
    <w:rsid w:val="005732E8"/>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D4DED"/>
    <w:rsid w:val="008E41A1"/>
    <w:rsid w:val="008E78AD"/>
    <w:rsid w:val="00916B62"/>
    <w:rsid w:val="009175B4"/>
    <w:rsid w:val="00937BE3"/>
    <w:rsid w:val="00956A25"/>
    <w:rsid w:val="00971102"/>
    <w:rsid w:val="0098054D"/>
    <w:rsid w:val="00990130"/>
    <w:rsid w:val="009A1ED4"/>
    <w:rsid w:val="009D202F"/>
    <w:rsid w:val="009E1A97"/>
    <w:rsid w:val="009E2AED"/>
    <w:rsid w:val="009F2F18"/>
    <w:rsid w:val="009F5130"/>
    <w:rsid w:val="00A11B03"/>
    <w:rsid w:val="00A129FC"/>
    <w:rsid w:val="00A13A6F"/>
    <w:rsid w:val="00A323FB"/>
    <w:rsid w:val="00A544E5"/>
    <w:rsid w:val="00A577A1"/>
    <w:rsid w:val="00A72AF6"/>
    <w:rsid w:val="00A90A78"/>
    <w:rsid w:val="00AA0104"/>
    <w:rsid w:val="00AA2C25"/>
    <w:rsid w:val="00AA6699"/>
    <w:rsid w:val="00AA6B15"/>
    <w:rsid w:val="00AA72B3"/>
    <w:rsid w:val="00AC484F"/>
    <w:rsid w:val="00AC5B2B"/>
    <w:rsid w:val="00AD20B5"/>
    <w:rsid w:val="00AE381E"/>
    <w:rsid w:val="00AF07CF"/>
    <w:rsid w:val="00AF46CE"/>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3EC"/>
    <w:rsid w:val="00C516D1"/>
    <w:rsid w:val="00C63D4D"/>
    <w:rsid w:val="00C77A33"/>
    <w:rsid w:val="00CA2115"/>
    <w:rsid w:val="00CA6278"/>
    <w:rsid w:val="00CC206B"/>
    <w:rsid w:val="00CC2A62"/>
    <w:rsid w:val="00CC6373"/>
    <w:rsid w:val="00CD536C"/>
    <w:rsid w:val="00CF2B7E"/>
    <w:rsid w:val="00CF44FD"/>
    <w:rsid w:val="00D3568B"/>
    <w:rsid w:val="00D64B0C"/>
    <w:rsid w:val="00D66967"/>
    <w:rsid w:val="00D755A5"/>
    <w:rsid w:val="00D75A6B"/>
    <w:rsid w:val="00D7614C"/>
    <w:rsid w:val="00D76D3D"/>
    <w:rsid w:val="00D77F52"/>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53995"/>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1F2B13C4"/>
    <w:rsid w:val="21592A0A"/>
    <w:rsid w:val="21B875B1"/>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83408A5"/>
    <w:rsid w:val="4AE1509D"/>
    <w:rsid w:val="4E8D6C9B"/>
    <w:rsid w:val="4FAE474F"/>
    <w:rsid w:val="531540B7"/>
    <w:rsid w:val="56093F5F"/>
    <w:rsid w:val="57314EF4"/>
    <w:rsid w:val="5BC81896"/>
    <w:rsid w:val="5CFD7948"/>
    <w:rsid w:val="5DE32A49"/>
    <w:rsid w:val="604F627F"/>
    <w:rsid w:val="62560FBE"/>
    <w:rsid w:val="66EE541F"/>
    <w:rsid w:val="67114A94"/>
    <w:rsid w:val="698971FC"/>
    <w:rsid w:val="6B5C44B8"/>
    <w:rsid w:val="6BDC6C36"/>
    <w:rsid w:val="6EDA6DB9"/>
    <w:rsid w:val="6F4F078F"/>
    <w:rsid w:val="71D37C38"/>
    <w:rsid w:val="72030E1E"/>
    <w:rsid w:val="730347A1"/>
    <w:rsid w:val="762A44F2"/>
    <w:rsid w:val="772B173D"/>
    <w:rsid w:val="789C1508"/>
    <w:rsid w:val="78EA4A4D"/>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paragraph" w:styleId="6">
    <w:name w:val="heading 5"/>
    <w:basedOn w:val="1"/>
    <w:next w:val="1"/>
    <w:link w:val="6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semiHidden/>
    <w:unhideWhenUsed/>
    <w:qFormat/>
    <w:uiPriority w:val="99"/>
    <w:pPr>
      <w:spacing w:after="120"/>
    </w:pPr>
  </w:style>
  <w:style w:type="paragraph" w:styleId="8">
    <w:name w:val="List 3"/>
    <w:basedOn w:val="1"/>
    <w:qFormat/>
    <w:uiPriority w:val="0"/>
    <w:pPr>
      <w:ind w:left="1260" w:hanging="420"/>
    </w:pPr>
    <w:rPr>
      <w:szCs w:val="20"/>
    </w:rPr>
  </w:style>
  <w:style w:type="paragraph" w:styleId="9">
    <w:name w:val="annotation text"/>
    <w:basedOn w:val="1"/>
    <w:link w:val="30"/>
    <w:unhideWhenUsed/>
    <w:qFormat/>
    <w:uiPriority w:val="99"/>
    <w:pPr>
      <w:jc w:val="left"/>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Date"/>
    <w:basedOn w:val="1"/>
    <w:next w:val="1"/>
    <w:link w:val="59"/>
    <w:semiHidden/>
    <w:unhideWhenUsed/>
    <w:qFormat/>
    <w:uiPriority w:val="99"/>
    <w:pPr>
      <w:ind w:left="100" w:leftChars="2500"/>
    </w:pPr>
  </w:style>
  <w:style w:type="paragraph" w:styleId="12">
    <w:name w:val="Body Text Indent 2"/>
    <w:basedOn w:val="1"/>
    <w:link w:val="32"/>
    <w:qFormat/>
    <w:uiPriority w:val="99"/>
    <w:pPr>
      <w:ind w:firstLine="480"/>
    </w:pPr>
    <w:rPr>
      <w:rFonts w:ascii="仿宋_GB2312" w:eastAsia="仿宋_GB2312"/>
      <w:sz w:val="24"/>
      <w:szCs w:val="20"/>
    </w:r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spacing w:beforeAutospacing="1" w:afterAutospacing="1"/>
      <w:jc w:val="left"/>
    </w:pPr>
    <w:rPr>
      <w:kern w:val="0"/>
      <w:sz w:val="24"/>
    </w:rPr>
  </w:style>
  <w:style w:type="paragraph" w:styleId="19">
    <w:name w:val="annotation subject"/>
    <w:basedOn w:val="9"/>
    <w:next w:val="9"/>
    <w:link w:val="31"/>
    <w:unhideWhenUsed/>
    <w:qFormat/>
    <w:uiPriority w:val="99"/>
    <w:rPr>
      <w:b/>
      <w:bCs/>
    </w:r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22"/>
    <w:link w:val="3"/>
    <w:qFormat/>
    <w:uiPriority w:val="0"/>
    <w:rPr>
      <w:rFonts w:ascii="Times New Roman" w:hAnsi="Times New Roman" w:eastAsia="宋体" w:cs="Times New Roman"/>
      <w:b/>
      <w:bCs/>
      <w:kern w:val="44"/>
      <w:sz w:val="44"/>
      <w:szCs w:val="44"/>
    </w:rPr>
  </w:style>
  <w:style w:type="character" w:customStyle="1" w:styleId="28">
    <w:name w:val="标题 2 字符"/>
    <w:basedOn w:val="22"/>
    <w:link w:val="4"/>
    <w:qFormat/>
    <w:uiPriority w:val="0"/>
    <w:rPr>
      <w:rFonts w:ascii="Arial" w:hAnsi="Arial" w:eastAsia="黑体" w:cs="Times New Roman"/>
      <w:b/>
      <w:bCs/>
      <w:sz w:val="32"/>
      <w:szCs w:val="32"/>
    </w:rPr>
  </w:style>
  <w:style w:type="character" w:customStyle="1" w:styleId="29">
    <w:name w:val="标题 3 字符"/>
    <w:basedOn w:val="22"/>
    <w:link w:val="5"/>
    <w:qFormat/>
    <w:uiPriority w:val="0"/>
    <w:rPr>
      <w:rFonts w:ascii="Times New Roman" w:hAnsi="Times New Roman" w:eastAsia="宋体" w:cs="Times New Roman"/>
      <w:b/>
      <w:bCs/>
      <w:sz w:val="32"/>
      <w:szCs w:val="32"/>
    </w:rPr>
  </w:style>
  <w:style w:type="character" w:customStyle="1" w:styleId="30">
    <w:name w:val="批注文字 字符"/>
    <w:basedOn w:val="22"/>
    <w:link w:val="9"/>
    <w:qFormat/>
    <w:uiPriority w:val="99"/>
    <w:rPr>
      <w:rFonts w:ascii="Times New Roman" w:hAnsi="Times New Roman" w:eastAsia="宋体" w:cs="Times New Roman"/>
      <w:szCs w:val="24"/>
    </w:rPr>
  </w:style>
  <w:style w:type="character" w:customStyle="1" w:styleId="31">
    <w:name w:val="批注主题 字符"/>
    <w:basedOn w:val="30"/>
    <w:link w:val="19"/>
    <w:qFormat/>
    <w:uiPriority w:val="99"/>
    <w:rPr>
      <w:rFonts w:ascii="Times New Roman" w:hAnsi="Times New Roman" w:eastAsia="宋体" w:cs="Times New Roman"/>
      <w:b/>
      <w:bCs/>
      <w:szCs w:val="24"/>
    </w:rPr>
  </w:style>
  <w:style w:type="character" w:customStyle="1" w:styleId="32">
    <w:name w:val="正文文本缩进 2 字符"/>
    <w:basedOn w:val="22"/>
    <w:link w:val="12"/>
    <w:qFormat/>
    <w:uiPriority w:val="99"/>
    <w:rPr>
      <w:rFonts w:ascii="仿宋_GB2312" w:hAnsi="Times New Roman" w:eastAsia="仿宋_GB2312" w:cs="Times New Roman"/>
      <w:sz w:val="24"/>
      <w:szCs w:val="20"/>
    </w:rPr>
  </w:style>
  <w:style w:type="character" w:customStyle="1" w:styleId="33">
    <w:name w:val="批注框文本 字符"/>
    <w:basedOn w:val="22"/>
    <w:link w:val="13"/>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character" w:customStyle="1" w:styleId="35">
    <w:name w:val="页眉 字符"/>
    <w:basedOn w:val="22"/>
    <w:link w:val="15"/>
    <w:qFormat/>
    <w:uiPriority w:val="99"/>
    <w:rPr>
      <w:rFonts w:ascii="Times New Roman" w:hAnsi="Times New Roman" w:eastAsia="宋体" w:cs="Times New Roman"/>
      <w:sz w:val="18"/>
      <w:szCs w:val="18"/>
    </w:rPr>
  </w:style>
  <w:style w:type="paragraph" w:customStyle="1" w:styleId="36">
    <w:name w:val="样式2"/>
    <w:basedOn w:val="1"/>
    <w:qFormat/>
    <w:uiPriority w:val="0"/>
    <w:pPr>
      <w:adjustRightInd w:val="0"/>
      <w:spacing w:line="410" w:lineRule="atLeast"/>
      <w:textAlignment w:val="baseline"/>
    </w:pPr>
    <w:rPr>
      <w:kern w:val="0"/>
      <w:sz w:val="24"/>
      <w:szCs w:val="20"/>
    </w:rPr>
  </w:style>
  <w:style w:type="paragraph" w:customStyle="1" w:styleId="3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8">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2"/>
    <w:link w:val="39"/>
    <w:qFormat/>
    <w:uiPriority w:val="1"/>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character" w:customStyle="1" w:styleId="59">
    <w:name w:val="日期 字符"/>
    <w:basedOn w:val="22"/>
    <w:link w:val="11"/>
    <w:semiHidden/>
    <w:qFormat/>
    <w:uiPriority w:val="99"/>
    <w:rPr>
      <w:rFonts w:ascii="Times New Roman" w:hAnsi="Times New Roman" w:eastAsia="宋体" w:cs="Times New Roman"/>
      <w:szCs w:val="24"/>
    </w:rPr>
  </w:style>
  <w:style w:type="paragraph" w:customStyle="1" w:styleId="6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3">
    <w:name w:val="标题 5 字符"/>
    <w:basedOn w:val="22"/>
    <w:link w:val="6"/>
    <w:qFormat/>
    <w:uiPriority w:val="9"/>
    <w:rPr>
      <w:rFonts w:ascii="Times New Roman" w:hAnsi="Times New Roman" w:eastAsia="宋体" w:cs="Times New Roman"/>
      <w:b/>
      <w:bCs/>
      <w:kern w:val="2"/>
      <w:sz w:val="28"/>
      <w:szCs w:val="28"/>
    </w:rPr>
  </w:style>
  <w:style w:type="character" w:customStyle="1" w:styleId="64">
    <w:name w:val="标题 6 字符"/>
    <w:basedOn w:val="22"/>
    <w:link w:val="7"/>
    <w:qFormat/>
    <w:uiPriority w:val="9"/>
    <w:rPr>
      <w:rFonts w:asciiTheme="majorHAnsi" w:hAnsiTheme="majorHAnsi" w:eastAsiaTheme="majorEastAsia" w:cstheme="majorBidi"/>
      <w:b/>
      <w:bCs/>
      <w:kern w:val="2"/>
      <w:sz w:val="24"/>
      <w:szCs w:val="24"/>
    </w:rPr>
  </w:style>
  <w:style w:type="paragraph" w:customStyle="1" w:styleId="65">
    <w:name w:val="段落(首缩进)"/>
    <w:basedOn w:val="2"/>
    <w:link w:val="66"/>
    <w:qFormat/>
    <w:uiPriority w:val="0"/>
    <w:pPr>
      <w:widowControl/>
      <w:adjustRightInd w:val="0"/>
      <w:snapToGrid w:val="0"/>
      <w:spacing w:after="0" w:line="360" w:lineRule="auto"/>
      <w:ind w:firstLine="480" w:firstLineChars="200"/>
      <w:jc w:val="left"/>
    </w:pPr>
    <w:rPr>
      <w:sz w:val="24"/>
      <w:szCs w:val="21"/>
    </w:rPr>
  </w:style>
  <w:style w:type="character" w:customStyle="1" w:styleId="66">
    <w:name w:val="段落(首缩进) Char Char"/>
    <w:link w:val="65"/>
    <w:qFormat/>
    <w:uiPriority w:val="0"/>
    <w:rPr>
      <w:rFonts w:ascii="Times New Roman" w:hAnsi="Times New Roman" w:eastAsia="宋体" w:cs="Times New Roman"/>
      <w:kern w:val="2"/>
      <w:sz w:val="24"/>
      <w:szCs w:val="21"/>
    </w:rPr>
  </w:style>
  <w:style w:type="character" w:customStyle="1" w:styleId="67">
    <w:name w:val="正文文本 字符"/>
    <w:basedOn w:val="22"/>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emf"/><Relationship Id="rId17" Type="http://schemas.openxmlformats.org/officeDocument/2006/relationships/oleObject" Target="embeddings/oleObject2.bin"/><Relationship Id="rId16" Type="http://schemas.openxmlformats.org/officeDocument/2006/relationships/image" Target="media/image5.e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65B6B-0C7B-42ED-BFFC-D5CCD90A5CA2}">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31525</Words>
  <Characters>34333</Characters>
  <Lines>150</Lines>
  <Paragraphs>42</Paragraphs>
  <TotalTime>31</TotalTime>
  <ScaleCrop>false</ScaleCrop>
  <LinksUpToDate>false</LinksUpToDate>
  <CharactersWithSpaces>36490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2025-01-07T10:00:00Z</dcterms:created>
  <dc:creator>杨倩</dc:creator>
  <cp:lastModifiedBy>envy.</cp:lastModifiedBy>
  <dcterms:modified xsi:type="dcterms:W3CDTF">2025-01-14T01:57:46Z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DEB307DE9DE54E359282DBB5305A559A_13</vt:lpwstr>
  </property>
  <property fmtid="{D5CDD505-2E9C-101B-9397-08002B2CF9AE}" pid="4" name="KSOTemplateDocerSaveRecord">
    <vt:lpwstr>eyJoZGlkIjoiMjIzODU5ZGRkYTVkODQ4NTI2Nzc3N2I3NjAyMGUzMTQiLCJ1c2VySWQiOiI0NTQ4MDg0MDgifQ==</vt:lpwstr>
  </property>
</Properties>
</file>