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sz w:val="36"/>
          <w:szCs w:val="36"/>
        </w:rPr>
      </w:pPr>
      <w:bookmarkStart w:id="0" w:name="_Toc417895952"/>
      <w:bookmarkStart w:id="1" w:name="_Toc417896685"/>
      <w:bookmarkStart w:id="2" w:name="_Toc417896502"/>
      <w:bookmarkStart w:id="3" w:name="_Toc416703361"/>
      <w:bookmarkStart w:id="4" w:name="_Toc416702955"/>
      <w:r>
        <w:rPr>
          <w:rFonts w:hint="eastAsia" w:ascii="宋体" w:hAnsi="宋体" w:cs="宋体"/>
          <w:b/>
          <w:sz w:val="36"/>
          <w:szCs w:val="36"/>
        </w:rPr>
        <w:t>项目名称：小蚁托盘服务中心项目竞争性谈判</w:t>
      </w:r>
    </w:p>
    <w:p>
      <w:pPr>
        <w:ind w:left="1807" w:hanging="1807" w:hangingChars="500"/>
        <w:rPr>
          <w:rFonts w:hint="eastAsia" w:ascii="宋体" w:hAnsi="宋体" w:eastAsia="宋体" w:cs="宋体"/>
          <w:b/>
          <w:sz w:val="36"/>
          <w:szCs w:val="36"/>
          <w:lang w:val="en-US" w:eastAsia="zh-CN"/>
        </w:rPr>
      </w:pPr>
      <w:r>
        <w:rPr>
          <w:rFonts w:hint="eastAsia" w:ascii="宋体" w:hAnsi="宋体" w:cs="宋体"/>
          <w:b/>
          <w:sz w:val="36"/>
          <w:szCs w:val="36"/>
        </w:rPr>
        <w:t>采购编号：</w:t>
      </w:r>
      <w:r>
        <w:rPr>
          <w:rFonts w:hint="eastAsia" w:ascii="宋体" w:hAnsi="宋体" w:cs="宋体"/>
          <w:b/>
          <w:color w:val="FF0000"/>
          <w:sz w:val="36"/>
          <w:szCs w:val="36"/>
        </w:rPr>
        <w:t>CPIC-XHBZ-JZTP-2</w:t>
      </w:r>
      <w:r>
        <w:rPr>
          <w:rFonts w:hint="eastAsia" w:ascii="宋体" w:hAnsi="宋体" w:cs="宋体"/>
          <w:b/>
          <w:color w:val="FF0000"/>
          <w:sz w:val="36"/>
          <w:szCs w:val="36"/>
          <w:lang w:val="en-US" w:eastAsia="zh-CN"/>
        </w:rPr>
        <w:t>4</w:t>
      </w:r>
      <w:r>
        <w:rPr>
          <w:rFonts w:hint="eastAsia" w:ascii="宋体" w:hAnsi="宋体" w:cs="宋体"/>
          <w:b/>
          <w:color w:val="FF0000"/>
          <w:sz w:val="36"/>
          <w:szCs w:val="36"/>
        </w:rPr>
        <w:t>-0</w:t>
      </w:r>
      <w:r>
        <w:rPr>
          <w:rFonts w:hint="eastAsia" w:ascii="宋体" w:hAnsi="宋体" w:cs="宋体"/>
          <w:b/>
          <w:color w:val="FF0000"/>
          <w:sz w:val="36"/>
          <w:szCs w:val="36"/>
          <w:lang w:val="en-US" w:eastAsia="zh-CN"/>
        </w:rPr>
        <w:t>2</w:t>
      </w:r>
    </w:p>
    <w:bookmarkEnd w:id="0"/>
    <w:bookmarkEnd w:id="1"/>
    <w:bookmarkEnd w:id="2"/>
    <w:bookmarkEnd w:id="3"/>
    <w:bookmarkEnd w:id="4"/>
    <w:p>
      <w:pPr>
        <w:rPr>
          <w:rFonts w:ascii="宋体" w:hAnsi="宋体"/>
        </w:rPr>
      </w:pPr>
    </w:p>
    <w:p>
      <w:pPr>
        <w:spacing w:line="360" w:lineRule="auto"/>
        <w:jc w:val="center"/>
        <w:rPr>
          <w:rFonts w:ascii="宋体" w:hAnsi="宋体"/>
          <w:b/>
          <w:bCs/>
          <w:sz w:val="128"/>
          <w:szCs w:val="128"/>
        </w:rPr>
      </w:pPr>
    </w:p>
    <w:p>
      <w:pPr>
        <w:spacing w:line="360" w:lineRule="auto"/>
        <w:jc w:val="center"/>
        <w:rPr>
          <w:rFonts w:ascii="宋体" w:hAnsi="宋体"/>
          <w:b/>
          <w:bCs/>
          <w:sz w:val="96"/>
          <w:szCs w:val="120"/>
        </w:rPr>
      </w:pPr>
      <w:r>
        <w:rPr>
          <w:rFonts w:hint="eastAsia" w:ascii="宋体" w:hAnsi="宋体"/>
          <w:b/>
          <w:bCs/>
          <w:sz w:val="96"/>
          <w:szCs w:val="120"/>
        </w:rPr>
        <w:t>竞争性谈判文件</w:t>
      </w: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tbl>
      <w:tblPr>
        <w:tblStyle w:val="18"/>
        <w:tblW w:w="82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2088" w:type="dxa"/>
          </w:tcPr>
          <w:p>
            <w:pPr>
              <w:rPr>
                <w:rFonts w:ascii="宋体" w:hAnsi="宋体"/>
                <w:b/>
                <w:bCs/>
                <w:kern w:val="0"/>
                <w:sz w:val="20"/>
                <w:szCs w:val="21"/>
              </w:rPr>
            </w:pPr>
          </w:p>
        </w:tc>
        <w:tc>
          <w:tcPr>
            <w:tcW w:w="6146" w:type="dxa"/>
          </w:tcPr>
          <w:p>
            <w:pPr>
              <w:rPr>
                <w:rFonts w:ascii="宋体" w:hAnsi="宋体"/>
                <w:b/>
                <w:bCs/>
                <w:kern w:val="0"/>
                <w:sz w:val="40"/>
                <w:szCs w:val="40"/>
              </w:rPr>
            </w:pPr>
          </w:p>
        </w:tc>
      </w:tr>
    </w:tbl>
    <w:p>
      <w:pPr>
        <w:autoSpaceDE w:val="0"/>
        <w:autoSpaceDN w:val="0"/>
        <w:adjustRightInd w:val="0"/>
        <w:snapToGrid w:val="0"/>
        <w:spacing w:line="360" w:lineRule="auto"/>
        <w:jc w:val="left"/>
        <w:rPr>
          <w:rFonts w:ascii="宋体" w:hAnsi="宋体" w:cs="宋体"/>
          <w:b/>
          <w:bCs/>
          <w:sz w:val="36"/>
          <w:szCs w:val="36"/>
        </w:rPr>
      </w:pPr>
      <w:bookmarkStart w:id="5" w:name="_Toc230773922"/>
    </w:p>
    <w:p>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编写：         审核：</w:t>
      </w:r>
    </w:p>
    <w:p>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w:t>
      </w:r>
    </w:p>
    <w:p>
      <w:pPr>
        <w:tabs>
          <w:tab w:val="left" w:pos="3200"/>
          <w:tab w:val="left" w:pos="4320"/>
          <w:tab w:val="left" w:pos="5420"/>
        </w:tabs>
        <w:autoSpaceDE w:val="0"/>
        <w:autoSpaceDN w:val="0"/>
        <w:adjustRightInd w:val="0"/>
        <w:snapToGrid w:val="0"/>
        <w:spacing w:line="360" w:lineRule="auto"/>
        <w:jc w:val="center"/>
        <w:rPr>
          <w:rFonts w:ascii="宋体" w:hAnsi="宋体" w:cs="宋体"/>
          <w:b/>
          <w:color w:val="FF0000"/>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color w:val="FF0000"/>
          <w:w w:val="95"/>
          <w:kern w:val="0"/>
          <w:sz w:val="32"/>
          <w:szCs w:val="32"/>
        </w:rPr>
        <w:t>二○二</w:t>
      </w:r>
      <w:r>
        <w:rPr>
          <w:rFonts w:hint="eastAsia" w:ascii="宋体" w:hAnsi="宋体" w:cs="宋体"/>
          <w:b/>
          <w:color w:val="FF0000"/>
          <w:w w:val="95"/>
          <w:kern w:val="0"/>
          <w:sz w:val="32"/>
          <w:szCs w:val="32"/>
          <w:lang w:val="en-US" w:eastAsia="zh-CN"/>
        </w:rPr>
        <w:t>四</w:t>
      </w:r>
      <w:r>
        <w:rPr>
          <w:rFonts w:hint="eastAsia" w:ascii="宋体" w:hAnsi="宋体" w:cs="宋体"/>
          <w:b/>
          <w:color w:val="FF0000"/>
          <w:w w:val="95"/>
          <w:kern w:val="0"/>
          <w:sz w:val="32"/>
          <w:szCs w:val="32"/>
        </w:rPr>
        <w:t>年</w:t>
      </w:r>
      <w:r>
        <w:rPr>
          <w:rFonts w:hint="eastAsia" w:ascii="宋体" w:hAnsi="宋体" w:cs="宋体"/>
          <w:b/>
          <w:color w:val="FF0000"/>
          <w:w w:val="95"/>
          <w:kern w:val="0"/>
          <w:sz w:val="32"/>
          <w:szCs w:val="32"/>
          <w:lang w:val="en-US" w:eastAsia="zh-CN"/>
        </w:rPr>
        <w:t>二</w:t>
      </w:r>
      <w:r>
        <w:rPr>
          <w:rFonts w:hint="eastAsia" w:ascii="宋体" w:hAnsi="宋体" w:cs="宋体"/>
          <w:b/>
          <w:color w:val="FF0000"/>
          <w:w w:val="95"/>
          <w:kern w:val="0"/>
          <w:sz w:val="32"/>
          <w:szCs w:val="32"/>
        </w:rPr>
        <w:t>月</w:t>
      </w:r>
    </w:p>
    <w:p>
      <w:pPr>
        <w:pStyle w:val="58"/>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pPr>
        <w:pStyle w:val="13"/>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pPr>
        <w:pStyle w:val="13"/>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pPr>
        <w:spacing w:line="520" w:lineRule="exact"/>
        <w:rPr>
          <w:rFonts w:ascii="宋体" w:hAnsi="宋体"/>
          <w:b/>
          <w:sz w:val="28"/>
          <w:szCs w:val="28"/>
          <w:lang w:val="zh-CN"/>
        </w:rPr>
      </w:pPr>
      <w:r>
        <w:rPr>
          <w:rFonts w:hint="eastAsia" w:ascii="宋体" w:hAnsi="宋体"/>
          <w:b/>
          <w:sz w:val="28"/>
          <w:szCs w:val="28"/>
          <w:lang w:val="zh-CN"/>
        </w:rPr>
        <w:t>第三章 服务商须知</w:t>
      </w:r>
      <w:r>
        <w:rPr>
          <w:rFonts w:ascii="宋体" w:hAnsi="宋体"/>
          <w:b/>
          <w:sz w:val="28"/>
          <w:szCs w:val="28"/>
        </w:rPr>
        <w:ptab w:relativeTo="margin" w:alignment="right" w:leader="dot"/>
      </w:r>
      <w:r>
        <w:rPr>
          <w:rFonts w:hint="eastAsia" w:ascii="宋体" w:hAnsi="宋体"/>
          <w:b/>
          <w:sz w:val="28"/>
          <w:szCs w:val="28"/>
        </w:rPr>
        <w:t>7</w:t>
      </w:r>
    </w:p>
    <w:p>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pPr>
        <w:rPr>
          <w:rFonts w:ascii="宋体" w:hAnsi="宋体"/>
          <w:b/>
          <w:sz w:val="28"/>
          <w:szCs w:val="28"/>
        </w:rPr>
      </w:pPr>
    </w:p>
    <w:p>
      <w:pP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bookmarkEnd w:id="5"/>
    <w:p>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pPr>
        <w:jc w:val="center"/>
        <w:rPr>
          <w:rFonts w:ascii="宋体" w:hAnsi="宋体"/>
          <w:color w:val="000000"/>
          <w:sz w:val="32"/>
          <w:szCs w:val="32"/>
        </w:rPr>
      </w:pPr>
      <w:bookmarkStart w:id="6" w:name="_Toc415675120"/>
      <w:bookmarkStart w:id="7" w:name="OLE_LINK1"/>
      <w:bookmarkStart w:id="8" w:name="OLE_LINK7"/>
      <w:bookmarkStart w:id="9" w:name="_Toc415675642"/>
      <w:bookmarkStart w:id="10" w:name="_Toc440556695"/>
      <w:bookmarkStart w:id="11" w:name="OLE_LINK4"/>
      <w:r>
        <w:rPr>
          <w:rFonts w:hint="eastAsia" w:ascii="宋体" w:hAnsi="宋体" w:cs="宋体"/>
          <w:b/>
          <w:sz w:val="32"/>
          <w:szCs w:val="32"/>
          <w:u w:val="single"/>
        </w:rPr>
        <w:t xml:space="preserve">   小蚁托盘服务中心     　　</w:t>
      </w:r>
      <w:r>
        <w:rPr>
          <w:rFonts w:hint="eastAsia" w:ascii="宋体" w:hAnsi="宋体" w:cs="宋体"/>
          <w:b/>
          <w:sz w:val="32"/>
          <w:szCs w:val="32"/>
        </w:rPr>
        <w:t>采购</w:t>
      </w:r>
    </w:p>
    <w:p>
      <w:pPr>
        <w:spacing w:line="360" w:lineRule="auto"/>
        <w:jc w:val="left"/>
        <w:outlineLvl w:val="0"/>
        <w:rPr>
          <w:rFonts w:ascii="宋体" w:hAnsi="宋体"/>
          <w:b/>
          <w:snapToGrid w:val="0"/>
          <w:kern w:val="0"/>
          <w:sz w:val="28"/>
          <w:szCs w:val="28"/>
        </w:rPr>
      </w:pPr>
      <w:bookmarkStart w:id="12" w:name="_Toc5554"/>
      <w:bookmarkStart w:id="13" w:name="_Toc14729"/>
      <w:bookmarkStart w:id="14" w:name="_Toc30279"/>
      <w:bookmarkStart w:id="15" w:name="_Toc844"/>
      <w:bookmarkStart w:id="16" w:name="_Toc4962"/>
      <w:bookmarkStart w:id="17" w:name="_Toc10497"/>
      <w:bookmarkStart w:id="18" w:name="_Toc27508"/>
      <w:bookmarkStart w:id="19" w:name="_Toc29382"/>
      <w:bookmarkStart w:id="20" w:name="_Toc16466"/>
      <w:bookmarkStart w:id="21" w:name="_Toc26356"/>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rPr>
        <w:t>小蚁托盘服务中心采购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kern w:val="0"/>
          <w:szCs w:val="21"/>
          <w:u w:val="single"/>
        </w:rPr>
        <w:t>小蚁托盘服务中心采购</w:t>
      </w:r>
      <w:r>
        <w:rPr>
          <w:rFonts w:hint="eastAsia" w:ascii="宋体" w:hAnsi="宋体" w:cs="宋体"/>
          <w:b/>
          <w:szCs w:val="21"/>
          <w:u w:val="single"/>
        </w:rPr>
        <w:t>　　　</w:t>
      </w:r>
      <w:r>
        <w:rPr>
          <w:rFonts w:hint="eastAsia" w:ascii="宋体" w:hAnsi="宋体" w:cs="宋体"/>
          <w:kern w:val="0"/>
          <w:szCs w:val="21"/>
        </w:rPr>
        <w:t>进行公开竞争性谈判，特邀有兴趣的潜在单位参与竞争性谈判。</w:t>
      </w:r>
    </w:p>
    <w:p>
      <w:pPr>
        <w:spacing w:line="440" w:lineRule="exact"/>
        <w:jc w:val="left"/>
        <w:outlineLvl w:val="0"/>
        <w:rPr>
          <w:rFonts w:ascii="宋体" w:hAnsi="宋体"/>
          <w:b/>
          <w:snapToGrid w:val="0"/>
          <w:kern w:val="0"/>
          <w:szCs w:val="21"/>
        </w:rPr>
      </w:pPr>
      <w:bookmarkStart w:id="22" w:name="_Toc8077"/>
      <w:bookmarkStart w:id="23" w:name="_Toc31685"/>
      <w:bookmarkStart w:id="24" w:name="_Toc19590"/>
      <w:bookmarkStart w:id="25" w:name="_Toc29348"/>
      <w:bookmarkStart w:id="26" w:name="_Toc6552"/>
      <w:bookmarkStart w:id="27" w:name="_Toc18911"/>
      <w:bookmarkStart w:id="28" w:name="_Toc17916"/>
      <w:bookmarkStart w:id="29" w:name="_Toc16188"/>
      <w:bookmarkStart w:id="30" w:name="_Toc24224"/>
      <w:bookmarkStart w:id="31" w:name="_Toc20027"/>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pPr>
        <w:widowControl/>
        <w:tabs>
          <w:tab w:val="left" w:pos="8208"/>
          <w:tab w:val="left" w:pos="9072"/>
        </w:tabs>
        <w:suppressAutoHyphens/>
        <w:spacing w:line="440" w:lineRule="exact"/>
        <w:rPr>
          <w:rFonts w:ascii="宋体" w:hAnsi="宋体" w:cs="宋体"/>
          <w:bCs/>
          <w:kern w:val="0"/>
          <w:szCs w:val="21"/>
          <w:u w:val="single"/>
        </w:rPr>
      </w:pPr>
      <w:r>
        <w:rPr>
          <w:rFonts w:hint="eastAsia" w:ascii="宋体" w:hAnsi="宋体" w:cs="宋体"/>
          <w:kern w:val="0"/>
          <w:szCs w:val="21"/>
        </w:rPr>
        <w:t>2.1 项目名称：</w:t>
      </w:r>
      <w:r>
        <w:rPr>
          <w:rFonts w:hint="eastAsia" w:ascii="宋体" w:hAnsi="宋体" w:cs="宋体"/>
          <w:kern w:val="0"/>
          <w:szCs w:val="21"/>
          <w:u w:val="single"/>
        </w:rPr>
        <w:t>　小蚁托盘服务中心　　</w:t>
      </w:r>
    </w:p>
    <w:p>
      <w:pPr>
        <w:topLinePunct/>
        <w:adjustRightInd w:val="0"/>
        <w:snapToGrid w:val="0"/>
        <w:spacing w:line="440" w:lineRule="exact"/>
        <w:rPr>
          <w:rFonts w:ascii="宋体" w:hAnsi="宋体"/>
          <w:szCs w:val="21"/>
        </w:rPr>
      </w:pPr>
      <w:r>
        <w:rPr>
          <w:rFonts w:hint="eastAsia" w:ascii="宋体" w:hAnsi="宋体"/>
          <w:szCs w:val="21"/>
        </w:rPr>
        <w:t>2.2 竞争性谈判范围：</w:t>
      </w:r>
      <w:r>
        <w:rPr>
          <w:rFonts w:hint="eastAsia" w:ascii="宋体" w:hAnsi="宋体" w:cs="宋体"/>
          <w:kern w:val="0"/>
          <w:szCs w:val="21"/>
          <w:u w:val="single"/>
        </w:rPr>
        <w:t>　小蚁托盘服务中心　</w:t>
      </w:r>
    </w:p>
    <w:p>
      <w:pPr>
        <w:topLinePunct/>
        <w:adjustRightInd w:val="0"/>
        <w:snapToGrid w:val="0"/>
        <w:spacing w:line="440" w:lineRule="exact"/>
        <w:rPr>
          <w:rFonts w:ascii="宋体" w:hAnsi="宋体"/>
          <w:szCs w:val="21"/>
        </w:rPr>
      </w:pPr>
      <w:r>
        <w:rPr>
          <w:rFonts w:hint="eastAsia" w:ascii="宋体" w:hAnsi="宋体"/>
          <w:szCs w:val="21"/>
        </w:rPr>
        <w:t>2.3 服务时间：</w:t>
      </w:r>
      <w:r>
        <w:rPr>
          <w:rFonts w:hint="eastAsia" w:ascii="宋体" w:hAnsi="宋体" w:cs="宋体"/>
          <w:color w:val="FF0000"/>
          <w:kern w:val="0"/>
          <w:szCs w:val="21"/>
          <w:u w:val="single"/>
        </w:rPr>
        <w:t>　202</w:t>
      </w:r>
      <w:r>
        <w:rPr>
          <w:rFonts w:hint="eastAsia" w:ascii="宋体" w:hAnsi="宋体" w:cs="宋体"/>
          <w:color w:val="FF0000"/>
          <w:kern w:val="0"/>
          <w:szCs w:val="21"/>
          <w:u w:val="single"/>
          <w:lang w:val="en-US" w:eastAsia="zh-CN"/>
        </w:rPr>
        <w:t>4</w:t>
      </w:r>
      <w:r>
        <w:rPr>
          <w:rFonts w:hint="eastAsia" w:ascii="宋体" w:hAnsi="宋体" w:cs="宋体"/>
          <w:color w:val="FF0000"/>
          <w:kern w:val="0"/>
          <w:szCs w:val="21"/>
          <w:u w:val="single"/>
        </w:rPr>
        <w:t>年</w:t>
      </w:r>
      <w:r>
        <w:rPr>
          <w:rFonts w:hint="eastAsia" w:ascii="宋体" w:hAnsi="宋体" w:cs="宋体"/>
          <w:color w:val="FF0000"/>
          <w:kern w:val="0"/>
          <w:szCs w:val="21"/>
          <w:u w:val="single"/>
          <w:lang w:val="en-US" w:eastAsia="zh-CN"/>
        </w:rPr>
        <w:t>4</w:t>
      </w:r>
      <w:r>
        <w:rPr>
          <w:rFonts w:hint="eastAsia" w:ascii="宋体" w:hAnsi="宋体" w:cs="宋体"/>
          <w:color w:val="FF0000"/>
          <w:kern w:val="0"/>
          <w:szCs w:val="21"/>
          <w:u w:val="single"/>
        </w:rPr>
        <w:t>月</w:t>
      </w:r>
      <w:r>
        <w:rPr>
          <w:rFonts w:hint="eastAsia" w:ascii="宋体" w:hAnsi="宋体" w:cs="宋体"/>
          <w:color w:val="FF0000"/>
          <w:kern w:val="0"/>
          <w:szCs w:val="21"/>
          <w:u w:val="single"/>
          <w:lang w:val="en-US" w:eastAsia="zh-CN"/>
        </w:rPr>
        <w:t>1</w:t>
      </w:r>
      <w:r>
        <w:rPr>
          <w:rFonts w:hint="eastAsia" w:ascii="宋体" w:hAnsi="宋体" w:cs="宋体"/>
          <w:color w:val="FF0000"/>
          <w:kern w:val="0"/>
          <w:szCs w:val="21"/>
          <w:u w:val="single"/>
        </w:rPr>
        <w:t>日至</w:t>
      </w:r>
      <w:r>
        <w:rPr>
          <w:rFonts w:hint="eastAsia" w:ascii="宋体" w:hAnsi="宋体" w:cs="宋体"/>
          <w:color w:val="FF0000"/>
          <w:kern w:val="0"/>
          <w:szCs w:val="21"/>
          <w:u w:val="single"/>
          <w:lang w:val="en-US" w:eastAsia="zh-CN"/>
        </w:rPr>
        <w:t xml:space="preserve"> 2025 </w:t>
      </w:r>
      <w:r>
        <w:rPr>
          <w:rFonts w:hint="eastAsia" w:ascii="宋体" w:hAnsi="宋体" w:cs="宋体"/>
          <w:color w:val="FF0000"/>
          <w:kern w:val="0"/>
          <w:szCs w:val="21"/>
          <w:u w:val="single"/>
        </w:rPr>
        <w:t>年</w:t>
      </w:r>
      <w:r>
        <w:rPr>
          <w:rFonts w:hint="eastAsia" w:ascii="宋体" w:hAnsi="宋体" w:cs="宋体"/>
          <w:color w:val="FF0000"/>
          <w:kern w:val="0"/>
          <w:szCs w:val="21"/>
          <w:u w:val="single"/>
          <w:lang w:val="en-US" w:eastAsia="zh-CN"/>
        </w:rPr>
        <w:t xml:space="preserve"> 3 </w:t>
      </w:r>
      <w:r>
        <w:rPr>
          <w:rFonts w:hint="eastAsia" w:ascii="宋体" w:hAnsi="宋体" w:cs="宋体"/>
          <w:color w:val="FF0000"/>
          <w:kern w:val="0"/>
          <w:szCs w:val="21"/>
          <w:u w:val="single"/>
        </w:rPr>
        <w:t>月</w:t>
      </w:r>
      <w:r>
        <w:rPr>
          <w:rFonts w:hint="eastAsia" w:ascii="宋体" w:hAnsi="宋体" w:cs="宋体"/>
          <w:color w:val="FF0000"/>
          <w:kern w:val="0"/>
          <w:szCs w:val="21"/>
          <w:u w:val="single"/>
          <w:lang w:val="en-US" w:eastAsia="zh-CN"/>
        </w:rPr>
        <w:t xml:space="preserve"> 31 </w:t>
      </w:r>
      <w:r>
        <w:rPr>
          <w:rFonts w:hint="eastAsia" w:ascii="宋体" w:hAnsi="宋体" w:cs="宋体"/>
          <w:color w:val="FF0000"/>
          <w:kern w:val="0"/>
          <w:szCs w:val="21"/>
          <w:u w:val="single"/>
        </w:rPr>
        <w:t>日　</w:t>
      </w:r>
    </w:p>
    <w:p>
      <w:pPr>
        <w:topLinePunct/>
        <w:adjustRightInd w:val="0"/>
        <w:snapToGrid w:val="0"/>
        <w:spacing w:line="440" w:lineRule="exact"/>
        <w:rPr>
          <w:rFonts w:ascii="宋体" w:hAnsi="宋体"/>
          <w:szCs w:val="21"/>
        </w:rPr>
      </w:pPr>
      <w:r>
        <w:rPr>
          <w:rFonts w:hint="eastAsia" w:ascii="宋体" w:hAnsi="宋体"/>
          <w:szCs w:val="21"/>
        </w:rPr>
        <w:t>2.4 付款方式：乙方应于每月5日前向甲方提供上月发生的费用清单，甲方收到费用清单（附带发货签收单原件）后在20日前完成核对确认；乙方根据甲方确认的费用清单在5个工作日内出具相关增值税发票，甲方在收到增值税专用发票并确认无误之日起</w:t>
      </w:r>
      <w:r>
        <w:rPr>
          <w:rFonts w:hint="eastAsia" w:ascii="宋体" w:hAnsi="宋体"/>
          <w:color w:val="FF0000"/>
          <w:szCs w:val="21"/>
          <w:lang w:val="en-US" w:eastAsia="zh-CN"/>
        </w:rPr>
        <w:t>60</w:t>
      </w:r>
      <w:r>
        <w:rPr>
          <w:rFonts w:hint="eastAsia" w:ascii="宋体" w:hAnsi="宋体"/>
          <w:szCs w:val="21"/>
        </w:rPr>
        <w:t>天安排支付 。结算币种为人民币，支付方式为承兑汇票、现金、转账。</w:t>
      </w:r>
    </w:p>
    <w:p>
      <w:pPr>
        <w:topLinePunct/>
        <w:adjustRightInd w:val="0"/>
        <w:snapToGrid w:val="0"/>
        <w:spacing w:line="440" w:lineRule="exact"/>
        <w:rPr>
          <w:rFonts w:ascii="宋体" w:hAnsi="宋体"/>
          <w:color w:val="FF0000"/>
          <w:szCs w:val="21"/>
        </w:rPr>
      </w:pPr>
    </w:p>
    <w:p>
      <w:pPr>
        <w:spacing w:line="440" w:lineRule="exact"/>
        <w:jc w:val="left"/>
        <w:outlineLvl w:val="0"/>
        <w:rPr>
          <w:rFonts w:ascii="宋体" w:hAnsi="宋体"/>
          <w:b/>
          <w:snapToGrid w:val="0"/>
          <w:kern w:val="0"/>
          <w:szCs w:val="21"/>
        </w:rPr>
      </w:pPr>
      <w:bookmarkStart w:id="32" w:name="_Toc20349"/>
      <w:bookmarkStart w:id="33" w:name="_Toc29166"/>
      <w:bookmarkStart w:id="34" w:name="_Toc18439"/>
      <w:bookmarkStart w:id="35" w:name="_Toc25935"/>
      <w:bookmarkStart w:id="36" w:name="_Toc22086"/>
      <w:bookmarkStart w:id="37" w:name="_Toc14373"/>
      <w:bookmarkStart w:id="38" w:name="_Toc21527"/>
      <w:bookmarkStart w:id="39" w:name="_Toc8793"/>
      <w:bookmarkStart w:id="40" w:name="_Toc25025"/>
      <w:bookmarkStart w:id="41" w:name="_Toc9431"/>
      <w:r>
        <w:rPr>
          <w:rFonts w:hint="eastAsia" w:ascii="宋体" w:hAnsi="宋体"/>
          <w:b/>
          <w:snapToGrid w:val="0"/>
          <w:kern w:val="0"/>
          <w:szCs w:val="21"/>
        </w:rPr>
        <w:t>3. 服务商资格要求</w:t>
      </w:r>
    </w:p>
    <w:p>
      <w:pPr>
        <w:topLinePunct/>
        <w:adjustRightInd w:val="0"/>
        <w:snapToGrid w:val="0"/>
        <w:spacing w:line="440" w:lineRule="exact"/>
        <w:rPr>
          <w:rFonts w:ascii="宋体" w:hAnsi="宋体"/>
          <w:szCs w:val="21"/>
        </w:rPr>
      </w:pPr>
      <w:r>
        <w:rPr>
          <w:rFonts w:hint="eastAsia" w:ascii="宋体" w:hAnsi="宋体"/>
          <w:szCs w:val="21"/>
        </w:rPr>
        <w:t>3.1本次竞争性谈判实行资格后审，服务商应满足下列资格条件：</w:t>
      </w:r>
    </w:p>
    <w:p>
      <w:pPr>
        <w:topLinePunct/>
        <w:adjustRightInd w:val="0"/>
        <w:snapToGrid w:val="0"/>
        <w:spacing w:line="440" w:lineRule="exact"/>
        <w:rPr>
          <w:rFonts w:ascii="宋体" w:hAnsi="宋体"/>
          <w:szCs w:val="21"/>
        </w:rPr>
      </w:pPr>
      <w:r>
        <w:rPr>
          <w:rFonts w:hint="eastAsia" w:ascii="宋体" w:hAnsi="宋体"/>
          <w:szCs w:val="21"/>
        </w:rPr>
        <w:t>3.1.1</w:t>
      </w:r>
      <w:r>
        <w:rPr>
          <w:rFonts w:ascii="宋体" w:hAnsi="宋体"/>
          <w:szCs w:val="21"/>
        </w:rPr>
        <w:t>在中国境内合法工商登记</w:t>
      </w:r>
      <w:r>
        <w:rPr>
          <w:rFonts w:hint="eastAsia" w:ascii="宋体" w:hAnsi="宋体"/>
          <w:szCs w:val="21"/>
        </w:rPr>
        <w:t>。</w:t>
      </w:r>
    </w:p>
    <w:p>
      <w:pPr>
        <w:topLinePunct/>
        <w:adjustRightInd w:val="0"/>
        <w:snapToGrid w:val="0"/>
        <w:spacing w:line="440" w:lineRule="exact"/>
        <w:rPr>
          <w:rFonts w:ascii="宋体" w:hAnsi="宋体"/>
          <w:kern w:val="0"/>
          <w:szCs w:val="21"/>
        </w:rPr>
      </w:pPr>
      <w:r>
        <w:rPr>
          <w:rFonts w:hint="eastAsia" w:ascii="宋体" w:hAnsi="宋体"/>
          <w:kern w:val="0"/>
          <w:szCs w:val="21"/>
        </w:rPr>
        <w:t>3.1.2</w:t>
      </w:r>
      <w:r>
        <w:rPr>
          <w:rFonts w:ascii="宋体" w:hAnsi="宋体"/>
          <w:kern w:val="0"/>
          <w:szCs w:val="21"/>
        </w:rPr>
        <w:t>具备工商行政主管部门颁发的经营期限内的营业执照</w:t>
      </w:r>
      <w:r>
        <w:rPr>
          <w:rFonts w:hint="eastAsia" w:ascii="宋体" w:hAnsi="宋体"/>
          <w:kern w:val="0"/>
          <w:szCs w:val="21"/>
        </w:rPr>
        <w:t>（统一社会信用代码），营业执照经营范围涵盖与采购内容相关的生产（经销商不含生产，制造商必须含生产）和销售（提供有效的营业执照复印件，加盖服务商公章）</w:t>
      </w:r>
      <w:r>
        <w:rPr>
          <w:rFonts w:ascii="宋体" w:hAnsi="宋体"/>
          <w:kern w:val="0"/>
          <w:szCs w:val="21"/>
        </w:rPr>
        <w:t>。</w:t>
      </w:r>
    </w:p>
    <w:p>
      <w:pPr>
        <w:topLinePunct/>
        <w:adjustRightInd w:val="0"/>
        <w:snapToGrid w:val="0"/>
        <w:spacing w:line="440" w:lineRule="exact"/>
        <w:rPr>
          <w:rFonts w:ascii="宋体" w:hAnsi="宋体"/>
          <w:kern w:val="0"/>
          <w:szCs w:val="21"/>
        </w:rPr>
      </w:pPr>
      <w:r>
        <w:rPr>
          <w:rFonts w:hint="eastAsia" w:ascii="宋体" w:hAnsi="宋体"/>
          <w:kern w:val="0"/>
          <w:szCs w:val="21"/>
        </w:rPr>
        <w:t>3.1.</w:t>
      </w:r>
      <w:r>
        <w:rPr>
          <w:rFonts w:ascii="宋体" w:hAnsi="宋体"/>
          <w:kern w:val="0"/>
          <w:szCs w:val="21"/>
        </w:rPr>
        <w:t>3</w:t>
      </w:r>
      <w:r>
        <w:rPr>
          <w:rFonts w:hint="eastAsia" w:ascii="宋体" w:hAnsi="宋体"/>
          <w:kern w:val="0"/>
          <w:szCs w:val="21"/>
        </w:rPr>
        <w:t>服务商应为自有服务场所或合作场所提供服务（合作场所应提供合作商名录）。</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4.1谈判文件要求密封，并加盖服务商单位公章。</w:t>
      </w:r>
    </w:p>
    <w:p>
      <w:pPr>
        <w:topLinePunct/>
        <w:adjustRightInd w:val="0"/>
        <w:snapToGrid w:val="0"/>
        <w:spacing w:line="440" w:lineRule="exact"/>
        <w:rPr>
          <w:rFonts w:ascii="宋体" w:hAnsi="宋体"/>
          <w:color w:val="000000"/>
          <w:szCs w:val="21"/>
        </w:rPr>
      </w:pPr>
      <w:r>
        <w:rPr>
          <w:rFonts w:hint="eastAsia" w:ascii="宋体" w:hAnsi="宋体"/>
          <w:color w:val="000000"/>
          <w:szCs w:val="21"/>
        </w:rPr>
        <w:t>4.2服务商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应包含税金、保险费、仓储费等一切费用。</w:t>
      </w:r>
    </w:p>
    <w:p>
      <w:pPr>
        <w:pStyle w:val="15"/>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2" w:name="_Toc23380"/>
      <w:bookmarkStart w:id="43" w:name="_Toc1277"/>
      <w:bookmarkStart w:id="44" w:name="_Toc7273"/>
      <w:bookmarkStart w:id="45" w:name="_Toc19404"/>
      <w:bookmarkStart w:id="46" w:name="_Toc19904"/>
      <w:bookmarkStart w:id="47" w:name="_Toc27438"/>
      <w:bookmarkStart w:id="48" w:name="_Toc11777"/>
      <w:bookmarkStart w:id="49" w:name="_Toc14186"/>
      <w:bookmarkStart w:id="50" w:name="_Toc22256"/>
      <w:bookmarkStart w:id="51" w:name="_Toc5540"/>
    </w:p>
    <w:p>
      <w:pPr>
        <w:numPr>
          <w:ilvl w:val="0"/>
          <w:numId w:val="2"/>
        </w:numPr>
        <w:spacing w:line="440" w:lineRule="exact"/>
        <w:jc w:val="left"/>
        <w:outlineLvl w:val="0"/>
        <w:rPr>
          <w:rFonts w:ascii="宋体" w:hAnsi="宋体"/>
          <w:b/>
          <w:snapToGrid w:val="0"/>
          <w:kern w:val="0"/>
          <w:szCs w:val="21"/>
        </w:rPr>
      </w:pPr>
      <w:r>
        <w:rPr>
          <w:rFonts w:hint="eastAsia" w:ascii="宋体" w:hAnsi="宋体"/>
          <w:b/>
          <w:snapToGrid w:val="0"/>
          <w:kern w:val="0"/>
          <w:szCs w:val="21"/>
        </w:rPr>
        <w:t>竞争性谈判办法</w:t>
      </w:r>
    </w:p>
    <w:p>
      <w:pPr>
        <w:spacing w:after="24" w:afterLines="10" w:line="400" w:lineRule="exact"/>
        <w:ind w:left="420" w:leftChars="200"/>
        <w:jc w:val="left"/>
        <w:rPr>
          <w:rStyle w:val="21"/>
          <w:rFonts w:ascii="宋体" w:hAnsi="宋体" w:cs="宋体"/>
          <w:color w:val="auto"/>
          <w:kern w:val="0"/>
        </w:rPr>
      </w:pPr>
      <w:r>
        <w:rPr>
          <w:rFonts w:hint="eastAsia" w:ascii="宋体" w:hAnsi="宋体" w:cs="宋体"/>
          <w:szCs w:val="21"/>
        </w:rPr>
        <w:t>5.1</w:t>
      </w:r>
      <w:r>
        <w:rPr>
          <w:rFonts w:hint="eastAsia" w:ascii="宋体" w:hAnsi="宋体" w:cs="Tahoma"/>
          <w:szCs w:val="21"/>
        </w:rPr>
        <w:t>本次竞争性谈判采取</w:t>
      </w:r>
      <w:r>
        <w:rPr>
          <w:rStyle w:val="21"/>
          <w:rFonts w:ascii="宋体" w:hAnsi="宋体" w:cs="宋体"/>
          <w:color w:val="auto"/>
          <w:kern w:val="0"/>
        </w:rPr>
        <w:t>经评审的</w:t>
      </w:r>
      <w:r>
        <w:rPr>
          <w:rStyle w:val="21"/>
          <w:rFonts w:hint="eastAsia" w:ascii="宋体" w:hAnsi="宋体" w:cs="宋体"/>
          <w:color w:val="auto"/>
          <w:kern w:val="0"/>
        </w:rPr>
        <w:t>最低价法。</w:t>
      </w:r>
    </w:p>
    <w:p>
      <w:pPr>
        <w:numPr>
          <w:ilvl w:val="0"/>
          <w:numId w:val="3"/>
        </w:numPr>
        <w:spacing w:after="24" w:afterLines="10" w:line="400" w:lineRule="exact"/>
        <w:jc w:val="left"/>
        <w:rPr>
          <w:rFonts w:ascii="宋体" w:hAnsi="宋体"/>
          <w:kern w:val="0"/>
          <w:szCs w:val="21"/>
        </w:rPr>
      </w:pPr>
      <w:r>
        <w:rPr>
          <w:rFonts w:hint="eastAsia" w:ascii="宋体" w:hAnsi="宋体"/>
          <w:kern w:val="0"/>
          <w:szCs w:val="21"/>
        </w:rPr>
        <w:t>对报价不高于最高限价的所有竞选人的谈判文件，按照报价由低到高的顺序排序。</w:t>
      </w:r>
    </w:p>
    <w:p>
      <w:pPr>
        <w:spacing w:after="24" w:afterLines="10" w:line="400" w:lineRule="exact"/>
        <w:jc w:val="left"/>
        <w:rPr>
          <w:rFonts w:ascii="宋体" w:hAnsi="宋体"/>
          <w:kern w:val="0"/>
          <w:szCs w:val="21"/>
        </w:rPr>
      </w:pPr>
      <w:r>
        <w:rPr>
          <w:rFonts w:hint="eastAsia" w:ascii="宋体" w:hAnsi="宋体"/>
          <w:kern w:val="0"/>
          <w:szCs w:val="21"/>
        </w:rPr>
        <w:t>　　（2）符合性审查合格的竞选人中，报价最低的成为第一成交候选人，报价次低的成为第二成交候选人，依次类推。</w:t>
      </w:r>
    </w:p>
    <w:p>
      <w:pPr>
        <w:spacing w:after="24" w:afterLines="10" w:line="400" w:lineRule="exact"/>
        <w:jc w:val="left"/>
        <w:rPr>
          <w:rFonts w:ascii="宋体" w:hAnsi="宋体" w:cs="宋体"/>
          <w:szCs w:val="21"/>
        </w:rPr>
      </w:pPr>
      <w:r>
        <w:rPr>
          <w:rFonts w:hint="eastAsia" w:ascii="宋体" w:hAnsi="宋体"/>
          <w:kern w:val="0"/>
          <w:szCs w:val="21"/>
        </w:rPr>
        <w:t>　　（3）因谈判小组作否决处理，导致有效服务商不足三个的，谈判小组应当否决所有谈判文件。</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ind w:left="630" w:hanging="630" w:hangingChars="300"/>
        <w:rPr>
          <w:rFonts w:ascii="宋体" w:hAnsi="宋体" w:cs="宋体"/>
          <w:szCs w:val="21"/>
        </w:rPr>
      </w:pPr>
      <w:bookmarkStart w:id="52" w:name="_Toc24060"/>
      <w:bookmarkStart w:id="53" w:name="_Toc1075"/>
      <w:bookmarkStart w:id="54" w:name="_Toc5692"/>
      <w:bookmarkStart w:id="55" w:name="_Toc784"/>
      <w:bookmarkStart w:id="56" w:name="_Toc4653"/>
      <w:bookmarkStart w:id="57" w:name="_Toc21446"/>
      <w:r>
        <w:rPr>
          <w:rFonts w:hint="eastAsia" w:ascii="宋体" w:hAnsi="宋体" w:cs="宋体"/>
          <w:szCs w:val="21"/>
        </w:rPr>
        <w:t>6.1 凡有意参加竞争性谈判者，请于北京时间</w:t>
      </w:r>
      <w:r>
        <w:rPr>
          <w:rFonts w:hint="eastAsia" w:ascii="宋体" w:hAnsi="宋体" w:cs="宋体"/>
          <w:color w:val="FF0000"/>
          <w:szCs w:val="21"/>
          <w:u w:val="single"/>
        </w:rPr>
        <w:t xml:space="preserve"> 202</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2 </w:t>
      </w:r>
      <w:r>
        <w:rPr>
          <w:rFonts w:hint="eastAsia" w:ascii="宋体" w:hAnsi="宋体" w:cs="宋体"/>
          <w:color w:val="FF0000"/>
          <w:szCs w:val="21"/>
        </w:rPr>
        <w:t xml:space="preserve">月 </w:t>
      </w:r>
      <w:r>
        <w:rPr>
          <w:rFonts w:hint="eastAsia" w:ascii="宋体" w:hAnsi="宋体" w:cs="宋体"/>
          <w:color w:val="FF0000"/>
          <w:szCs w:val="21"/>
          <w:u w:val="single"/>
        </w:rPr>
        <w:t>　</w:t>
      </w:r>
      <w:r>
        <w:rPr>
          <w:rFonts w:hint="eastAsia" w:ascii="宋体" w:hAnsi="宋体" w:cs="宋体"/>
          <w:color w:val="FF0000"/>
          <w:szCs w:val="21"/>
          <w:u w:val="single"/>
          <w:lang w:val="en-US" w:eastAsia="zh-CN"/>
        </w:rPr>
        <w:t xml:space="preserve">26 </w:t>
      </w:r>
      <w:r>
        <w:rPr>
          <w:rFonts w:hint="eastAsia" w:ascii="宋体" w:hAnsi="宋体" w:cs="宋体"/>
          <w:color w:val="FF0000"/>
          <w:szCs w:val="21"/>
          <w:u w:val="single"/>
        </w:rPr>
        <w:t xml:space="preserve"> </w:t>
      </w:r>
      <w:r>
        <w:rPr>
          <w:rFonts w:hint="eastAsia" w:ascii="宋体" w:hAnsi="宋体" w:cs="宋体"/>
          <w:color w:val="FF0000"/>
          <w:szCs w:val="21"/>
        </w:rPr>
        <w:t>日至</w:t>
      </w:r>
      <w:r>
        <w:rPr>
          <w:rFonts w:hint="eastAsia" w:ascii="宋体" w:hAnsi="宋体" w:cs="宋体"/>
          <w:color w:val="FF0000"/>
          <w:szCs w:val="21"/>
          <w:u w:val="single"/>
        </w:rPr>
        <w:t xml:space="preserve"> 202</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w:t>
      </w:r>
      <w:r>
        <w:rPr>
          <w:rFonts w:hint="eastAsia" w:ascii="宋体" w:hAnsi="宋体" w:cs="宋体"/>
          <w:color w:val="FF0000"/>
          <w:szCs w:val="21"/>
          <w:u w:val="single"/>
          <w:lang w:val="en-US" w:eastAsia="zh-CN"/>
        </w:rPr>
        <w:t xml:space="preserve">4 </w:t>
      </w:r>
      <w:r>
        <w:rPr>
          <w:rFonts w:hint="eastAsia" w:ascii="宋体" w:hAnsi="宋体" w:cs="宋体"/>
          <w:color w:val="FF0000"/>
          <w:szCs w:val="21"/>
        </w:rPr>
        <w:t>日</w:t>
      </w:r>
      <w:r>
        <w:rPr>
          <w:rFonts w:hint="eastAsia" w:ascii="宋体" w:hAnsi="宋体" w:cs="宋体"/>
          <w:szCs w:val="21"/>
        </w:rPr>
        <w:t>，每日9:00时至17:00时通过6.2载明的方式获取竞争性谈判文件。</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pPr>
        <w:spacing w:line="440" w:lineRule="exact"/>
        <w:ind w:firstLine="424" w:firstLineChars="202"/>
        <w:rPr>
          <w:rFonts w:hint="eastAsia" w:ascii="宋体" w:hAnsi="宋体"/>
          <w:szCs w:val="21"/>
          <w:u w:val="single"/>
        </w:rPr>
      </w:pPr>
      <w:r>
        <w:rPr>
          <w:rFonts w:ascii="宋体" w:hAnsi="宋体"/>
          <w:szCs w:val="21"/>
        </w:rPr>
        <w:t>联   系   人：</w:t>
      </w:r>
      <w:r>
        <w:rPr>
          <w:rFonts w:hint="eastAsia" w:ascii="宋体" w:hAnsi="宋体"/>
          <w:szCs w:val="21"/>
          <w:u w:val="single"/>
        </w:rPr>
        <w:t xml:space="preserve">     刘翔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18008375399   </w:t>
      </w:r>
    </w:p>
    <w:p>
      <w:pPr>
        <w:spacing w:line="440" w:lineRule="exact"/>
        <w:ind w:firstLine="424" w:firstLineChars="202"/>
        <w:rPr>
          <w:rFonts w:hint="default" w:eastAsia="宋体"/>
          <w:lang w:val="en-US" w:eastAsia="zh-CN"/>
        </w:rPr>
      </w:pPr>
      <w:r>
        <w:rPr>
          <w:rFonts w:hint="eastAsia"/>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全莉</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w:t>
      </w:r>
      <w:r>
        <w:rPr>
          <w:rFonts w:hint="eastAsia" w:ascii="宋体" w:hAnsi="宋体"/>
          <w:szCs w:val="21"/>
          <w:u w:val="single"/>
          <w:lang w:val="en-US" w:eastAsia="zh-CN"/>
        </w:rPr>
        <w:t>13108950301</w:t>
      </w:r>
      <w:r>
        <w:rPr>
          <w:rFonts w:hint="eastAsia" w:ascii="宋体" w:hAnsi="宋体"/>
          <w:szCs w:val="21"/>
          <w:u w:val="single"/>
        </w:rPr>
        <w:t xml:space="preserve">   </w:t>
      </w:r>
    </w:p>
    <w:p>
      <w:pPr>
        <w:spacing w:line="440" w:lineRule="exact"/>
        <w:rPr>
          <w:rFonts w:ascii="宋体" w:hAnsi="宋体"/>
          <w:b/>
          <w:snapToGrid w:val="0"/>
          <w:kern w:val="0"/>
          <w:szCs w:val="21"/>
        </w:rPr>
      </w:pPr>
      <w:bookmarkStart w:id="58" w:name="_Toc1637"/>
      <w:bookmarkStart w:id="59" w:name="_Toc4674"/>
      <w:bookmarkStart w:id="60" w:name="_Toc4279"/>
      <w:bookmarkStart w:id="61" w:name="_Toc20721"/>
      <w:r>
        <w:rPr>
          <w:rFonts w:hint="eastAsia" w:ascii="宋体" w:hAnsi="宋体"/>
          <w:b/>
          <w:snapToGrid w:val="0"/>
          <w:kern w:val="0"/>
          <w:szCs w:val="21"/>
        </w:rPr>
        <w:t>7. 谈判文件的递交</w:t>
      </w:r>
      <w:bookmarkEnd w:id="52"/>
      <w:bookmarkEnd w:id="53"/>
      <w:bookmarkEnd w:id="54"/>
      <w:bookmarkEnd w:id="55"/>
      <w:bookmarkEnd w:id="56"/>
      <w:bookmarkEnd w:id="57"/>
      <w:bookmarkEnd w:id="58"/>
      <w:bookmarkEnd w:id="59"/>
      <w:bookmarkEnd w:id="60"/>
      <w:bookmarkEnd w:id="61"/>
    </w:p>
    <w:p>
      <w:pPr>
        <w:tabs>
          <w:tab w:val="left" w:pos="1425"/>
        </w:tabs>
        <w:spacing w:line="440" w:lineRule="exact"/>
        <w:rPr>
          <w:rFonts w:ascii="宋体" w:hAnsi="宋体" w:cs="宋体"/>
          <w:color w:val="000000"/>
          <w:szCs w:val="21"/>
        </w:rPr>
      </w:pPr>
      <w:bookmarkStart w:id="62" w:name="_Toc29375"/>
      <w:bookmarkStart w:id="63" w:name="_Toc4477"/>
      <w:bookmarkStart w:id="64" w:name="_Toc21549"/>
      <w:bookmarkStart w:id="65" w:name="_Toc3503"/>
      <w:bookmarkStart w:id="66" w:name="_Toc18035"/>
      <w:bookmarkStart w:id="67" w:name="_Toc12357"/>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color w:val="FF0000"/>
          <w:szCs w:val="21"/>
          <w:u w:val="single"/>
        </w:rPr>
        <w:t xml:space="preserve"> 202</w:t>
      </w:r>
      <w:r>
        <w:rPr>
          <w:rFonts w:hint="eastAsia" w:ascii="宋体" w:hAnsi="宋体" w:cs="宋体"/>
          <w:color w:val="FF0000"/>
          <w:szCs w:val="21"/>
          <w:u w:val="single"/>
          <w:lang w:val="en-US" w:eastAsia="zh-CN"/>
        </w:rPr>
        <w:t>4</w:t>
      </w:r>
      <w:r>
        <w:rPr>
          <w:rFonts w:hint="eastAsia" w:ascii="宋体" w:hAnsi="宋体" w:cs="宋体"/>
          <w:color w:val="FF0000"/>
          <w:szCs w:val="21"/>
          <w:u w:val="single"/>
        </w:rPr>
        <w:t>　</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w:t>
      </w:r>
      <w:r>
        <w:rPr>
          <w:rFonts w:hint="eastAsia" w:ascii="宋体" w:hAnsi="宋体" w:cs="宋体"/>
          <w:color w:val="FF0000"/>
          <w:szCs w:val="21"/>
          <w:u w:val="single"/>
        </w:rPr>
        <w:t xml:space="preserve"> </w:t>
      </w:r>
      <w:r>
        <w:rPr>
          <w:rFonts w:hint="eastAsia" w:ascii="宋体" w:hAnsi="宋体" w:cs="宋体"/>
          <w:color w:val="FF0000"/>
          <w:szCs w:val="21"/>
        </w:rPr>
        <w:t xml:space="preserve">月 </w:t>
      </w:r>
      <w:r>
        <w:rPr>
          <w:rFonts w:ascii="宋体" w:hAnsi="宋体" w:cs="宋体"/>
          <w:color w:val="FF0000"/>
          <w:szCs w:val="21"/>
          <w:u w:val="single"/>
        </w:rPr>
        <w:t xml:space="preserve">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w:t>
      </w:r>
      <w:r>
        <w:rPr>
          <w:rFonts w:hint="eastAsia" w:ascii="宋体" w:hAnsi="宋体" w:cs="宋体"/>
          <w:color w:val="FF0000"/>
          <w:szCs w:val="21"/>
        </w:rPr>
        <w:t>日</w:t>
      </w:r>
      <w:r>
        <w:rPr>
          <w:rFonts w:ascii="宋体" w:hAnsi="宋体" w:cs="宋体"/>
          <w:color w:val="FF0000"/>
          <w:szCs w:val="21"/>
          <w:u w:val="single"/>
        </w:rPr>
        <w:t xml:space="preserve"> </w:t>
      </w:r>
      <w:r>
        <w:rPr>
          <w:rFonts w:hint="eastAsia" w:ascii="宋体" w:hAnsi="宋体" w:cs="宋体"/>
          <w:color w:val="FF0000"/>
          <w:szCs w:val="21"/>
          <w:u w:val="single"/>
        </w:rPr>
        <w:t xml:space="preserve">　17  </w:t>
      </w:r>
      <w:r>
        <w:rPr>
          <w:rFonts w:ascii="宋体" w:hAnsi="宋体" w:cs="宋体"/>
          <w:color w:val="FF0000"/>
          <w:szCs w:val="21"/>
        </w:rPr>
        <w:t>时</w:t>
      </w:r>
      <w:r>
        <w:rPr>
          <w:rFonts w:hint="eastAsia" w:ascii="宋体" w:hAnsi="宋体" w:cs="宋体"/>
          <w:color w:val="FF0000"/>
          <w:szCs w:val="21"/>
          <w:u w:val="single"/>
        </w:rPr>
        <w:t xml:space="preserve"> 00</w:t>
      </w:r>
      <w:r>
        <w:rPr>
          <w:rFonts w:ascii="宋体" w:hAnsi="宋体" w:cs="宋体"/>
          <w:color w:val="FF0000"/>
          <w:szCs w:val="21"/>
          <w:u w:val="single"/>
        </w:rPr>
        <w:t xml:space="preserve"> </w:t>
      </w:r>
      <w:r>
        <w:rPr>
          <w:rFonts w:hint="eastAsia" w:ascii="宋体" w:hAnsi="宋体" w:cs="宋体"/>
          <w:color w:val="FF0000"/>
          <w:szCs w:val="21"/>
        </w:rPr>
        <w:t>分</w:t>
      </w:r>
      <w:r>
        <w:rPr>
          <w:rFonts w:hint="eastAsia" w:ascii="宋体" w:hAnsi="宋体" w:cs="宋体"/>
          <w:szCs w:val="21"/>
        </w:rPr>
        <w:t>；递交地点为：重庆市大渡口区重庆国际复合材料股份有限公司。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7.2 竞争性谈判时间：谈判文件截止之日后十个工作日内。</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7.3</w:t>
      </w:r>
      <w:r>
        <w:rPr>
          <w:rFonts w:ascii="宋体" w:hAnsi="宋体" w:cs="宋体"/>
          <w:szCs w:val="21"/>
        </w:rPr>
        <w:t xml:space="preserve"> </w:t>
      </w:r>
      <w:r>
        <w:rPr>
          <w:rFonts w:hint="eastAsia" w:ascii="宋体" w:hAnsi="宋体" w:cs="宋体"/>
          <w:szCs w:val="21"/>
        </w:rPr>
        <w:t>竞争性谈判地点：重庆市大渡口区重庆国际复合材料股份有限公司。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pPr>
        <w:spacing w:line="440" w:lineRule="exact"/>
        <w:jc w:val="left"/>
        <w:outlineLvl w:val="0"/>
        <w:rPr>
          <w:rFonts w:ascii="宋体" w:hAnsi="宋体"/>
          <w:b/>
          <w:snapToGrid w:val="0"/>
          <w:kern w:val="0"/>
          <w:szCs w:val="21"/>
        </w:rPr>
      </w:pPr>
      <w:bookmarkStart w:id="68" w:name="_Toc9249"/>
      <w:bookmarkStart w:id="69" w:name="_Toc4764"/>
      <w:bookmarkStart w:id="70" w:name="_Toc5392"/>
      <w:bookmarkStart w:id="71" w:name="_Toc27658"/>
      <w:r>
        <w:rPr>
          <w:rFonts w:hint="eastAsia" w:ascii="宋体" w:hAnsi="宋体"/>
          <w:b/>
          <w:snapToGrid w:val="0"/>
          <w:kern w:val="0"/>
          <w:szCs w:val="21"/>
        </w:rPr>
        <w:t>8. 发布公告的媒介</w:t>
      </w:r>
      <w:bookmarkEnd w:id="68"/>
      <w:bookmarkEnd w:id="69"/>
      <w:bookmarkEnd w:id="70"/>
      <w:bookmarkEnd w:id="71"/>
    </w:p>
    <w:p>
      <w:pPr>
        <w:spacing w:line="440" w:lineRule="exact"/>
        <w:ind w:firstLine="420"/>
        <w:jc w:val="left"/>
        <w:rPr>
          <w:rFonts w:ascii="宋体" w:hAnsi="宋体"/>
          <w:szCs w:val="21"/>
        </w:rPr>
      </w:pPr>
      <w:bookmarkStart w:id="72" w:name="_Toc19026"/>
      <w:bookmarkStart w:id="73" w:name="_Toc29368"/>
      <w:bookmarkStart w:id="74" w:name="_Toc10099"/>
      <w:bookmarkStart w:id="75" w:name="_Toc17881"/>
      <w:bookmarkStart w:id="76" w:name="_Toc15696"/>
      <w:bookmarkStart w:id="77" w:name="_Toc15091"/>
      <w:r>
        <w:rPr>
          <w:rFonts w:hint="eastAsia" w:ascii="宋体" w:hAnsi="宋体" w:cs="宋体"/>
          <w:snapToGrid w:val="0"/>
          <w:kern w:val="0"/>
          <w:szCs w:val="21"/>
        </w:rPr>
        <w:t>本次竞争性谈判公告在</w:t>
      </w:r>
      <w:r>
        <w:rPr>
          <w:rFonts w:hint="eastAsia" w:ascii="宋体" w:hAnsi="宋体"/>
          <w:szCs w:val="21"/>
        </w:rPr>
        <w:t>重庆国际复合材料</w:t>
      </w:r>
      <w:r>
        <w:rPr>
          <w:rFonts w:ascii="宋体" w:hAnsi="宋体"/>
          <w:szCs w:val="21"/>
        </w:rPr>
        <w:t>股份有限公司（http://www.cpicfiber.com/）上发布。</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9.特别注意</w:t>
      </w:r>
    </w:p>
    <w:p>
      <w:pPr>
        <w:spacing w:line="440" w:lineRule="exact"/>
        <w:jc w:val="left"/>
        <w:outlineLvl w:val="0"/>
        <w:rPr>
          <w:rFonts w:ascii="宋体" w:hAnsi="宋体"/>
          <w:b/>
          <w:snapToGrid w:val="0"/>
          <w:kern w:val="0"/>
          <w:szCs w:val="21"/>
        </w:rPr>
      </w:pPr>
      <w:r>
        <w:rPr>
          <w:rFonts w:hint="eastAsia" w:ascii="宋体" w:hAnsi="宋体"/>
          <w:b/>
          <w:snapToGrid w:val="0"/>
          <w:kern w:val="0"/>
          <w:szCs w:val="21"/>
        </w:rPr>
        <w:t>　　单位负责人为同一人或者存在控股、管理关系的不同单位，不得同时参加本次竞争性谈判。</w:t>
      </w:r>
    </w:p>
    <w:p>
      <w:pPr>
        <w:spacing w:line="440" w:lineRule="exact"/>
        <w:jc w:val="left"/>
        <w:outlineLvl w:val="0"/>
        <w:rPr>
          <w:rFonts w:ascii="宋体" w:hAnsi="宋体"/>
          <w:b/>
          <w:snapToGrid w:val="0"/>
          <w:kern w:val="0"/>
          <w:szCs w:val="21"/>
        </w:rPr>
      </w:pPr>
      <w:bookmarkStart w:id="78" w:name="_Toc29627"/>
      <w:bookmarkStart w:id="79" w:name="_Toc11677"/>
      <w:bookmarkStart w:id="80" w:name="_Toc4445"/>
      <w:bookmarkStart w:id="81" w:name="_Toc30129"/>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pPr>
        <w:spacing w:line="440" w:lineRule="exact"/>
        <w:ind w:firstLine="424" w:firstLineChars="202"/>
        <w:rPr>
          <w:rFonts w:hint="eastAsia" w:ascii="宋体" w:hAnsi="宋体" w:eastAsia="宋体"/>
          <w:szCs w:val="21"/>
          <w:lang w:eastAsia="zh-CN"/>
        </w:rPr>
      </w:pPr>
      <w:r>
        <w:rPr>
          <w:rFonts w:ascii="宋体" w:hAnsi="宋体"/>
          <w:szCs w:val="21"/>
        </w:rPr>
        <w:t>联系人：</w:t>
      </w:r>
      <w:bookmarkEnd w:id="6"/>
      <w:bookmarkEnd w:id="7"/>
      <w:bookmarkEnd w:id="8"/>
      <w:bookmarkEnd w:id="9"/>
      <w:bookmarkEnd w:id="10"/>
      <w:bookmarkEnd w:id="11"/>
      <w:r>
        <w:rPr>
          <w:rFonts w:hint="eastAsia" w:ascii="宋体" w:hAnsi="宋体"/>
          <w:szCs w:val="21"/>
          <w:lang w:val="en-US" w:eastAsia="zh-CN"/>
        </w:rPr>
        <w:t>刘翔</w:t>
      </w:r>
    </w:p>
    <w:p>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18008375399</w:t>
      </w:r>
    </w:p>
    <w:p>
      <w:pPr>
        <w:spacing w:line="440" w:lineRule="exact"/>
        <w:ind w:firstLine="424" w:firstLineChars="202"/>
        <w:rPr>
          <w:rFonts w:ascii="宋体" w:hAnsi="宋体"/>
          <w:szCs w:val="21"/>
        </w:rPr>
      </w:pPr>
      <w:r>
        <w:rPr>
          <w:rFonts w:hint="eastAsia" w:ascii="宋体" w:hAnsi="宋体"/>
          <w:szCs w:val="21"/>
        </w:rPr>
        <w:t>监督人：重庆国际复合材料股份有限公司战略合规部</w:t>
      </w:r>
    </w:p>
    <w:p>
      <w:pPr>
        <w:spacing w:line="440" w:lineRule="exact"/>
        <w:ind w:firstLine="424" w:firstLineChars="202"/>
        <w:rPr>
          <w:rFonts w:ascii="宋体" w:hAnsi="宋体"/>
          <w:szCs w:val="21"/>
        </w:rPr>
      </w:pPr>
      <w:r>
        <w:rPr>
          <w:rFonts w:hint="eastAsia" w:ascii="宋体" w:hAnsi="宋体"/>
          <w:szCs w:val="21"/>
        </w:rPr>
        <w:t>地址：重庆市大渡口区建桥工业园B区</w:t>
      </w:r>
    </w:p>
    <w:p>
      <w:pPr>
        <w:spacing w:line="440" w:lineRule="exact"/>
        <w:ind w:firstLine="424" w:firstLineChars="202"/>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杨老师</w:t>
      </w:r>
    </w:p>
    <w:p>
      <w:pPr>
        <w:spacing w:line="440" w:lineRule="exact"/>
        <w:ind w:firstLine="424" w:firstLineChars="202"/>
        <w:rPr>
          <w:rFonts w:ascii="宋体" w:hAnsi="宋体"/>
          <w:color w:val="auto"/>
          <w:szCs w:val="21"/>
        </w:rPr>
      </w:pPr>
      <w:r>
        <w:rPr>
          <w:rFonts w:hint="eastAsia" w:ascii="宋体" w:hAnsi="宋体"/>
          <w:color w:val="auto"/>
          <w:szCs w:val="21"/>
        </w:rPr>
        <w:t>联系电话：68548669</w:t>
      </w:r>
    </w:p>
    <w:p>
      <w:pPr>
        <w:spacing w:line="440" w:lineRule="exact"/>
        <w:ind w:firstLine="424" w:firstLineChars="202"/>
        <w:rPr>
          <w:rFonts w:ascii="宋体" w:hAnsi="宋体"/>
          <w:color w:val="auto"/>
          <w:szCs w:val="21"/>
        </w:rPr>
        <w:sectPr>
          <w:pgSz w:w="11906" w:h="16838"/>
          <w:pgMar w:top="1440" w:right="1800" w:bottom="1440" w:left="1800" w:header="851" w:footer="992" w:gutter="0"/>
          <w:cols w:space="720" w:num="1"/>
          <w:docGrid w:linePitch="312" w:charSpace="0"/>
        </w:sectPr>
      </w:pPr>
      <w:r>
        <w:rPr>
          <w:rFonts w:hint="eastAsia" w:ascii="宋体" w:hAnsi="宋体"/>
          <w:color w:val="auto"/>
          <w:szCs w:val="21"/>
        </w:rPr>
        <w:t>联系邮箱：</w:t>
      </w:r>
      <w:r>
        <w:rPr>
          <w:rFonts w:hint="eastAsia" w:ascii="宋体" w:hAnsi="宋体"/>
          <w:color w:val="auto"/>
          <w:szCs w:val="21"/>
          <w:lang w:val="en-US" w:eastAsia="zh-CN"/>
        </w:rPr>
        <w:t>Yangfan</w:t>
      </w:r>
      <w:r>
        <w:rPr>
          <w:rFonts w:ascii="宋体" w:hAnsi="宋体"/>
          <w:color w:val="auto"/>
          <w:szCs w:val="21"/>
        </w:rPr>
        <w:t>@cpicfiber.com</w:t>
      </w:r>
    </w:p>
    <w:p>
      <w:pPr>
        <w:pStyle w:val="3"/>
        <w:keepNext/>
        <w:keepLines/>
        <w:pageBreakBefore w:val="0"/>
        <w:widowControl w:val="0"/>
        <w:kinsoku/>
        <w:wordWrap/>
        <w:overflowPunct/>
        <w:topLinePunct w:val="0"/>
        <w:autoSpaceDE/>
        <w:autoSpaceDN/>
        <w:bidi w:val="0"/>
        <w:adjustRightInd/>
        <w:snapToGrid/>
        <w:spacing w:before="240" w:beforeLines="100" w:after="360" w:afterLines="150" w:line="276" w:lineRule="auto"/>
        <w:jc w:val="center"/>
        <w:textAlignment w:val="auto"/>
        <w:rPr>
          <w:rFonts w:ascii="宋体" w:hAnsi="宋体"/>
        </w:rPr>
      </w:pPr>
      <w:r>
        <w:rPr>
          <w:rFonts w:hint="eastAsia" w:ascii="宋体" w:hAnsi="宋体"/>
        </w:rPr>
        <w:t>第二章  采购内容</w:t>
      </w:r>
    </w:p>
    <w:p>
      <w:pPr>
        <w:spacing w:line="360" w:lineRule="auto"/>
        <w:ind w:firstLine="480" w:firstLineChars="200"/>
        <w:rPr>
          <w:rFonts w:ascii="宋体" w:hAnsi="宋体"/>
          <w:kern w:val="0"/>
          <w:sz w:val="24"/>
        </w:rPr>
      </w:pPr>
      <w:r>
        <w:rPr>
          <w:rFonts w:hint="eastAsia" w:ascii="宋体" w:hAnsi="宋体"/>
          <w:kern w:val="0"/>
          <w:sz w:val="24"/>
        </w:rPr>
        <w:t>一．项目概况</w:t>
      </w:r>
    </w:p>
    <w:p>
      <w:pPr>
        <w:pStyle w:val="2"/>
        <w:spacing w:before="0" w:after="0"/>
        <w:ind w:firstLine="480" w:firstLineChars="200"/>
        <w:rPr>
          <w:b w:val="0"/>
          <w:bCs w:val="0"/>
        </w:rPr>
      </w:pPr>
      <w:r>
        <w:rPr>
          <w:rFonts w:hint="eastAsia" w:ascii="宋体" w:hAnsi="宋体"/>
          <w:b w:val="0"/>
          <w:bCs w:val="0"/>
          <w:kern w:val="0"/>
          <w:sz w:val="24"/>
        </w:rPr>
        <w:t>小蚁托盘拟在不同城市建设服务中心，需求根据甲方客户增加而增加，乙方需根据甲方要求在相关城市建立小蚁托盘服务中心。</w:t>
      </w:r>
    </w:p>
    <w:p>
      <w:pPr>
        <w:spacing w:line="360" w:lineRule="auto"/>
        <w:ind w:firstLine="480" w:firstLineChars="200"/>
        <w:rPr>
          <w:rFonts w:ascii="宋体" w:hAnsi="宋体"/>
          <w:kern w:val="0"/>
          <w:sz w:val="24"/>
        </w:rPr>
      </w:pPr>
      <w:r>
        <w:rPr>
          <w:rFonts w:hint="eastAsia" w:ascii="宋体" w:hAnsi="宋体"/>
          <w:kern w:val="0"/>
          <w:sz w:val="24"/>
        </w:rPr>
        <w:t>二．项目建设</w:t>
      </w:r>
    </w:p>
    <w:p>
      <w:pPr>
        <w:spacing w:line="360" w:lineRule="auto"/>
        <w:ind w:firstLine="480" w:firstLineChars="200"/>
        <w:rPr>
          <w:rFonts w:ascii="宋体" w:hAnsi="宋体"/>
          <w:color w:val="auto"/>
          <w:kern w:val="0"/>
          <w:sz w:val="24"/>
        </w:rPr>
      </w:pPr>
      <w:r>
        <w:rPr>
          <w:rFonts w:hint="eastAsia" w:ascii="宋体" w:hAnsi="宋体"/>
          <w:kern w:val="0"/>
          <w:sz w:val="24"/>
        </w:rPr>
        <w:t>小蚁托盘服务中心建设招标省级行政区服务中心总代理（注：</w:t>
      </w:r>
      <w:r>
        <w:rPr>
          <w:rFonts w:ascii="宋体" w:hAnsi="宋体"/>
          <w:kern w:val="0"/>
          <w:sz w:val="24"/>
        </w:rPr>
        <w:t>中华人民共和国省级行政区共有34个，包括23个省（河北、山西、辽宁、吉林、黑龙江、江苏、浙江、安徽、福建、江西、山东、河南、湖北、湖南、广东、海南、四川、贵州、云南、陕西、甘肃、青海、台湾）、5个自治区（内蒙古、广西、西藏、宁夏、新疆）、4个直辖市（北京、天津、上海、重庆）、</w:t>
      </w:r>
      <w:r>
        <w:rPr>
          <w:rFonts w:ascii="宋体" w:hAnsi="宋体"/>
          <w:color w:val="auto"/>
          <w:kern w:val="0"/>
          <w:sz w:val="24"/>
        </w:rPr>
        <w:t>2个特别行政区（香港、澳门）</w:t>
      </w:r>
      <w:r>
        <w:rPr>
          <w:rFonts w:hint="eastAsia" w:ascii="宋体" w:hAnsi="宋体"/>
          <w:color w:val="auto"/>
          <w:kern w:val="0"/>
          <w:sz w:val="24"/>
        </w:rPr>
        <w:t>）。</w:t>
      </w:r>
    </w:p>
    <w:p>
      <w:pPr>
        <w:spacing w:before="240" w:beforeLines="100"/>
        <w:ind w:firstLine="480" w:firstLineChars="200"/>
        <w:rPr>
          <w:rFonts w:ascii="宋体" w:hAnsi="宋体"/>
          <w:kern w:val="0"/>
          <w:sz w:val="24"/>
          <w:highlight w:val="yellow"/>
        </w:rPr>
      </w:pPr>
      <w:r>
        <w:rPr>
          <w:rFonts w:hint="eastAsia" w:ascii="宋体" w:hAnsi="宋体"/>
          <w:kern w:val="0"/>
          <w:sz w:val="24"/>
        </w:rPr>
        <w:t>三．</w:t>
      </w:r>
      <w:r>
        <w:rPr>
          <w:rFonts w:hint="eastAsia" w:ascii="宋体" w:hAnsi="宋体"/>
          <w:color w:val="auto"/>
          <w:kern w:val="0"/>
          <w:sz w:val="24"/>
          <w:highlight w:val="none"/>
        </w:rPr>
        <w:t>项目服务要求</w:t>
      </w:r>
    </w:p>
    <w:p>
      <w:pPr>
        <w:spacing w:before="240" w:beforeLines="100" w:line="360" w:lineRule="auto"/>
        <w:ind w:firstLine="480" w:firstLineChars="200"/>
        <w:rPr>
          <w:rFonts w:ascii="宋体" w:hAnsi="宋体"/>
          <w:kern w:val="0"/>
          <w:sz w:val="24"/>
        </w:rPr>
      </w:pPr>
      <w:r>
        <w:rPr>
          <w:rFonts w:hint="eastAsia" w:ascii="宋体" w:hAnsi="宋体"/>
          <w:kern w:val="0"/>
          <w:sz w:val="24"/>
        </w:rPr>
        <w:t>1.服务中心提供货物保管服务，在货物进行筛分后入库，并保证货物的安全以及数量的准确；</w:t>
      </w:r>
    </w:p>
    <w:p>
      <w:pPr>
        <w:spacing w:line="360" w:lineRule="auto"/>
        <w:ind w:firstLine="480" w:firstLineChars="200"/>
        <w:rPr>
          <w:rFonts w:ascii="宋体" w:hAnsi="宋体"/>
          <w:kern w:val="0"/>
          <w:sz w:val="24"/>
        </w:rPr>
      </w:pPr>
      <w:r>
        <w:rPr>
          <w:rFonts w:hint="eastAsia" w:ascii="宋体" w:hAnsi="宋体"/>
          <w:kern w:val="0"/>
          <w:sz w:val="24"/>
        </w:rPr>
        <w:t>2.服务中心提供货物装卸服务，托盘入库和出库过程中均需要进行扫码操作，以出库量计算；</w:t>
      </w:r>
    </w:p>
    <w:p>
      <w:pPr>
        <w:spacing w:line="360" w:lineRule="auto"/>
        <w:ind w:firstLine="480" w:firstLineChars="200"/>
        <w:rPr>
          <w:rFonts w:ascii="宋体" w:hAnsi="宋体"/>
          <w:kern w:val="0"/>
          <w:sz w:val="24"/>
        </w:rPr>
      </w:pPr>
      <w:r>
        <w:rPr>
          <w:rFonts w:hint="eastAsia" w:ascii="宋体" w:hAnsi="宋体"/>
          <w:kern w:val="0"/>
          <w:sz w:val="24"/>
        </w:rPr>
        <w:t>3.服务中心提供货物清洁服务,托盘需用高压水枪进行全方位冲洗，冲洗完成后将托盘擦干重叠，用拉伸膜打包防尘存放，以出库量计算；</w:t>
      </w:r>
    </w:p>
    <w:p>
      <w:pPr>
        <w:spacing w:line="360" w:lineRule="auto"/>
        <w:ind w:firstLine="480" w:firstLineChars="200"/>
        <w:rPr>
          <w:rFonts w:ascii="宋体" w:hAnsi="宋体"/>
          <w:kern w:val="0"/>
          <w:sz w:val="24"/>
        </w:rPr>
      </w:pPr>
      <w:r>
        <w:rPr>
          <w:rFonts w:hint="eastAsia" w:ascii="宋体" w:hAnsi="宋体"/>
          <w:kern w:val="0"/>
          <w:sz w:val="24"/>
        </w:rPr>
        <w:t>4.提供货物堆叠服务，</w:t>
      </w:r>
      <w:r>
        <w:rPr>
          <w:rFonts w:hint="eastAsia" w:ascii="宋体" w:hAnsi="宋体"/>
          <w:kern w:val="0"/>
          <w:sz w:val="24"/>
          <w:lang w:val="en-US" w:eastAsia="zh-CN"/>
        </w:rPr>
        <w:t>包括但不限于正向堆叠和正反扣堆叠等一切服务于装车运输的堆叠方式，</w:t>
      </w:r>
      <w:r>
        <w:rPr>
          <w:rFonts w:hint="eastAsia" w:ascii="宋体" w:hAnsi="宋体"/>
          <w:kern w:val="0"/>
          <w:sz w:val="24"/>
        </w:rPr>
        <w:t>以出库量计算；</w:t>
      </w:r>
    </w:p>
    <w:p>
      <w:pPr>
        <w:spacing w:line="360" w:lineRule="auto"/>
        <w:rPr>
          <w:rFonts w:ascii="宋体" w:hAnsi="宋体"/>
          <w:sz w:val="24"/>
        </w:rPr>
      </w:pPr>
      <w:r>
        <w:rPr>
          <w:rFonts w:hint="eastAsia"/>
        </w:rPr>
        <w:t xml:space="preserve"> </w:t>
      </w:r>
      <w:r>
        <w:t xml:space="preserve">  </w:t>
      </w:r>
      <w:r>
        <w:rPr>
          <w:rFonts w:ascii="宋体" w:hAnsi="宋体"/>
          <w:sz w:val="24"/>
        </w:rPr>
        <w:t xml:space="preserve"> 5.</w:t>
      </w:r>
      <w:r>
        <w:rPr>
          <w:rFonts w:hint="eastAsia" w:ascii="宋体" w:hAnsi="宋体"/>
          <w:sz w:val="24"/>
        </w:rPr>
        <w:t>服务中心提供托盘维护服务，</w:t>
      </w:r>
      <w:r>
        <w:rPr>
          <w:rFonts w:hint="eastAsia" w:ascii="宋体" w:hAnsi="宋体"/>
          <w:sz w:val="24"/>
          <w:lang w:val="en-US" w:eastAsia="zh-CN"/>
        </w:rPr>
        <w:t>包括但不限于托盘（模压、注塑、组合）零部件（面板、拉条、方管、脚墩、终端、防滑垫、二维码及条码）更换、面板及脚墩修补、</w:t>
      </w:r>
      <w:r>
        <w:rPr>
          <w:rFonts w:hint="eastAsia" w:ascii="宋体" w:hAnsi="宋体"/>
          <w:sz w:val="24"/>
        </w:rPr>
        <w:t>以维护量计算；</w:t>
      </w:r>
    </w:p>
    <w:p>
      <w:pPr>
        <w:spacing w:line="360" w:lineRule="auto"/>
        <w:rPr>
          <w:rFonts w:ascii="宋体" w:hAnsi="宋体"/>
          <w:kern w:val="0"/>
          <w:sz w:val="24"/>
        </w:rPr>
      </w:pPr>
      <w:r>
        <w:rPr>
          <w:rFonts w:hint="eastAsia"/>
        </w:rPr>
        <w:t xml:space="preserve"> </w:t>
      </w:r>
      <w:r>
        <w:t xml:space="preserve">   </w:t>
      </w:r>
      <w:r>
        <w:rPr>
          <w:rFonts w:ascii="宋体" w:hAnsi="宋体"/>
          <w:kern w:val="0"/>
          <w:sz w:val="24"/>
        </w:rPr>
        <w:t>6</w:t>
      </w:r>
      <w:r>
        <w:rPr>
          <w:rFonts w:hint="eastAsia" w:ascii="宋体" w:hAnsi="宋体"/>
          <w:kern w:val="0"/>
          <w:sz w:val="24"/>
        </w:rPr>
        <w:t>.乙方选址应尽量兼具距离近（距离客户近）以及辐射范围广等要求；</w:t>
      </w:r>
    </w:p>
    <w:p>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.乙方根据甲方需求需要在7-14天完成服务中心的建设（包含选址以及后续签定合同等事宜）</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.提交月度盘存记录；</w:t>
      </w:r>
    </w:p>
    <w:p>
      <w:pPr>
        <w:spacing w:line="360" w:lineRule="auto"/>
        <w:ind w:firstLine="480" w:firstLineChars="200"/>
        <w:rPr>
          <w:rFonts w:hint="eastAsia" w:ascii="宋体" w:hAnsi="宋体"/>
          <w:kern w:val="0"/>
          <w:sz w:val="24"/>
        </w:rPr>
      </w:pPr>
      <w:r>
        <w:rPr>
          <w:rFonts w:ascii="宋体" w:hAnsi="宋体"/>
          <w:kern w:val="0"/>
          <w:sz w:val="24"/>
        </w:rPr>
        <w:t>9</w:t>
      </w:r>
      <w:r>
        <w:rPr>
          <w:rFonts w:hint="eastAsia" w:ascii="宋体" w:hAnsi="宋体"/>
          <w:kern w:val="0"/>
          <w:sz w:val="24"/>
        </w:rPr>
        <w:t>.其他服务。</w:t>
      </w: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Pr>
        <w:rPr>
          <w:rFonts w:hint="eastAsia" w:ascii="宋体" w:hAnsi="宋体"/>
          <w:kern w:val="0"/>
          <w:sz w:val="24"/>
        </w:rPr>
      </w:pPr>
    </w:p>
    <w:p>
      <w:pPr>
        <w:pStyle w:val="2"/>
        <w:rPr>
          <w:rFonts w:hint="eastAsia" w:ascii="宋体" w:hAnsi="宋体"/>
          <w:kern w:val="0"/>
          <w:sz w:val="24"/>
        </w:rPr>
      </w:pPr>
    </w:p>
    <w:p/>
    <w:p>
      <w:pPr>
        <w:ind w:firstLine="480" w:firstLineChars="200"/>
        <w:rPr>
          <w:rFonts w:ascii="宋体" w:hAnsi="宋体"/>
          <w:kern w:val="0"/>
          <w:sz w:val="24"/>
        </w:rPr>
      </w:pPr>
    </w:p>
    <w:p>
      <w:pPr>
        <w:ind w:firstLine="480" w:firstLineChars="200"/>
        <w:rPr>
          <w:rFonts w:ascii="宋体" w:hAnsi="宋体"/>
          <w:kern w:val="0"/>
          <w:sz w:val="24"/>
        </w:rPr>
      </w:pPr>
    </w:p>
    <w:p>
      <w:pPr>
        <w:spacing w:line="360" w:lineRule="auto"/>
        <w:ind w:firstLine="480" w:firstLineChars="200"/>
        <w:rPr>
          <w:rFonts w:ascii="宋体" w:hAnsi="宋体"/>
          <w:kern w:val="0"/>
          <w:sz w:val="24"/>
        </w:rPr>
      </w:pPr>
    </w:p>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sz w:val="24"/>
        </w:rPr>
      </w:pPr>
    </w:p>
    <w:p>
      <w:pPr>
        <w:pStyle w:val="2"/>
        <w:keepNext/>
        <w:keepLines/>
        <w:pageBreakBefore w:val="0"/>
        <w:widowControl w:val="0"/>
        <w:kinsoku/>
        <w:wordWrap/>
        <w:overflowPunct/>
        <w:topLinePunct w:val="0"/>
        <w:autoSpaceDE/>
        <w:autoSpaceDN/>
        <w:bidi w:val="0"/>
        <w:adjustRightInd/>
        <w:snapToGrid/>
        <w:spacing w:before="0" w:after="0" w:line="276" w:lineRule="auto"/>
        <w:textAlignment w:val="auto"/>
      </w:pPr>
    </w:p>
    <w:p>
      <w:pPr>
        <w:pStyle w:val="3"/>
        <w:keepNext/>
        <w:keepLines/>
        <w:pageBreakBefore w:val="0"/>
        <w:widowControl w:val="0"/>
        <w:kinsoku/>
        <w:wordWrap/>
        <w:overflowPunct/>
        <w:topLinePunct w:val="0"/>
        <w:autoSpaceDE/>
        <w:autoSpaceDN/>
        <w:bidi w:val="0"/>
        <w:adjustRightInd/>
        <w:snapToGrid/>
        <w:spacing w:before="313" w:beforeLines="100" w:after="360" w:afterLines="150" w:line="276" w:lineRule="auto"/>
        <w:jc w:val="center"/>
        <w:textAlignment w:val="auto"/>
        <w:rPr>
          <w:rFonts w:hint="eastAsia" w:ascii="宋体" w:hAnsi="宋体"/>
        </w:rPr>
      </w:pPr>
      <w:r>
        <w:rPr>
          <w:rFonts w:hint="eastAsia" w:ascii="宋体" w:hAnsi="宋体"/>
        </w:rPr>
        <w:t>第三章  服务商须知</w:t>
      </w:r>
    </w:p>
    <w:p>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，是服务商编制谈判文件的依据</w:t>
      </w:r>
      <w:r>
        <w:rPr>
          <w:rFonts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w:t>
      </w:r>
      <w:r>
        <w:rPr>
          <w:rFonts w:hint="eastAsia" w:ascii="宋体" w:hAnsi="宋体"/>
          <w:b/>
          <w:kern w:val="0"/>
          <w:sz w:val="24"/>
        </w:rPr>
        <w:t>服务</w:t>
      </w:r>
      <w:r>
        <w:rPr>
          <w:rFonts w:ascii="宋体" w:hAnsi="宋体"/>
          <w:b/>
          <w:kern w:val="0"/>
          <w:sz w:val="24"/>
        </w:rPr>
        <w:t>商</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本次竞争性谈判对服务商的资格审查采用资格后审。</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服务商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sz w:val="24"/>
        </w:rPr>
      </w:pPr>
      <w:r>
        <w:rPr>
          <w:rFonts w:ascii="宋体" w:hAnsi="宋体"/>
          <w:b/>
          <w:sz w:val="24"/>
        </w:rPr>
        <w:t>4.特别注意</w:t>
      </w:r>
    </w:p>
    <w:p>
      <w:pPr>
        <w:spacing w:line="360" w:lineRule="auto"/>
        <w:ind w:firstLine="480" w:firstLineChars="200"/>
        <w:rPr>
          <w:rFonts w:ascii="宋体" w:hAnsi="宋体"/>
          <w:sz w:val="24"/>
        </w:rPr>
      </w:pPr>
      <w:r>
        <w:rPr>
          <w:rFonts w:hint="eastAsia" w:ascii="宋体" w:hAnsi="宋体"/>
          <w:sz w:val="24"/>
        </w:rPr>
        <w:t>单位负责人为同一人或者存在控股、管理关系的不同单位，不得同时参加本次竞争性谈判。</w:t>
      </w:r>
    </w:p>
    <w:p>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pPr>
        <w:spacing w:line="360" w:lineRule="auto"/>
        <w:ind w:firstLine="480" w:firstLineChars="200"/>
        <w:rPr>
          <w:rFonts w:ascii="宋体" w:hAnsi="宋体"/>
          <w:kern w:val="0"/>
          <w:sz w:val="24"/>
        </w:rPr>
      </w:pPr>
      <w:r>
        <w:rPr>
          <w:rFonts w:hint="eastAsia" w:ascii="宋体" w:hAnsi="宋体"/>
          <w:kern w:val="0"/>
          <w:sz w:val="24"/>
        </w:rPr>
        <w:t>（1）谈判公告</w:t>
      </w:r>
    </w:p>
    <w:p>
      <w:pPr>
        <w:spacing w:line="360" w:lineRule="auto"/>
        <w:ind w:firstLine="480" w:firstLineChars="200"/>
        <w:rPr>
          <w:rFonts w:ascii="宋体" w:hAnsi="宋体"/>
          <w:kern w:val="0"/>
          <w:sz w:val="24"/>
        </w:rPr>
      </w:pPr>
      <w:r>
        <w:rPr>
          <w:rFonts w:hint="eastAsia" w:ascii="宋体" w:hAnsi="宋体"/>
          <w:kern w:val="0"/>
          <w:sz w:val="24"/>
        </w:rPr>
        <w:t>（2）服务</w:t>
      </w:r>
      <w:r>
        <w:rPr>
          <w:rFonts w:ascii="宋体" w:hAnsi="宋体"/>
          <w:kern w:val="0"/>
          <w:sz w:val="24"/>
        </w:rPr>
        <w:t>须知</w:t>
      </w:r>
    </w:p>
    <w:p>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服务商</w:t>
      </w:r>
      <w:r>
        <w:rPr>
          <w:rFonts w:ascii="宋体" w:hAnsi="宋体"/>
          <w:kern w:val="0"/>
          <w:sz w:val="24"/>
        </w:rPr>
        <w:t>应认真阅读谈判文件中的所有条款、格式和服务要求等。</w:t>
      </w:r>
      <w:r>
        <w:rPr>
          <w:rFonts w:hint="eastAsia" w:ascii="宋体" w:hAnsi="宋体"/>
          <w:kern w:val="0"/>
          <w:sz w:val="24"/>
        </w:rPr>
        <w:t>服务</w:t>
      </w:r>
      <w:r>
        <w:rPr>
          <w:rFonts w:ascii="宋体" w:hAnsi="宋体"/>
          <w:kern w:val="0"/>
          <w:sz w:val="24"/>
        </w:rPr>
        <w:t>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服务商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w:t>
      </w:r>
      <w:r>
        <w:rPr>
          <w:rFonts w:hint="eastAsia" w:ascii="宋体" w:hAnsi="宋体"/>
          <w:kern w:val="0"/>
          <w:sz w:val="24"/>
        </w:rPr>
        <w:t>服务商</w:t>
      </w:r>
      <w:r>
        <w:rPr>
          <w:rFonts w:ascii="宋体" w:hAnsi="宋体"/>
          <w:kern w:val="0"/>
          <w:sz w:val="24"/>
        </w:rPr>
        <w:t>。</w:t>
      </w:r>
    </w:p>
    <w:p>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由服务</w:t>
      </w:r>
      <w:r>
        <w:rPr>
          <w:rFonts w:ascii="宋体" w:hAnsi="宋体"/>
          <w:kern w:val="0"/>
          <w:sz w:val="24"/>
        </w:rPr>
        <w:t>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服务</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（2）服务商</w:t>
      </w:r>
      <w:r>
        <w:rPr>
          <w:rFonts w:ascii="宋体" w:hAnsi="宋体"/>
          <w:color w:val="000000" w:themeColor="text1"/>
          <w:kern w:val="0"/>
          <w:sz w:val="24"/>
          <w14:textFill>
            <w14:solidFill>
              <w14:schemeClr w14:val="tx1"/>
            </w14:solidFill>
          </w14:textFill>
        </w:rPr>
        <w:t>基本情况表</w:t>
      </w:r>
    </w:p>
    <w:p>
      <w:pPr>
        <w:spacing w:line="360" w:lineRule="auto"/>
        <w:ind w:firstLine="480" w:firstLineChars="200"/>
        <w:rPr>
          <w:rFonts w:hint="default" w:ascii="宋体" w:hAnsi="宋体" w:eastAsia="宋体"/>
          <w:kern w:val="0"/>
          <w:sz w:val="24"/>
          <w:lang w:val="en-US" w:eastAsia="zh-CN"/>
        </w:rPr>
      </w:pPr>
      <w:r>
        <w:rPr>
          <w:rFonts w:hint="eastAsia" w:ascii="宋体" w:hAnsi="宋体"/>
          <w:kern w:val="0"/>
          <w:sz w:val="24"/>
        </w:rPr>
        <w:t>（3）项目</w:t>
      </w:r>
      <w:r>
        <w:rPr>
          <w:rFonts w:ascii="宋体" w:hAnsi="宋体"/>
          <w:kern w:val="0"/>
          <w:sz w:val="24"/>
        </w:rPr>
        <w:t>方案及有关承诺。</w:t>
      </w:r>
      <w:r>
        <w:rPr>
          <w:rFonts w:hint="eastAsia" w:ascii="宋体" w:hAnsi="宋体"/>
          <w:kern w:val="0"/>
          <w:sz w:val="24"/>
        </w:rPr>
        <w:t>服务</w:t>
      </w:r>
      <w:r>
        <w:rPr>
          <w:rFonts w:ascii="宋体" w:hAnsi="宋体"/>
          <w:kern w:val="0"/>
          <w:sz w:val="24"/>
        </w:rPr>
        <w:t>商</w:t>
      </w:r>
      <w:r>
        <w:rPr>
          <w:rFonts w:hint="eastAsia" w:ascii="宋体" w:hAnsi="宋体"/>
          <w:kern w:val="0"/>
          <w:sz w:val="24"/>
        </w:rPr>
        <w:t>必须</w:t>
      </w:r>
      <w:r>
        <w:rPr>
          <w:rFonts w:ascii="宋体" w:hAnsi="宋体"/>
          <w:kern w:val="0"/>
          <w:sz w:val="24"/>
        </w:rPr>
        <w:t>提出明确的用于本项目方案，方案应包括但不限于以下内容：</w:t>
      </w:r>
      <w:r>
        <w:rPr>
          <w:rFonts w:hint="eastAsia" w:ascii="宋体" w:hAnsi="宋体"/>
          <w:kern w:val="0"/>
          <w:sz w:val="24"/>
          <w:lang w:val="en-US" w:eastAsia="zh-CN"/>
        </w:rPr>
        <w:t>各城市服务中心的报价。</w:t>
      </w:r>
    </w:p>
    <w:p>
      <w:pPr>
        <w:spacing w:line="360" w:lineRule="auto"/>
        <w:ind w:firstLine="480" w:firstLineChars="200"/>
        <w:rPr>
          <w:rFonts w:ascii="宋体" w:hAnsi="宋体"/>
          <w:kern w:val="0"/>
          <w:sz w:val="24"/>
        </w:rPr>
      </w:pPr>
      <w:r>
        <w:rPr>
          <w:rFonts w:hint="eastAsia" w:ascii="宋体" w:hAnsi="宋体"/>
          <w:kern w:val="0"/>
          <w:sz w:val="24"/>
        </w:rPr>
        <w:t>（4）按照服务</w:t>
      </w:r>
      <w:r>
        <w:rPr>
          <w:rFonts w:ascii="宋体" w:hAnsi="宋体"/>
          <w:kern w:val="0"/>
          <w:sz w:val="24"/>
        </w:rPr>
        <w:t>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w:t>
      </w:r>
      <w:r>
        <w:rPr>
          <w:rFonts w:hint="eastAsia" w:ascii="宋体" w:hAnsi="宋体"/>
          <w:kern w:val="0"/>
          <w:sz w:val="24"/>
        </w:rPr>
        <w:t>服务商</w:t>
      </w:r>
      <w:r>
        <w:rPr>
          <w:rFonts w:ascii="宋体" w:hAnsi="宋体"/>
          <w:kern w:val="0"/>
          <w:sz w:val="24"/>
        </w:rPr>
        <w:t>资格证明文件</w:t>
      </w:r>
      <w:r>
        <w:rPr>
          <w:rFonts w:hint="eastAsia"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服务商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服务商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服务商</w:t>
      </w:r>
      <w:r>
        <w:rPr>
          <w:rFonts w:ascii="宋体" w:hAnsi="宋体"/>
          <w:kern w:val="0"/>
          <w:sz w:val="24"/>
        </w:rPr>
        <w:t>必须按照本谈判文件所要求的</w:t>
      </w:r>
      <w:r>
        <w:rPr>
          <w:rFonts w:hint="eastAsia" w:ascii="宋体" w:hAnsi="宋体"/>
          <w:kern w:val="0"/>
          <w:sz w:val="24"/>
        </w:rPr>
        <w:t>服务商</w:t>
      </w:r>
      <w:r>
        <w:rPr>
          <w:rFonts w:ascii="宋体" w:hAnsi="宋体"/>
          <w:kern w:val="0"/>
          <w:sz w:val="24"/>
        </w:rPr>
        <w:t>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pPr>
        <w:spacing w:line="360" w:lineRule="auto"/>
        <w:ind w:firstLine="482" w:firstLineChars="200"/>
        <w:rPr>
          <w:rFonts w:ascii="宋体" w:hAnsi="宋体"/>
          <w:b/>
          <w:kern w:val="0"/>
          <w:sz w:val="24"/>
        </w:rPr>
      </w:pPr>
      <w:r>
        <w:rPr>
          <w:rFonts w:ascii="宋体" w:hAnsi="宋体"/>
          <w:b/>
          <w:kern w:val="0"/>
          <w:sz w:val="24"/>
        </w:rPr>
        <w:t xml:space="preserve">5.2 </w:t>
      </w:r>
      <w:r>
        <w:rPr>
          <w:rFonts w:hint="eastAsia" w:ascii="宋体" w:hAnsi="宋体"/>
          <w:b/>
          <w:kern w:val="0"/>
          <w:sz w:val="24"/>
        </w:rPr>
        <w:t>服务商</w:t>
      </w:r>
      <w:r>
        <w:rPr>
          <w:rFonts w:ascii="宋体" w:hAnsi="宋体"/>
          <w:b/>
          <w:kern w:val="0"/>
          <w:sz w:val="24"/>
        </w:rPr>
        <w:t>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pPr>
        <w:spacing w:line="360" w:lineRule="auto"/>
        <w:ind w:firstLine="482" w:firstLineChars="200"/>
        <w:rPr>
          <w:rFonts w:hint="default" w:ascii="宋体" w:hAnsi="宋体" w:eastAsia="宋体"/>
          <w:b/>
          <w:kern w:val="0"/>
          <w:sz w:val="24"/>
          <w:lang w:val="en-US" w:eastAsia="zh-CN"/>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r>
        <w:rPr>
          <w:rFonts w:hint="eastAsia" w:ascii="宋体" w:hAnsi="宋体"/>
          <w:b/>
          <w:kern w:val="0"/>
          <w:sz w:val="24"/>
          <w:lang w:val="en-US" w:eastAsia="zh-CN"/>
        </w:rPr>
        <w:t>及精确单位</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r>
        <w:rPr>
          <w:rFonts w:hint="eastAsia" w:ascii="宋体" w:hAnsi="宋体"/>
          <w:kern w:val="0"/>
          <w:sz w:val="24"/>
          <w:lang w:eastAsia="zh-CN"/>
        </w:rPr>
        <w:t>，</w:t>
      </w:r>
      <w:r>
        <w:rPr>
          <w:rFonts w:hint="eastAsia" w:ascii="宋体" w:hAnsi="宋体"/>
          <w:kern w:val="0"/>
          <w:sz w:val="24"/>
          <w:lang w:val="en-US" w:eastAsia="zh-CN"/>
        </w:rPr>
        <w:t>人民币报价精确至小数点后一位</w:t>
      </w:r>
      <w:r>
        <w:rPr>
          <w:rFonts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证明服务商</w:t>
      </w:r>
      <w:r>
        <w:rPr>
          <w:rFonts w:ascii="宋体" w:hAnsi="宋体"/>
          <w:b/>
          <w:kern w:val="0"/>
          <w:sz w:val="24"/>
        </w:rPr>
        <w:t>资格的证明文件</w:t>
      </w:r>
    </w:p>
    <w:p>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服务商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服务商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w:t>
      </w:r>
      <w:r>
        <w:rPr>
          <w:rFonts w:hint="eastAsia" w:ascii="宋体" w:hAnsi="宋体"/>
          <w:kern w:val="0"/>
          <w:sz w:val="24"/>
        </w:rPr>
        <w:t>服务商</w:t>
      </w:r>
      <w:r>
        <w:rPr>
          <w:rFonts w:ascii="宋体" w:hAnsi="宋体"/>
          <w:kern w:val="0"/>
          <w:sz w:val="24"/>
        </w:rPr>
        <w:t>代表</w:t>
      </w:r>
      <w:r>
        <w:rPr>
          <w:rFonts w:hint="eastAsia"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服务商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除服务商</w:t>
      </w:r>
      <w:r>
        <w:rPr>
          <w:rFonts w:ascii="宋体" w:hAnsi="宋体"/>
          <w:kern w:val="0"/>
          <w:sz w:val="24"/>
        </w:rPr>
        <w:t>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w:t>
      </w:r>
      <w:r>
        <w:rPr>
          <w:rFonts w:hint="eastAsia" w:ascii="宋体" w:hAnsi="宋体"/>
          <w:kern w:val="0"/>
          <w:sz w:val="24"/>
        </w:rPr>
        <w:t>服务商自己</w:t>
      </w:r>
      <w:r>
        <w:rPr>
          <w:rFonts w:ascii="宋体" w:hAnsi="宋体"/>
          <w:kern w:val="0"/>
          <w:sz w:val="24"/>
        </w:rPr>
        <w:t>承担。</w:t>
      </w:r>
    </w:p>
    <w:p>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1.1 </w:t>
      </w:r>
      <w:r>
        <w:rPr>
          <w:rFonts w:hint="eastAsia" w:ascii="宋体" w:hAnsi="宋体" w:cs="宋体"/>
          <w:kern w:val="0"/>
          <w:sz w:val="24"/>
        </w:rPr>
        <w:t>服务商</w:t>
      </w:r>
      <w:r>
        <w:rPr>
          <w:rFonts w:ascii="宋体" w:hAnsi="宋体" w:cs="宋体"/>
          <w:kern w:val="0"/>
          <w:sz w:val="24"/>
        </w:rPr>
        <w:t>应提交“</w:t>
      </w:r>
      <w:r>
        <w:rPr>
          <w:rFonts w:hint="eastAsia" w:ascii="宋体" w:hAnsi="宋体" w:cs="宋体"/>
          <w:kern w:val="0"/>
          <w:sz w:val="24"/>
        </w:rPr>
        <w:t>谈判文件</w:t>
      </w:r>
      <w:r>
        <w:rPr>
          <w:rFonts w:ascii="宋体" w:hAnsi="宋体" w:cs="宋体"/>
          <w:kern w:val="0"/>
          <w:sz w:val="24"/>
        </w:rPr>
        <w:t>”</w:t>
      </w:r>
      <w:r>
        <w:rPr>
          <w:rFonts w:hint="eastAsia" w:ascii="宋体" w:hAnsi="宋体" w:cs="宋体"/>
          <w:kern w:val="0"/>
          <w:sz w:val="24"/>
        </w:rPr>
        <w:t>正本</w:t>
      </w:r>
      <w:r>
        <w:rPr>
          <w:rFonts w:ascii="宋体" w:hAnsi="宋体" w:cs="宋体"/>
          <w:kern w:val="0"/>
          <w:sz w:val="24"/>
        </w:rPr>
        <w:t>一套和副本</w:t>
      </w:r>
      <w:r>
        <w:rPr>
          <w:rFonts w:hint="eastAsia" w:ascii="宋体" w:hAnsi="宋体" w:cs="宋体"/>
          <w:kern w:val="0"/>
          <w:sz w:val="24"/>
        </w:rPr>
        <w:t>二</w:t>
      </w:r>
      <w:r>
        <w:rPr>
          <w:rFonts w:ascii="宋体" w:hAnsi="宋体" w:cs="宋体"/>
          <w:kern w:val="0"/>
          <w:sz w:val="24"/>
        </w:rPr>
        <w:t>套，每套“</w:t>
      </w:r>
      <w:r>
        <w:rPr>
          <w:rFonts w:hint="eastAsia" w:ascii="宋体" w:hAnsi="宋体" w:cs="宋体"/>
          <w:kern w:val="0"/>
          <w:sz w:val="24"/>
        </w:rPr>
        <w:t>谈判文件</w:t>
      </w:r>
      <w:r>
        <w:rPr>
          <w:rFonts w:ascii="宋体" w:hAnsi="宋体" w:cs="宋体"/>
          <w:kern w:val="0"/>
          <w:sz w:val="24"/>
        </w:rPr>
        <w:t>”</w:t>
      </w:r>
      <w:r>
        <w:rPr>
          <w:rFonts w:hint="eastAsia" w:ascii="宋体" w:hAnsi="宋体" w:cs="宋体"/>
          <w:kern w:val="0"/>
          <w:sz w:val="24"/>
        </w:rPr>
        <w:t>封面</w:t>
      </w:r>
      <w:r>
        <w:rPr>
          <w:rFonts w:ascii="宋体" w:hAnsi="宋体" w:cs="宋体"/>
          <w:kern w:val="0"/>
          <w:sz w:val="24"/>
        </w:rPr>
        <w:t>的右上角应标明“</w:t>
      </w:r>
      <w:r>
        <w:rPr>
          <w:rFonts w:hint="eastAsia" w:ascii="宋体" w:hAnsi="宋体" w:cs="宋体"/>
          <w:kern w:val="0"/>
          <w:sz w:val="24"/>
        </w:rPr>
        <w:t>正本</w:t>
      </w:r>
      <w:r>
        <w:rPr>
          <w:rFonts w:ascii="宋体" w:hAnsi="宋体" w:cs="宋体"/>
          <w:kern w:val="0"/>
          <w:sz w:val="24"/>
        </w:rPr>
        <w:t>”</w:t>
      </w:r>
      <w:r>
        <w:rPr>
          <w:rFonts w:hint="eastAsia" w:ascii="宋体" w:hAnsi="宋体" w:cs="宋体"/>
          <w:kern w:val="0"/>
          <w:sz w:val="24"/>
        </w:rPr>
        <w:t>或</w:t>
      </w:r>
      <w:r>
        <w:rPr>
          <w:rFonts w:ascii="宋体" w:hAnsi="宋体" w:cs="宋体"/>
          <w:kern w:val="0"/>
          <w:sz w:val="24"/>
        </w:rPr>
        <w:t>“</w:t>
      </w:r>
      <w:r>
        <w:rPr>
          <w:rFonts w:hint="eastAsia" w:ascii="宋体" w:hAnsi="宋体" w:cs="宋体"/>
          <w:kern w:val="0"/>
          <w:sz w:val="24"/>
        </w:rPr>
        <w:t>副本</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1.2 </w:t>
      </w:r>
      <w:r>
        <w:rPr>
          <w:rFonts w:hint="eastAsia" w:ascii="宋体" w:hAnsi="宋体" w:cs="宋体"/>
          <w:kern w:val="0"/>
          <w:sz w:val="24"/>
        </w:rPr>
        <w:t>谈判文件</w:t>
      </w:r>
      <w:r>
        <w:rPr>
          <w:rFonts w:ascii="宋体" w:hAnsi="宋体" w:cs="宋体"/>
          <w:kern w:val="0"/>
          <w:sz w:val="24"/>
        </w:rPr>
        <w:t>的包装、标记要求</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1.2.1 </w:t>
      </w:r>
      <w:r>
        <w:rPr>
          <w:rFonts w:hint="eastAsia" w:ascii="宋体" w:hAnsi="宋体" w:cs="宋体"/>
          <w:kern w:val="0"/>
          <w:sz w:val="24"/>
        </w:rPr>
        <w:t>谈判文件</w:t>
      </w:r>
      <w:r>
        <w:rPr>
          <w:rFonts w:ascii="宋体" w:hAnsi="宋体" w:cs="宋体"/>
          <w:kern w:val="0"/>
          <w:sz w:val="24"/>
        </w:rPr>
        <w:t>应单独封装</w:t>
      </w:r>
      <w:r>
        <w:rPr>
          <w:rFonts w:hint="eastAsia" w:ascii="宋体" w:hAnsi="宋体" w:cs="宋体"/>
          <w:kern w:val="0"/>
          <w:sz w:val="24"/>
        </w:rPr>
        <w:t>并</w:t>
      </w:r>
      <w:r>
        <w:rPr>
          <w:rFonts w:ascii="宋体" w:hAnsi="宋体" w:cs="宋体"/>
          <w:kern w:val="0"/>
          <w:sz w:val="24"/>
        </w:rPr>
        <w:t>提交</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.2.2 服务商</w:t>
      </w:r>
      <w:r>
        <w:rPr>
          <w:rFonts w:ascii="宋体" w:hAnsi="宋体" w:cs="宋体"/>
          <w:kern w:val="0"/>
          <w:sz w:val="24"/>
        </w:rPr>
        <w:t>应将</w:t>
      </w:r>
      <w:r>
        <w:rPr>
          <w:rFonts w:hint="eastAsia" w:ascii="宋体" w:hAnsi="宋体" w:cs="宋体"/>
          <w:kern w:val="0"/>
          <w:sz w:val="24"/>
        </w:rPr>
        <w:t>谈判文件</w:t>
      </w:r>
      <w:r>
        <w:rPr>
          <w:rFonts w:ascii="宋体" w:hAnsi="宋体" w:cs="宋体"/>
          <w:kern w:val="0"/>
          <w:sz w:val="24"/>
        </w:rPr>
        <w:t>按正本、副本分别封装，并标明</w:t>
      </w:r>
      <w:r>
        <w:rPr>
          <w:rFonts w:hint="eastAsia" w:ascii="宋体" w:hAnsi="宋体" w:cs="宋体"/>
          <w:kern w:val="0"/>
          <w:sz w:val="24"/>
        </w:rPr>
        <w:t>采购</w:t>
      </w:r>
      <w:r>
        <w:rPr>
          <w:rFonts w:ascii="宋体" w:hAnsi="宋体" w:cs="宋体"/>
          <w:kern w:val="0"/>
          <w:sz w:val="24"/>
        </w:rPr>
        <w:t>项目名称、</w:t>
      </w:r>
      <w:r>
        <w:rPr>
          <w:rFonts w:hint="eastAsia" w:ascii="宋体" w:hAnsi="宋体" w:cs="宋体"/>
          <w:kern w:val="0"/>
          <w:sz w:val="24"/>
        </w:rPr>
        <w:t>服务商</w:t>
      </w:r>
      <w:r>
        <w:rPr>
          <w:rFonts w:ascii="宋体" w:hAnsi="宋体" w:cs="宋体"/>
          <w:kern w:val="0"/>
          <w:sz w:val="24"/>
        </w:rPr>
        <w:t>名称、地址、邮政编码及“</w:t>
      </w:r>
      <w:r>
        <w:rPr>
          <w:rFonts w:hint="eastAsia" w:ascii="宋体" w:hAnsi="宋体" w:cs="宋体"/>
          <w:kern w:val="0"/>
          <w:sz w:val="24"/>
        </w:rPr>
        <w:t>正本</w:t>
      </w: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副本</w:t>
      </w:r>
      <w:r>
        <w:rPr>
          <w:rFonts w:ascii="宋体" w:hAnsi="宋体" w:cs="宋体"/>
          <w:kern w:val="0"/>
          <w:sz w:val="24"/>
        </w:rPr>
        <w:t>”</w:t>
      </w:r>
      <w:r>
        <w:rPr>
          <w:rFonts w:hint="eastAsia" w:ascii="宋体" w:hAnsi="宋体" w:cs="宋体"/>
          <w:kern w:val="0"/>
          <w:sz w:val="24"/>
        </w:rPr>
        <w:t>字样</w:t>
      </w:r>
      <w:r>
        <w:rPr>
          <w:rFonts w:ascii="宋体" w:hAnsi="宋体" w:cs="宋体"/>
          <w:kern w:val="0"/>
          <w:sz w:val="24"/>
        </w:rPr>
        <w:t>。再将</w:t>
      </w:r>
      <w:r>
        <w:rPr>
          <w:rFonts w:hint="eastAsia" w:ascii="宋体" w:hAnsi="宋体" w:cs="宋体"/>
          <w:kern w:val="0"/>
          <w:sz w:val="24"/>
        </w:rPr>
        <w:t>单独</w:t>
      </w:r>
      <w:r>
        <w:rPr>
          <w:rFonts w:ascii="宋体" w:hAnsi="宋体" w:cs="宋体"/>
          <w:kern w:val="0"/>
          <w:sz w:val="24"/>
        </w:rPr>
        <w:t>密封包装的</w:t>
      </w:r>
      <w:r>
        <w:rPr>
          <w:rFonts w:hint="eastAsia" w:ascii="宋体" w:hAnsi="宋体" w:cs="宋体"/>
          <w:kern w:val="0"/>
          <w:sz w:val="24"/>
        </w:rPr>
        <w:t>全套</w:t>
      </w:r>
      <w:r>
        <w:rPr>
          <w:rFonts w:ascii="宋体" w:hAnsi="宋体" w:cs="宋体"/>
          <w:kern w:val="0"/>
          <w:sz w:val="24"/>
        </w:rPr>
        <w:t>正本、副本文件统一封装在</w:t>
      </w:r>
      <w:r>
        <w:rPr>
          <w:rFonts w:hint="eastAsia" w:ascii="宋体" w:hAnsi="宋体" w:cs="宋体"/>
          <w:kern w:val="0"/>
          <w:sz w:val="24"/>
        </w:rPr>
        <w:t>一件</w:t>
      </w:r>
      <w:r>
        <w:rPr>
          <w:rFonts w:ascii="宋体" w:hAnsi="宋体" w:cs="宋体"/>
          <w:kern w:val="0"/>
          <w:sz w:val="24"/>
        </w:rPr>
        <w:t>包装内。</w:t>
      </w:r>
    </w:p>
    <w:p>
      <w:pPr>
        <w:spacing w:line="360" w:lineRule="auto"/>
        <w:ind w:firstLine="480" w:firstLineChars="200"/>
        <w:rPr>
          <w:rFonts w:ascii="宋体" w:hAnsi="宋体" w:cs="宋体"/>
          <w:kern w:val="0"/>
          <w:sz w:val="24"/>
        </w:rPr>
      </w:pPr>
      <w:r>
        <w:rPr>
          <w:rFonts w:ascii="宋体" w:hAnsi="宋体" w:cs="宋体"/>
          <w:kern w:val="0"/>
          <w:sz w:val="24"/>
        </w:rPr>
        <w:t>1.2.3 每一密封</w:t>
      </w:r>
      <w:r>
        <w:rPr>
          <w:rFonts w:hint="eastAsia" w:ascii="宋体" w:hAnsi="宋体" w:cs="宋体"/>
          <w:kern w:val="0"/>
          <w:sz w:val="24"/>
        </w:rPr>
        <w:t>袋的封口处均应加盖密封章或服务商公章，</w:t>
      </w:r>
      <w:r>
        <w:rPr>
          <w:rFonts w:ascii="宋体" w:hAnsi="宋体" w:cs="宋体"/>
          <w:kern w:val="0"/>
          <w:sz w:val="24"/>
        </w:rPr>
        <w:t>并在封面上标明</w:t>
      </w:r>
      <w:r>
        <w:rPr>
          <w:rFonts w:hint="eastAsia" w:ascii="宋体" w:hAnsi="宋体" w:cs="宋体"/>
          <w:kern w:val="0"/>
          <w:sz w:val="24"/>
        </w:rPr>
        <w:t>采购项目名称、服务商名称及“在</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3</w:t>
      </w:r>
      <w:r>
        <w:rPr>
          <w:rFonts w:hint="eastAsia" w:ascii="宋体" w:hAnsi="宋体" w:cs="宋体"/>
          <w:color w:val="FF0000"/>
          <w:kern w:val="0"/>
          <w:sz w:val="24"/>
        </w:rPr>
        <w:t>月</w:t>
      </w:r>
      <w:r>
        <w:rPr>
          <w:rFonts w:hint="eastAsia" w:ascii="宋体" w:hAnsi="宋体" w:cs="宋体"/>
          <w:color w:val="FF0000"/>
          <w:kern w:val="0"/>
          <w:sz w:val="24"/>
          <w:lang w:val="en-US" w:eastAsia="zh-CN"/>
        </w:rPr>
        <w:t>8日</w:t>
      </w:r>
      <w:r>
        <w:rPr>
          <w:rFonts w:ascii="宋体" w:hAnsi="宋体" w:cs="宋体"/>
          <w:kern w:val="0"/>
          <w:sz w:val="24"/>
        </w:rPr>
        <w:t>（</w:t>
      </w:r>
      <w:r>
        <w:rPr>
          <w:rFonts w:hint="eastAsia" w:ascii="宋体" w:hAnsi="宋体" w:cs="宋体"/>
          <w:kern w:val="0"/>
          <w:sz w:val="24"/>
        </w:rPr>
        <w:t>评审时间</w:t>
      </w:r>
      <w:r>
        <w:rPr>
          <w:rFonts w:ascii="宋体" w:hAnsi="宋体" w:cs="宋体"/>
          <w:kern w:val="0"/>
          <w:sz w:val="24"/>
        </w:rPr>
        <w:t>）之前不准启封</w:t>
      </w:r>
      <w:r>
        <w:rPr>
          <w:rFonts w:hint="eastAsia" w:ascii="宋体" w:hAnsi="宋体" w:cs="宋体"/>
          <w:kern w:val="0"/>
          <w:sz w:val="24"/>
        </w:rPr>
        <w:t>”的</w:t>
      </w:r>
      <w:r>
        <w:rPr>
          <w:rFonts w:ascii="宋体" w:hAnsi="宋体" w:cs="宋体"/>
          <w:kern w:val="0"/>
          <w:sz w:val="24"/>
        </w:rPr>
        <w:t>字样。</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1.3 </w:t>
      </w:r>
      <w:r>
        <w:rPr>
          <w:rFonts w:hint="eastAsia" w:ascii="宋体" w:hAnsi="宋体" w:cs="宋体"/>
          <w:kern w:val="0"/>
          <w:sz w:val="24"/>
        </w:rPr>
        <w:t>谈判文件</w:t>
      </w:r>
      <w:r>
        <w:rPr>
          <w:rFonts w:ascii="宋体" w:hAnsi="宋体" w:cs="宋体"/>
          <w:kern w:val="0"/>
          <w:sz w:val="24"/>
        </w:rPr>
        <w:t>的提交：</w:t>
      </w:r>
      <w:r>
        <w:rPr>
          <w:rFonts w:hint="eastAsia" w:ascii="宋体" w:hAnsi="宋体" w:cs="宋体"/>
          <w:kern w:val="0"/>
          <w:sz w:val="24"/>
        </w:rPr>
        <w:t>服务商</w:t>
      </w:r>
      <w:r>
        <w:rPr>
          <w:rFonts w:ascii="宋体" w:hAnsi="宋体" w:cs="宋体"/>
          <w:kern w:val="0"/>
          <w:sz w:val="24"/>
        </w:rPr>
        <w:t>应</w:t>
      </w:r>
      <w:r>
        <w:rPr>
          <w:rFonts w:hint="eastAsia" w:ascii="宋体" w:hAnsi="宋体" w:cs="宋体"/>
          <w:kern w:val="0"/>
          <w:sz w:val="24"/>
        </w:rPr>
        <w:t>于谈判文件递交</w:t>
      </w:r>
      <w:r>
        <w:rPr>
          <w:rFonts w:ascii="宋体" w:hAnsi="宋体" w:cs="宋体"/>
          <w:kern w:val="0"/>
          <w:sz w:val="24"/>
        </w:rPr>
        <w:t>截止时间前由专人将</w:t>
      </w:r>
      <w:r>
        <w:rPr>
          <w:rFonts w:hint="eastAsia" w:ascii="宋体" w:hAnsi="宋体" w:cs="宋体"/>
          <w:kern w:val="0"/>
          <w:sz w:val="24"/>
        </w:rPr>
        <w:t>谈判文件</w:t>
      </w:r>
      <w:r>
        <w:rPr>
          <w:rFonts w:ascii="宋体" w:hAnsi="宋体" w:cs="宋体"/>
          <w:kern w:val="0"/>
          <w:sz w:val="24"/>
        </w:rPr>
        <w:t>送至</w:t>
      </w:r>
      <w:r>
        <w:rPr>
          <w:rFonts w:hint="eastAsia" w:ascii="宋体" w:hAnsi="宋体" w:cs="宋体"/>
          <w:kern w:val="0"/>
          <w:sz w:val="24"/>
        </w:rPr>
        <w:t>指定地点</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1.4 </w:t>
      </w:r>
      <w:r>
        <w:rPr>
          <w:rFonts w:hint="eastAsia" w:ascii="宋体" w:hAnsi="宋体" w:cs="宋体"/>
          <w:kern w:val="0"/>
          <w:sz w:val="24"/>
        </w:rPr>
        <w:t>服务商</w:t>
      </w:r>
      <w:r>
        <w:rPr>
          <w:rFonts w:ascii="宋体" w:hAnsi="宋体" w:cs="宋体"/>
          <w:kern w:val="0"/>
          <w:sz w:val="24"/>
        </w:rPr>
        <w:t>在递交</w:t>
      </w:r>
      <w:r>
        <w:rPr>
          <w:rFonts w:hint="eastAsia" w:ascii="宋体" w:hAnsi="宋体" w:cs="宋体"/>
          <w:kern w:val="0"/>
          <w:sz w:val="24"/>
        </w:rPr>
        <w:t>谈判文件</w:t>
      </w:r>
      <w:r>
        <w:rPr>
          <w:rFonts w:ascii="宋体" w:hAnsi="宋体" w:cs="宋体"/>
          <w:kern w:val="0"/>
          <w:sz w:val="24"/>
        </w:rPr>
        <w:t>时，应同时出示谈判文件要求的资质证明文件的复印件</w:t>
      </w:r>
      <w:r>
        <w:rPr>
          <w:rFonts w:ascii="宋体" w:hAnsi="宋体" w:cs="宋体"/>
          <w:spacing w:val="-6"/>
          <w:kern w:val="0"/>
          <w:sz w:val="24"/>
        </w:rPr>
        <w:t>并加盖有效公章，并按目录排列</w:t>
      </w:r>
      <w:r>
        <w:rPr>
          <w:rFonts w:hint="eastAsia" w:ascii="宋体" w:hAnsi="宋体" w:cs="宋体"/>
          <w:kern w:val="0"/>
          <w:sz w:val="24"/>
        </w:rPr>
        <w:t>。</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服务商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服务商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w:t>
      </w:r>
      <w:r>
        <w:rPr>
          <w:rFonts w:hint="eastAsia" w:ascii="宋体" w:hAnsi="宋体"/>
          <w:kern w:val="0"/>
          <w:sz w:val="24"/>
        </w:rPr>
        <w:t>服务商</w:t>
      </w:r>
      <w:r>
        <w:rPr>
          <w:rFonts w:ascii="宋体" w:hAnsi="宋体"/>
          <w:kern w:val="0"/>
          <w:sz w:val="24"/>
        </w:rPr>
        <w:t>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pPr>
        <w:spacing w:line="360" w:lineRule="auto"/>
        <w:ind w:firstLine="480" w:firstLineChars="200"/>
        <w:rPr>
          <w:rFonts w:ascii="宋体" w:hAnsi="宋体"/>
          <w:kern w:val="0"/>
          <w:sz w:val="24"/>
        </w:rPr>
      </w:pPr>
      <w:r>
        <w:rPr>
          <w:rFonts w:hint="eastAsia" w:ascii="宋体" w:hAnsi="宋体"/>
          <w:kern w:val="0"/>
          <w:sz w:val="24"/>
        </w:rPr>
        <w:t>（2）服务商针对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服务商数量不足三家的，采购人须重新进行竞争性谈判。</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每一服务商</w:t>
      </w:r>
      <w:r>
        <w:rPr>
          <w:rFonts w:ascii="宋体" w:hAnsi="宋体"/>
          <w:kern w:val="0"/>
          <w:sz w:val="24"/>
        </w:rPr>
        <w:t>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权利或减轻了服务商</w:t>
      </w:r>
      <w:r>
        <w:rPr>
          <w:rFonts w:ascii="宋体" w:hAnsi="宋体"/>
          <w:kern w:val="0"/>
          <w:sz w:val="24"/>
        </w:rPr>
        <w:t>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w:t>
      </w:r>
      <w:r>
        <w:rPr>
          <w:rFonts w:hint="eastAsia" w:ascii="宋体" w:hAnsi="宋体"/>
          <w:kern w:val="0"/>
          <w:sz w:val="24"/>
        </w:rPr>
        <w:t>服务商</w:t>
      </w:r>
      <w:r>
        <w:rPr>
          <w:rFonts w:ascii="宋体" w:hAnsi="宋体"/>
          <w:kern w:val="0"/>
          <w:sz w:val="24"/>
        </w:rPr>
        <w:t>的公平竞争地位。</w:t>
      </w:r>
    </w:p>
    <w:p>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w:t>
      </w:r>
      <w:r>
        <w:rPr>
          <w:rFonts w:hint="eastAsia" w:ascii="宋体" w:hAnsi="宋体"/>
          <w:kern w:val="0"/>
          <w:sz w:val="24"/>
        </w:rPr>
        <w:t>服务商</w:t>
      </w:r>
      <w:r>
        <w:rPr>
          <w:rFonts w:ascii="宋体" w:hAnsi="宋体"/>
          <w:kern w:val="0"/>
          <w:sz w:val="24"/>
        </w:rPr>
        <w:t>不能通过</w:t>
      </w:r>
      <w:r>
        <w:rPr>
          <w:rFonts w:hint="eastAsia" w:ascii="宋体" w:hAnsi="宋体"/>
          <w:kern w:val="0"/>
          <w:sz w:val="24"/>
        </w:rPr>
        <w:t>修正</w:t>
      </w:r>
      <w:r>
        <w:rPr>
          <w:rFonts w:ascii="宋体" w:hAnsi="宋体"/>
          <w:kern w:val="0"/>
          <w:sz w:val="24"/>
        </w:rPr>
        <w:t>或撤销不符之处而使其成为实质性响应。</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w:t>
      </w:r>
      <w:r>
        <w:rPr>
          <w:rFonts w:hint="eastAsia" w:ascii="宋体" w:hAnsi="宋体"/>
          <w:kern w:val="0"/>
          <w:sz w:val="24"/>
        </w:rPr>
        <w:t>服务商</w:t>
      </w:r>
      <w:r>
        <w:rPr>
          <w:rFonts w:ascii="宋体" w:hAnsi="宋体"/>
          <w:kern w:val="0"/>
          <w:sz w:val="24"/>
        </w:rPr>
        <w:t>质疑，请</w:t>
      </w:r>
      <w:r>
        <w:rPr>
          <w:rFonts w:hint="eastAsia" w:ascii="宋体" w:hAnsi="宋体"/>
          <w:kern w:val="0"/>
          <w:sz w:val="24"/>
        </w:rPr>
        <w:t>服务商</w:t>
      </w:r>
      <w:r>
        <w:rPr>
          <w:rFonts w:ascii="宋体" w:hAnsi="宋体"/>
          <w:kern w:val="0"/>
          <w:sz w:val="24"/>
        </w:rPr>
        <w:t>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。服务商须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所有服务商</w:t>
      </w:r>
      <w:r>
        <w:rPr>
          <w:rFonts w:ascii="宋体" w:hAnsi="宋体"/>
          <w:kern w:val="0"/>
          <w:sz w:val="24"/>
        </w:rPr>
        <w:t>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w:t>
      </w:r>
      <w:r>
        <w:rPr>
          <w:rFonts w:hint="eastAsia" w:ascii="宋体" w:hAnsi="宋体"/>
          <w:kern w:val="0"/>
          <w:sz w:val="24"/>
        </w:rPr>
        <w:t>服务商</w:t>
      </w:r>
      <w:r>
        <w:rPr>
          <w:rFonts w:ascii="宋体" w:hAnsi="宋体"/>
          <w:kern w:val="0"/>
          <w:sz w:val="24"/>
        </w:rPr>
        <w:t>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w:t>
      </w:r>
      <w:r>
        <w:rPr>
          <w:rFonts w:hint="eastAsia" w:ascii="宋体" w:hAnsi="宋体"/>
          <w:kern w:val="0"/>
          <w:sz w:val="24"/>
        </w:rPr>
        <w:t>服务商</w:t>
      </w:r>
      <w:r>
        <w:rPr>
          <w:rFonts w:ascii="宋体" w:hAnsi="宋体"/>
          <w:kern w:val="0"/>
          <w:sz w:val="24"/>
        </w:rPr>
        <w:t>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中服务商</w:t>
      </w:r>
      <w:r>
        <w:rPr>
          <w:rFonts w:ascii="宋体" w:hAnsi="宋体"/>
          <w:kern w:val="0"/>
          <w:sz w:val="24"/>
        </w:rPr>
        <w:t>须具备的资格条件。</w:t>
      </w:r>
    </w:p>
    <w:p>
      <w:pPr>
        <w:spacing w:line="360" w:lineRule="auto"/>
        <w:ind w:firstLine="480" w:firstLineChars="200"/>
        <w:rPr>
          <w:rFonts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ascii="宋体" w:hAnsi="宋体"/>
          <w:kern w:val="0"/>
          <w:sz w:val="24"/>
        </w:rPr>
        <w:t>以综合评估的方法予以排序、选定。主要</w:t>
      </w:r>
      <w:r>
        <w:rPr>
          <w:rFonts w:hint="eastAsia" w:ascii="宋体" w:hAnsi="宋体"/>
          <w:kern w:val="0"/>
          <w:sz w:val="24"/>
        </w:rPr>
        <w:t>考评</w:t>
      </w:r>
      <w:r>
        <w:rPr>
          <w:rFonts w:ascii="宋体" w:hAnsi="宋体"/>
          <w:kern w:val="0"/>
          <w:sz w:val="24"/>
        </w:rPr>
        <w:t>因素包括商务和技术两个方面。按照</w:t>
      </w:r>
      <w:r>
        <w:rPr>
          <w:rFonts w:hint="eastAsia" w:ascii="宋体" w:hAnsi="宋体"/>
          <w:kern w:val="0"/>
          <w:sz w:val="24"/>
        </w:rPr>
        <w:t>谈判文件要求</w:t>
      </w:r>
      <w:r>
        <w:rPr>
          <w:rFonts w:ascii="宋体" w:hAnsi="宋体"/>
          <w:kern w:val="0"/>
          <w:sz w:val="24"/>
        </w:rPr>
        <w:t>对各</w:t>
      </w:r>
      <w:r>
        <w:rPr>
          <w:rFonts w:hint="eastAsia" w:ascii="宋体" w:hAnsi="宋体"/>
          <w:kern w:val="0"/>
          <w:sz w:val="24"/>
        </w:rPr>
        <w:t>谈判文件</w:t>
      </w:r>
      <w:r>
        <w:rPr>
          <w:rFonts w:ascii="宋体" w:hAnsi="宋体"/>
          <w:kern w:val="0"/>
          <w:sz w:val="24"/>
        </w:rPr>
        <w:t>进行综合评分。</w:t>
      </w:r>
    </w:p>
    <w:p>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服务商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符合谈判文件要求、并能圆满地履行合同的、对采购人最为有利的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的服务商</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w:t>
      </w:r>
      <w:r>
        <w:rPr>
          <w:rFonts w:hint="eastAsia" w:ascii="宋体" w:hAnsi="宋体"/>
          <w:kern w:val="0"/>
          <w:sz w:val="24"/>
        </w:rPr>
        <w:t>服务商</w:t>
      </w:r>
      <w:r>
        <w:rPr>
          <w:rFonts w:ascii="宋体" w:hAnsi="宋体"/>
          <w:kern w:val="0"/>
          <w:sz w:val="24"/>
        </w:rPr>
        <w:t>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w:t>
      </w:r>
      <w:r>
        <w:rPr>
          <w:rFonts w:hint="eastAsia" w:ascii="宋体" w:hAnsi="宋体"/>
          <w:kern w:val="0"/>
          <w:sz w:val="24"/>
        </w:rPr>
        <w:t>服务商名单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widowControl/>
        <w:jc w:val="center"/>
        <w:rPr>
          <w:rFonts w:ascii="宋体" w:hAnsi="宋体"/>
          <w:kern w:val="0"/>
          <w:sz w:val="28"/>
          <w:szCs w:val="28"/>
        </w:rPr>
      </w:pPr>
    </w:p>
    <w:p>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pPr>
        <w:rPr>
          <w:rFonts w:ascii="宋体" w:hAnsi="宋体"/>
          <w:b/>
          <w:kern w:val="0"/>
          <w:sz w:val="24"/>
        </w:rPr>
      </w:pPr>
    </w:p>
    <w:p>
      <w:pPr>
        <w:ind w:firstLine="643" w:firstLineChars="200"/>
        <w:jc w:val="center"/>
        <w:rPr>
          <w:rFonts w:ascii="宋体" w:hAnsi="宋体"/>
          <w:b/>
          <w:kern w:val="0"/>
          <w:sz w:val="32"/>
        </w:rPr>
      </w:pPr>
      <w:r>
        <w:rPr>
          <w:rFonts w:hint="eastAsia" w:ascii="宋体" w:hAnsi="宋体"/>
          <w:b/>
          <w:kern w:val="0"/>
          <w:sz w:val="32"/>
        </w:rPr>
        <w:t>附件1 谈判响应书</w:t>
      </w:r>
    </w:p>
    <w:p>
      <w:pPr>
        <w:rPr>
          <w:rFonts w:ascii="宋体" w:hAnsi="宋体"/>
          <w:sz w:val="24"/>
        </w:rPr>
      </w:pPr>
    </w:p>
    <w:p>
      <w:pPr>
        <w:rPr>
          <w:rFonts w:ascii="宋体" w:hAnsi="宋体"/>
          <w:sz w:val="24"/>
        </w:rPr>
      </w:pPr>
      <w:r>
        <w:rPr>
          <w:rFonts w:ascii="宋体" w:hAnsi="宋体"/>
          <w:sz w:val="24"/>
        </w:rPr>
        <w:t>致：</w:t>
      </w:r>
      <w:r>
        <w:rPr>
          <w:rFonts w:hint="eastAsia" w:ascii="宋体" w:hAnsi="宋体"/>
          <w:sz w:val="24"/>
          <w:u w:val="single"/>
        </w:rPr>
        <w:t>重庆国际复合材料股份有限公司</w:t>
      </w:r>
    </w:p>
    <w:p>
      <w:pPr>
        <w:rPr>
          <w:rFonts w:ascii="宋体" w:hAnsi="宋体"/>
          <w:sz w:val="24"/>
        </w:rPr>
      </w:pPr>
    </w:p>
    <w:p>
      <w:pPr>
        <w:pStyle w:val="34"/>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hint="eastAsia" w:ascii="宋体" w:hAnsi="宋体"/>
          <w:i/>
          <w:color w:val="auto"/>
          <w:u w:val="single"/>
        </w:rPr>
        <w:t>服务商</w:t>
      </w:r>
      <w:r>
        <w:rPr>
          <w:rFonts w:ascii="宋体" w:hAnsi="宋体"/>
          <w:i/>
          <w:color w:val="auto"/>
          <w:u w:val="single"/>
        </w:rPr>
        <w:t>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pPr>
        <w:pStyle w:val="34"/>
        <w:numPr>
          <w:ilvl w:val="0"/>
          <w:numId w:val="4"/>
        </w:numPr>
        <w:ind w:firstLineChars="0"/>
        <w:rPr>
          <w:rFonts w:ascii="宋体" w:hAnsi="宋体"/>
          <w:color w:val="auto"/>
        </w:rPr>
      </w:pPr>
      <w:r>
        <w:rPr>
          <w:rFonts w:hint="eastAsia" w:ascii="宋体" w:hAnsi="宋体"/>
          <w:color w:val="auto"/>
        </w:rPr>
        <w:t>服务商</w:t>
      </w:r>
      <w:r>
        <w:rPr>
          <w:rFonts w:ascii="宋体" w:hAnsi="宋体"/>
          <w:color w:val="auto"/>
        </w:rPr>
        <w:t>基本情况表</w:t>
      </w:r>
    </w:p>
    <w:p>
      <w:pPr>
        <w:pStyle w:val="34"/>
        <w:numPr>
          <w:ilvl w:val="0"/>
          <w:numId w:val="4"/>
        </w:numPr>
        <w:ind w:firstLineChars="0"/>
        <w:rPr>
          <w:rFonts w:ascii="宋体" w:hAnsi="宋体"/>
          <w:color w:val="auto"/>
        </w:rPr>
      </w:pPr>
      <w:r>
        <w:rPr>
          <w:rFonts w:hint="eastAsia" w:ascii="宋体" w:hAnsi="宋体"/>
          <w:color w:val="auto"/>
        </w:rPr>
        <w:t>服务商</w:t>
      </w:r>
      <w:r>
        <w:rPr>
          <w:rFonts w:ascii="宋体" w:hAnsi="宋体"/>
          <w:color w:val="auto"/>
        </w:rPr>
        <w:t>资格证明文件</w:t>
      </w:r>
    </w:p>
    <w:p>
      <w:pPr>
        <w:pStyle w:val="34"/>
        <w:numPr>
          <w:ilvl w:val="0"/>
          <w:numId w:val="4"/>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服务商须知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pPr>
        <w:pStyle w:val="34"/>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pPr>
        <w:pStyle w:val="34"/>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pPr>
        <w:pStyle w:val="34"/>
        <w:tabs>
          <w:tab w:val="left" w:pos="780"/>
        </w:tabs>
        <w:ind w:firstLineChars="0"/>
        <w:rPr>
          <w:rFonts w:ascii="宋体" w:hAnsi="宋体"/>
          <w:color w:val="auto"/>
        </w:rPr>
      </w:pPr>
      <w:r>
        <w:rPr>
          <w:rFonts w:hint="eastAsia" w:ascii="宋体" w:hAnsi="宋体"/>
          <w:color w:val="auto"/>
        </w:rPr>
        <w:t>2、服务商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pPr>
        <w:pStyle w:val="34"/>
        <w:numPr>
          <w:ilvl w:val="0"/>
          <w:numId w:val="5"/>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pPr>
        <w:pStyle w:val="34"/>
        <w:tabs>
          <w:tab w:val="left" w:pos="780"/>
        </w:tabs>
        <w:ind w:firstLineChars="0"/>
        <w:rPr>
          <w:rFonts w:ascii="宋体" w:hAnsi="宋体"/>
          <w:color w:val="auto"/>
        </w:rPr>
      </w:pPr>
      <w:r>
        <w:rPr>
          <w:rFonts w:ascii="宋体" w:hAnsi="宋体"/>
          <w:color w:val="auto"/>
        </w:rPr>
        <w:t>4</w:t>
      </w:r>
      <w:r>
        <w:rPr>
          <w:rFonts w:hint="eastAsia" w:ascii="宋体" w:hAnsi="宋体"/>
          <w:color w:val="auto"/>
        </w:rPr>
        <w:t>、服务商已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pPr>
        <w:pStyle w:val="34"/>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pPr>
        <w:pStyle w:val="34"/>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pPr>
        <w:pStyle w:val="34"/>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pPr>
        <w:pStyle w:val="34"/>
        <w:rPr>
          <w:rFonts w:ascii="宋体" w:hAnsi="宋体"/>
          <w:color w:val="auto"/>
        </w:rPr>
      </w:pPr>
      <w:r>
        <w:rPr>
          <w:rFonts w:ascii="宋体" w:hAnsi="宋体"/>
          <w:color w:val="auto"/>
        </w:rPr>
        <w:t>电子邮件：</w:t>
      </w:r>
      <w:r>
        <w:rPr>
          <w:rFonts w:ascii="宋体" w:hAnsi="宋体"/>
          <w:color w:val="auto"/>
          <w:u w:val="single"/>
        </w:rPr>
        <w:t xml:space="preserve">                             </w:t>
      </w:r>
    </w:p>
    <w:p>
      <w:pPr>
        <w:pStyle w:val="34"/>
        <w:spacing w:line="480" w:lineRule="auto"/>
        <w:ind w:firstLine="3120" w:firstLineChars="1300"/>
        <w:rPr>
          <w:rFonts w:ascii="宋体" w:hAnsi="宋体"/>
          <w:color w:val="auto"/>
        </w:rPr>
      </w:pPr>
      <w:r>
        <w:rPr>
          <w:rFonts w:ascii="宋体" w:hAnsi="宋体"/>
          <w:color w:val="auto"/>
        </w:rPr>
        <w:t xml:space="preserve">授权代表签字：                         </w:t>
      </w:r>
    </w:p>
    <w:p>
      <w:pPr>
        <w:pStyle w:val="34"/>
        <w:spacing w:line="480" w:lineRule="auto"/>
        <w:ind w:firstLine="3360" w:firstLineChars="1400"/>
        <w:rPr>
          <w:rFonts w:ascii="宋体" w:hAnsi="宋体"/>
          <w:color w:val="auto"/>
        </w:rPr>
      </w:pPr>
      <w:r>
        <w:rPr>
          <w:rFonts w:hint="eastAsia" w:ascii="宋体" w:hAnsi="宋体"/>
          <w:color w:val="auto"/>
        </w:rPr>
        <w:t>服务商</w:t>
      </w:r>
      <w:r>
        <w:rPr>
          <w:rFonts w:ascii="宋体" w:hAnsi="宋体"/>
          <w:color w:val="auto"/>
        </w:rPr>
        <w:t>名称：              （加盖公章）</w:t>
      </w:r>
    </w:p>
    <w:p>
      <w:pPr>
        <w:pStyle w:val="34"/>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pPr>
        <w:spacing w:line="480" w:lineRule="auto"/>
        <w:ind w:firstLine="7590" w:firstLineChars="2700"/>
        <w:rPr>
          <w:rFonts w:ascii="宋体" w:hAnsi="宋体"/>
          <w:b/>
          <w:kern w:val="0"/>
          <w:sz w:val="28"/>
          <w:szCs w:val="28"/>
        </w:rPr>
      </w:pPr>
      <w:r>
        <w:rPr>
          <w:rFonts w:ascii="宋体" w:hAnsi="宋体"/>
          <w:b/>
          <w:kern w:val="0"/>
          <w:sz w:val="28"/>
          <w:szCs w:val="28"/>
        </w:rPr>
        <w:br w:type="page"/>
      </w:r>
    </w:p>
    <w:p>
      <w:pPr>
        <w:pStyle w:val="34"/>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pPr>
        <w:pStyle w:val="34"/>
        <w:spacing w:line="480" w:lineRule="auto"/>
        <w:ind w:firstLine="482"/>
        <w:jc w:val="center"/>
        <w:rPr>
          <w:rFonts w:ascii="宋体" w:hAnsi="宋体"/>
          <w:b/>
          <w:color w:val="auto"/>
          <w:kern w:val="0"/>
        </w:rPr>
      </w:pPr>
    </w:p>
    <w:p>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服务商注册地址</w:t>
      </w:r>
      <w:r>
        <w:rPr>
          <w:rFonts w:hint="eastAsia" w:ascii="宋体" w:hAnsi="宋体"/>
          <w:color w:val="000000"/>
          <w:sz w:val="24"/>
        </w:rPr>
        <w:t>）的（</w:t>
      </w:r>
      <w:r>
        <w:rPr>
          <w:rFonts w:hint="eastAsia" w:ascii="宋体" w:hAnsi="宋体"/>
          <w:i/>
          <w:color w:val="000000"/>
          <w:sz w:val="24"/>
        </w:rPr>
        <w:t>服务商名称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服务商名称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服务商名称</w:t>
      </w:r>
      <w:r>
        <w:rPr>
          <w:rFonts w:hint="eastAsia" w:ascii="宋体" w:hAnsi="宋体"/>
          <w:color w:val="000000"/>
          <w:sz w:val="24"/>
        </w:rPr>
        <w:t>）的名义处理一切与之有关的事务。被授权人无转委托权。</w:t>
      </w:r>
    </w:p>
    <w:p>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pPr>
        <w:spacing w:line="480" w:lineRule="auto"/>
        <w:rPr>
          <w:rFonts w:ascii="宋体" w:hAnsi="宋体"/>
          <w:color w:val="000000"/>
          <w:sz w:val="24"/>
        </w:rPr>
      </w:pPr>
    </w:p>
    <w:p>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服务商名称：</w:t>
      </w:r>
      <w:r>
        <w:rPr>
          <w:rFonts w:hint="eastAsia" w:ascii="宋体" w:hAnsi="宋体"/>
          <w:color w:val="000000"/>
          <w:sz w:val="24"/>
          <w:u w:val="single"/>
        </w:rPr>
        <w:t xml:space="preserve">                       </w:t>
      </w:r>
      <w:r>
        <w:rPr>
          <w:rFonts w:hint="eastAsia" w:ascii="宋体" w:hAnsi="宋体"/>
          <w:color w:val="000000"/>
          <w:sz w:val="24"/>
        </w:rPr>
        <w:t>（盖章）</w:t>
      </w:r>
    </w:p>
    <w:p>
      <w:pPr>
        <w:spacing w:line="360" w:lineRule="auto"/>
        <w:rPr>
          <w:rFonts w:ascii="宋体" w:hAnsi="宋体"/>
          <w:color w:val="000000"/>
          <w:sz w:val="24"/>
        </w:rPr>
      </w:pPr>
    </w:p>
    <w:p>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pPr>
        <w:widowControl/>
        <w:jc w:val="center"/>
        <w:rPr>
          <w:rFonts w:ascii="宋体" w:hAnsi="宋体"/>
          <w:sz w:val="24"/>
        </w:rPr>
      </w:pPr>
    </w:p>
    <w:p>
      <w:pPr>
        <w:pStyle w:val="34"/>
        <w:ind w:firstLine="0" w:firstLineChars="0"/>
        <w:rPr>
          <w:rFonts w:ascii="宋体" w:hAnsi="宋体"/>
          <w:b/>
        </w:rPr>
      </w:pPr>
      <w:r>
        <w:rPr>
          <w:rFonts w:hint="eastAsia" w:ascii="宋体" w:hAnsi="宋体"/>
          <w:color w:val="auto"/>
        </w:rPr>
        <w:t>服务商提交</w:t>
      </w:r>
      <w:r>
        <w:rPr>
          <w:rFonts w:ascii="宋体" w:hAnsi="宋体"/>
          <w:color w:val="auto"/>
        </w:rPr>
        <w:t>下列</w:t>
      </w:r>
      <w:r>
        <w:rPr>
          <w:rFonts w:hint="eastAsia" w:ascii="宋体" w:hAnsi="宋体"/>
          <w:color w:val="auto"/>
        </w:rPr>
        <w:t>资格证明文件</w:t>
      </w:r>
    </w:p>
    <w:p>
      <w:pPr>
        <w:pStyle w:val="34"/>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pPr>
        <w:pStyle w:val="34"/>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pPr>
        <w:pStyle w:val="34"/>
        <w:rPr>
          <w:rFonts w:ascii="宋体" w:hAnsi="宋体"/>
          <w:color w:val="auto"/>
        </w:rPr>
      </w:pPr>
      <w:r>
        <w:rPr>
          <w:rFonts w:hint="eastAsia" w:ascii="宋体" w:hAnsi="宋体"/>
          <w:color w:val="auto"/>
        </w:rPr>
        <w:t>（3）相关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pPr>
        <w:pStyle w:val="34"/>
        <w:rPr>
          <w:rFonts w:ascii="宋体" w:hAnsi="宋体"/>
          <w:color w:val="auto"/>
        </w:rPr>
      </w:pPr>
      <w:r>
        <w:rPr>
          <w:rFonts w:hint="eastAsia" w:ascii="宋体" w:hAnsi="宋体"/>
          <w:color w:val="auto"/>
        </w:rPr>
        <w:t>（4）其他</w:t>
      </w:r>
      <w:r>
        <w:rPr>
          <w:rFonts w:ascii="宋体" w:hAnsi="宋体"/>
          <w:color w:val="auto"/>
        </w:rPr>
        <w:t>证明文件和材料</w:t>
      </w:r>
    </w:p>
    <w:p>
      <w:pPr>
        <w:widowControl/>
        <w:jc w:val="left"/>
        <w:rPr>
          <w:rFonts w:ascii="宋体" w:hAnsi="宋体"/>
          <w:b/>
          <w:kern w:val="0"/>
          <w:sz w:val="28"/>
          <w:szCs w:val="28"/>
        </w:rPr>
      </w:pPr>
      <w:r>
        <w:rPr>
          <w:rFonts w:ascii="宋体" w:hAnsi="宋体"/>
          <w:b/>
          <w:kern w:val="0"/>
          <w:sz w:val="28"/>
          <w:szCs w:val="28"/>
        </w:rPr>
        <w:br w:type="page"/>
      </w:r>
    </w:p>
    <w:p>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：服务商基本情况表</w:t>
      </w:r>
    </w:p>
    <w:p>
      <w:pPr>
        <w:widowControl/>
        <w:jc w:val="center"/>
        <w:rPr>
          <w:rFonts w:ascii="宋体" w:hAnsi="宋体"/>
          <w:b/>
          <w:kern w:val="0"/>
          <w:sz w:val="24"/>
        </w:rPr>
      </w:pPr>
    </w:p>
    <w:p>
      <w:pPr>
        <w:widowControl/>
        <w:numPr>
          <w:numId w:val="0"/>
        </w:numPr>
        <w:spacing w:line="500" w:lineRule="exact"/>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jc w:val="left"/>
        <w:rPr>
          <w:rFonts w:ascii="宋体" w:hAnsi="宋体"/>
          <w:color w:val="000000" w:themeColor="text1"/>
          <w:sz w:val="24"/>
          <w14:textFill>
            <w14:solidFill>
              <w14:schemeClr w14:val="tx1"/>
            </w14:solidFill>
          </w14:textFill>
        </w:rPr>
      </w:pPr>
      <w:bookmarkStart w:id="82" w:name="_GoBack"/>
      <w:bookmarkEnd w:id="82"/>
    </w:p>
    <w:p>
      <w:pPr>
        <w:widowControl/>
        <w:spacing w:line="500" w:lineRule="exact"/>
        <w:ind w:firstLine="4800" w:firstLineChars="2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服务商代表签字：</w:t>
      </w: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pPr>
        <w:widowControl/>
        <w:spacing w:line="500" w:lineRule="exact"/>
        <w:jc w:val="left"/>
        <w:rPr>
          <w:rFonts w:ascii="宋体" w:hAnsi="宋体"/>
          <w:color w:val="000000" w:themeColor="text1"/>
          <w:sz w:val="24"/>
          <w14:textFill>
            <w14:solidFill>
              <w14:schemeClr w14:val="tx1"/>
            </w14:solidFill>
          </w14:textFill>
        </w:rPr>
      </w:pPr>
    </w:p>
    <w:p>
      <w:pPr>
        <w:spacing w:line="500" w:lineRule="exact"/>
        <w:ind w:firstLine="5520" w:firstLineChars="2300"/>
        <w:rPr>
          <w:rFonts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pPr>
        <w:widowControl/>
        <w:jc w:val="left"/>
        <w:rPr>
          <w:rFonts w:ascii="宋体" w:hAnsi="宋体"/>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jc w:val="distribute"/>
      <w:rPr>
        <w:rFonts w:ascii="宋体" w:hAnsi="宋体" w:cs="宋体"/>
        <w:b/>
      </w:rPr>
    </w:pPr>
  </w:p>
  <w:p>
    <w:pPr>
      <w:pStyle w:val="12"/>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p>
    <w:pPr>
      <w:pStyle w:val="12"/>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513807E"/>
    <w:multiLevelType w:val="singleLevel"/>
    <w:tmpl w:val="7513807E"/>
    <w:lvl w:ilvl="0" w:tentative="0">
      <w:start w:val="5"/>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A4E7C"/>
    <w:rsid w:val="002A74FC"/>
    <w:rsid w:val="002C7821"/>
    <w:rsid w:val="00304C5C"/>
    <w:rsid w:val="003176E5"/>
    <w:rsid w:val="00320BF2"/>
    <w:rsid w:val="00327438"/>
    <w:rsid w:val="003315DC"/>
    <w:rsid w:val="00331BC5"/>
    <w:rsid w:val="00340F41"/>
    <w:rsid w:val="00347237"/>
    <w:rsid w:val="00360D0D"/>
    <w:rsid w:val="00362B9C"/>
    <w:rsid w:val="00366930"/>
    <w:rsid w:val="00367BC3"/>
    <w:rsid w:val="00370CFF"/>
    <w:rsid w:val="0038741C"/>
    <w:rsid w:val="003900D8"/>
    <w:rsid w:val="00391ABF"/>
    <w:rsid w:val="003A0B07"/>
    <w:rsid w:val="003B0DA4"/>
    <w:rsid w:val="003C19D4"/>
    <w:rsid w:val="003D3228"/>
    <w:rsid w:val="003E2337"/>
    <w:rsid w:val="004027DD"/>
    <w:rsid w:val="00411C82"/>
    <w:rsid w:val="00412EF7"/>
    <w:rsid w:val="0041311F"/>
    <w:rsid w:val="00423578"/>
    <w:rsid w:val="00427796"/>
    <w:rsid w:val="00444480"/>
    <w:rsid w:val="00445084"/>
    <w:rsid w:val="00465DC3"/>
    <w:rsid w:val="00491316"/>
    <w:rsid w:val="00492022"/>
    <w:rsid w:val="004A5B13"/>
    <w:rsid w:val="004B6BE1"/>
    <w:rsid w:val="004C1C65"/>
    <w:rsid w:val="004C4ED6"/>
    <w:rsid w:val="004C7FDE"/>
    <w:rsid w:val="004D0768"/>
    <w:rsid w:val="004D0830"/>
    <w:rsid w:val="00506E72"/>
    <w:rsid w:val="0051340F"/>
    <w:rsid w:val="00530CFA"/>
    <w:rsid w:val="00535B40"/>
    <w:rsid w:val="0055580E"/>
    <w:rsid w:val="00596A5D"/>
    <w:rsid w:val="005B7EC1"/>
    <w:rsid w:val="005C3AD3"/>
    <w:rsid w:val="005C4D96"/>
    <w:rsid w:val="00603AEC"/>
    <w:rsid w:val="00604D86"/>
    <w:rsid w:val="00606C97"/>
    <w:rsid w:val="00615E15"/>
    <w:rsid w:val="006227EA"/>
    <w:rsid w:val="006326A5"/>
    <w:rsid w:val="00637D7A"/>
    <w:rsid w:val="00644C42"/>
    <w:rsid w:val="00650FCB"/>
    <w:rsid w:val="0066245A"/>
    <w:rsid w:val="006773FE"/>
    <w:rsid w:val="006815A2"/>
    <w:rsid w:val="00687719"/>
    <w:rsid w:val="0069210D"/>
    <w:rsid w:val="00694020"/>
    <w:rsid w:val="00697B40"/>
    <w:rsid w:val="006A4D4C"/>
    <w:rsid w:val="006A7B92"/>
    <w:rsid w:val="006C788A"/>
    <w:rsid w:val="006D2211"/>
    <w:rsid w:val="006D437B"/>
    <w:rsid w:val="006E00BB"/>
    <w:rsid w:val="006F3081"/>
    <w:rsid w:val="00701695"/>
    <w:rsid w:val="007120F8"/>
    <w:rsid w:val="007162FA"/>
    <w:rsid w:val="00720504"/>
    <w:rsid w:val="00723322"/>
    <w:rsid w:val="00725E6F"/>
    <w:rsid w:val="00732CD9"/>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1470"/>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B6FAA"/>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63488"/>
    <w:rsid w:val="00A72AF6"/>
    <w:rsid w:val="00A90A78"/>
    <w:rsid w:val="00A93A66"/>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927C3"/>
    <w:rsid w:val="00BA3B67"/>
    <w:rsid w:val="00BB26FC"/>
    <w:rsid w:val="00BC0DE6"/>
    <w:rsid w:val="00BC0E0F"/>
    <w:rsid w:val="00BC1DCA"/>
    <w:rsid w:val="00BC4539"/>
    <w:rsid w:val="00C07E1A"/>
    <w:rsid w:val="00C16F96"/>
    <w:rsid w:val="00C41126"/>
    <w:rsid w:val="00C41E7A"/>
    <w:rsid w:val="00C516D1"/>
    <w:rsid w:val="00C63D4D"/>
    <w:rsid w:val="00C77A33"/>
    <w:rsid w:val="00CA2115"/>
    <w:rsid w:val="00CA6278"/>
    <w:rsid w:val="00CC2A62"/>
    <w:rsid w:val="00CD536C"/>
    <w:rsid w:val="00CF0D15"/>
    <w:rsid w:val="00CF2B7E"/>
    <w:rsid w:val="00CF44FD"/>
    <w:rsid w:val="00D25A8A"/>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33F0A"/>
    <w:rsid w:val="00F42DFD"/>
    <w:rsid w:val="00F42E95"/>
    <w:rsid w:val="00F827C7"/>
    <w:rsid w:val="00F96FD9"/>
    <w:rsid w:val="00FA1BA8"/>
    <w:rsid w:val="00FA49D4"/>
    <w:rsid w:val="00FC5408"/>
    <w:rsid w:val="00FC64A5"/>
    <w:rsid w:val="00FD7184"/>
    <w:rsid w:val="020B2271"/>
    <w:rsid w:val="021740BD"/>
    <w:rsid w:val="0252552D"/>
    <w:rsid w:val="02A84950"/>
    <w:rsid w:val="039F26C9"/>
    <w:rsid w:val="03AC4D68"/>
    <w:rsid w:val="04412AAC"/>
    <w:rsid w:val="05015A42"/>
    <w:rsid w:val="07CF7529"/>
    <w:rsid w:val="07D8672A"/>
    <w:rsid w:val="07F33D53"/>
    <w:rsid w:val="08470CC8"/>
    <w:rsid w:val="0AA3501D"/>
    <w:rsid w:val="0AD7358B"/>
    <w:rsid w:val="0B8E5E80"/>
    <w:rsid w:val="0BAF6137"/>
    <w:rsid w:val="0BE36FBB"/>
    <w:rsid w:val="0BF633F4"/>
    <w:rsid w:val="0C9D4FE4"/>
    <w:rsid w:val="0D0B0B8D"/>
    <w:rsid w:val="0D2A1E54"/>
    <w:rsid w:val="0E451B71"/>
    <w:rsid w:val="0EFE005A"/>
    <w:rsid w:val="0F2911D6"/>
    <w:rsid w:val="10B85A49"/>
    <w:rsid w:val="11022000"/>
    <w:rsid w:val="11166965"/>
    <w:rsid w:val="116A6810"/>
    <w:rsid w:val="11AD6919"/>
    <w:rsid w:val="131161CB"/>
    <w:rsid w:val="14432C18"/>
    <w:rsid w:val="14B21F5D"/>
    <w:rsid w:val="15294391"/>
    <w:rsid w:val="15EB2077"/>
    <w:rsid w:val="16506CFC"/>
    <w:rsid w:val="18932341"/>
    <w:rsid w:val="18B546AB"/>
    <w:rsid w:val="18CC5503"/>
    <w:rsid w:val="19C76A11"/>
    <w:rsid w:val="1AD764B5"/>
    <w:rsid w:val="1B1D2ECC"/>
    <w:rsid w:val="1BF61A93"/>
    <w:rsid w:val="1D022676"/>
    <w:rsid w:val="1D5340D5"/>
    <w:rsid w:val="1D5B41AA"/>
    <w:rsid w:val="1D9F4B7D"/>
    <w:rsid w:val="1E1F6CF9"/>
    <w:rsid w:val="1E2F712F"/>
    <w:rsid w:val="1E6502D1"/>
    <w:rsid w:val="20447360"/>
    <w:rsid w:val="21592A0A"/>
    <w:rsid w:val="22522567"/>
    <w:rsid w:val="226F14AB"/>
    <w:rsid w:val="22DE001F"/>
    <w:rsid w:val="23764AC7"/>
    <w:rsid w:val="24663F91"/>
    <w:rsid w:val="24760717"/>
    <w:rsid w:val="2505349E"/>
    <w:rsid w:val="2605281B"/>
    <w:rsid w:val="2782769C"/>
    <w:rsid w:val="27E42615"/>
    <w:rsid w:val="29151B30"/>
    <w:rsid w:val="29432AB1"/>
    <w:rsid w:val="29512B72"/>
    <w:rsid w:val="29D92176"/>
    <w:rsid w:val="2AF77747"/>
    <w:rsid w:val="2C52625E"/>
    <w:rsid w:val="2C6C05E1"/>
    <w:rsid w:val="2DDD7BCA"/>
    <w:rsid w:val="2FD93FEF"/>
    <w:rsid w:val="30014ABC"/>
    <w:rsid w:val="32CF7549"/>
    <w:rsid w:val="32D725BD"/>
    <w:rsid w:val="32EC4E33"/>
    <w:rsid w:val="3307663B"/>
    <w:rsid w:val="331F5EA1"/>
    <w:rsid w:val="333457F9"/>
    <w:rsid w:val="33E330E5"/>
    <w:rsid w:val="34A715D5"/>
    <w:rsid w:val="34C9009B"/>
    <w:rsid w:val="34CA53C6"/>
    <w:rsid w:val="34D9152F"/>
    <w:rsid w:val="364E146B"/>
    <w:rsid w:val="36BC6EF4"/>
    <w:rsid w:val="36C66A25"/>
    <w:rsid w:val="37782570"/>
    <w:rsid w:val="37A025CD"/>
    <w:rsid w:val="37A22B83"/>
    <w:rsid w:val="387D2780"/>
    <w:rsid w:val="3A06527E"/>
    <w:rsid w:val="3C102356"/>
    <w:rsid w:val="3C5B6DB0"/>
    <w:rsid w:val="3E111FAD"/>
    <w:rsid w:val="3E7346AA"/>
    <w:rsid w:val="3E7E68EE"/>
    <w:rsid w:val="41942EF7"/>
    <w:rsid w:val="41F934A0"/>
    <w:rsid w:val="421874B1"/>
    <w:rsid w:val="424608F7"/>
    <w:rsid w:val="4262616C"/>
    <w:rsid w:val="42DC6312"/>
    <w:rsid w:val="430F35A6"/>
    <w:rsid w:val="438254A7"/>
    <w:rsid w:val="43B31129"/>
    <w:rsid w:val="43DC5797"/>
    <w:rsid w:val="452F2AE2"/>
    <w:rsid w:val="45D12007"/>
    <w:rsid w:val="45E17508"/>
    <w:rsid w:val="4693677A"/>
    <w:rsid w:val="483408A5"/>
    <w:rsid w:val="48C65455"/>
    <w:rsid w:val="48F46F39"/>
    <w:rsid w:val="4A680F72"/>
    <w:rsid w:val="4AE1509D"/>
    <w:rsid w:val="4E8D6C9B"/>
    <w:rsid w:val="4EE43179"/>
    <w:rsid w:val="4F1A47D2"/>
    <w:rsid w:val="4FAE474F"/>
    <w:rsid w:val="50F82D1E"/>
    <w:rsid w:val="51052E67"/>
    <w:rsid w:val="514473D8"/>
    <w:rsid w:val="531540B7"/>
    <w:rsid w:val="53CD037B"/>
    <w:rsid w:val="53F22708"/>
    <w:rsid w:val="55541917"/>
    <w:rsid w:val="56093F5F"/>
    <w:rsid w:val="57297675"/>
    <w:rsid w:val="57314EF4"/>
    <w:rsid w:val="57F50F1C"/>
    <w:rsid w:val="5BB12714"/>
    <w:rsid w:val="5BB206E8"/>
    <w:rsid w:val="5BC81896"/>
    <w:rsid w:val="5C5955A9"/>
    <w:rsid w:val="5DD62BE6"/>
    <w:rsid w:val="5E084516"/>
    <w:rsid w:val="5EE33A59"/>
    <w:rsid w:val="5EFB6CB4"/>
    <w:rsid w:val="5F516FBD"/>
    <w:rsid w:val="5F7E5B71"/>
    <w:rsid w:val="604F627F"/>
    <w:rsid w:val="61553785"/>
    <w:rsid w:val="61F2715C"/>
    <w:rsid w:val="62560FBE"/>
    <w:rsid w:val="62F85A01"/>
    <w:rsid w:val="631109A3"/>
    <w:rsid w:val="637245F3"/>
    <w:rsid w:val="64701A2A"/>
    <w:rsid w:val="65371F54"/>
    <w:rsid w:val="65466BF0"/>
    <w:rsid w:val="65610CAD"/>
    <w:rsid w:val="65EB56E8"/>
    <w:rsid w:val="66EE541F"/>
    <w:rsid w:val="670B0739"/>
    <w:rsid w:val="67114A94"/>
    <w:rsid w:val="677B39E8"/>
    <w:rsid w:val="68BB2FB0"/>
    <w:rsid w:val="68E04E01"/>
    <w:rsid w:val="698971FC"/>
    <w:rsid w:val="6B5C44B8"/>
    <w:rsid w:val="6BC3255D"/>
    <w:rsid w:val="6BDC6C36"/>
    <w:rsid w:val="6D5417D9"/>
    <w:rsid w:val="6DE61F24"/>
    <w:rsid w:val="6EDA6DB9"/>
    <w:rsid w:val="6F4F078F"/>
    <w:rsid w:val="7095087E"/>
    <w:rsid w:val="71D37C38"/>
    <w:rsid w:val="72030E1E"/>
    <w:rsid w:val="72D51F76"/>
    <w:rsid w:val="743360D4"/>
    <w:rsid w:val="747D0121"/>
    <w:rsid w:val="75D725D1"/>
    <w:rsid w:val="762A44F2"/>
    <w:rsid w:val="770F234D"/>
    <w:rsid w:val="772B173D"/>
    <w:rsid w:val="789C1508"/>
    <w:rsid w:val="78A34EAA"/>
    <w:rsid w:val="79035936"/>
    <w:rsid w:val="7BD3498F"/>
    <w:rsid w:val="7C0814C8"/>
    <w:rsid w:val="7C636D71"/>
    <w:rsid w:val="7CA64253"/>
    <w:rsid w:val="7CE568C5"/>
    <w:rsid w:val="7D1108C2"/>
    <w:rsid w:val="7D1B7948"/>
    <w:rsid w:val="7D61168C"/>
    <w:rsid w:val="7F2D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27"/>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56"/>
    <w:semiHidden/>
    <w:unhideWhenUsed/>
    <w:qFormat/>
    <w:uiPriority w:val="99"/>
    <w:pPr>
      <w:ind w:left="100" w:leftChars="2500"/>
    </w:pPr>
  </w:style>
  <w:style w:type="paragraph" w:styleId="9">
    <w:name w:val="Body Text Indent 2"/>
    <w:basedOn w:val="1"/>
    <w:link w:val="29"/>
    <w:qFormat/>
    <w:uiPriority w:val="99"/>
    <w:pPr>
      <w:ind w:firstLine="480"/>
    </w:pPr>
    <w:rPr>
      <w:rFonts w:ascii="仿宋_GB2312" w:eastAsia="仿宋_GB2312"/>
      <w:sz w:val="24"/>
      <w:szCs w:val="20"/>
    </w:rPr>
  </w:style>
  <w:style w:type="paragraph" w:styleId="10">
    <w:name w:val="Balloon Text"/>
    <w:basedOn w:val="1"/>
    <w:link w:val="30"/>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annotation subject"/>
    <w:basedOn w:val="6"/>
    <w:next w:val="6"/>
    <w:link w:val="28"/>
    <w:unhideWhenUsed/>
    <w:qFormat/>
    <w:uiPriority w:val="99"/>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FollowedHyperlink"/>
    <w:basedOn w:val="19"/>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paragraph" w:customStyle="1" w:styleId="23">
    <w:name w:val="列出段落1"/>
    <w:basedOn w:val="1"/>
    <w:qFormat/>
    <w:uiPriority w:val="34"/>
    <w:pPr>
      <w:ind w:firstLine="420" w:firstLineChars="200"/>
    </w:pPr>
  </w:style>
  <w:style w:type="character" w:customStyle="1" w:styleId="24">
    <w:name w:val="标题 1 字符"/>
    <w:basedOn w:val="19"/>
    <w:link w:val="3"/>
    <w:qFormat/>
    <w:uiPriority w:val="0"/>
    <w:rPr>
      <w:rFonts w:ascii="Times New Roman" w:hAnsi="Times New Roman" w:eastAsia="宋体" w:cs="Times New Roman"/>
      <w:b/>
      <w:bCs/>
      <w:kern w:val="44"/>
      <w:sz w:val="44"/>
      <w:szCs w:val="44"/>
    </w:rPr>
  </w:style>
  <w:style w:type="character" w:customStyle="1" w:styleId="25">
    <w:name w:val="标题 2 字符"/>
    <w:basedOn w:val="19"/>
    <w:link w:val="4"/>
    <w:qFormat/>
    <w:uiPriority w:val="0"/>
    <w:rPr>
      <w:rFonts w:ascii="Arial" w:hAnsi="Arial" w:eastAsia="黑体" w:cs="Times New Roman"/>
      <w:b/>
      <w:bCs/>
      <w:sz w:val="32"/>
      <w:szCs w:val="32"/>
    </w:rPr>
  </w:style>
  <w:style w:type="character" w:customStyle="1" w:styleId="26">
    <w:name w:val="标题 3 字符"/>
    <w:basedOn w:val="19"/>
    <w:link w:val="2"/>
    <w:qFormat/>
    <w:uiPriority w:val="0"/>
    <w:rPr>
      <w:rFonts w:ascii="Times New Roman" w:hAnsi="Times New Roman" w:eastAsia="宋体" w:cs="Times New Roman"/>
      <w:b/>
      <w:bCs/>
      <w:sz w:val="32"/>
      <w:szCs w:val="32"/>
    </w:rPr>
  </w:style>
  <w:style w:type="character" w:customStyle="1" w:styleId="27">
    <w:name w:val="批注文字 字符"/>
    <w:basedOn w:val="19"/>
    <w:link w:val="6"/>
    <w:qFormat/>
    <w:uiPriority w:val="99"/>
    <w:rPr>
      <w:rFonts w:ascii="Times New Roman" w:hAnsi="Times New Roman" w:eastAsia="宋体" w:cs="Times New Roman"/>
      <w:szCs w:val="24"/>
    </w:rPr>
  </w:style>
  <w:style w:type="character" w:customStyle="1" w:styleId="28">
    <w:name w:val="批注主题 字符"/>
    <w:basedOn w:val="27"/>
    <w:link w:val="16"/>
    <w:qFormat/>
    <w:uiPriority w:val="99"/>
    <w:rPr>
      <w:rFonts w:ascii="Times New Roman" w:hAnsi="Times New Roman" w:eastAsia="宋体" w:cs="Times New Roman"/>
      <w:b/>
      <w:bCs/>
      <w:szCs w:val="24"/>
    </w:rPr>
  </w:style>
  <w:style w:type="character" w:customStyle="1" w:styleId="29">
    <w:name w:val="正文文本缩进 2 字符"/>
    <w:basedOn w:val="19"/>
    <w:link w:val="9"/>
    <w:qFormat/>
    <w:uiPriority w:val="99"/>
    <w:rPr>
      <w:rFonts w:ascii="仿宋_GB2312" w:hAnsi="Times New Roman" w:eastAsia="仿宋_GB2312" w:cs="Times New Roman"/>
      <w:sz w:val="24"/>
      <w:szCs w:val="20"/>
    </w:rPr>
  </w:style>
  <w:style w:type="character" w:customStyle="1" w:styleId="30">
    <w:name w:val="批注框文本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11"/>
    <w:qFormat/>
    <w:uiPriority w:val="99"/>
    <w:rPr>
      <w:rFonts w:ascii="Times New Roman" w:hAnsi="Times New Roman" w:eastAsia="宋体" w:cs="Times New Roman"/>
      <w:sz w:val="18"/>
      <w:szCs w:val="18"/>
    </w:rPr>
  </w:style>
  <w:style w:type="character" w:customStyle="1" w:styleId="32">
    <w:name w:val="页眉 字符"/>
    <w:basedOn w:val="19"/>
    <w:link w:val="12"/>
    <w:qFormat/>
    <w:uiPriority w:val="99"/>
    <w:rPr>
      <w:rFonts w:ascii="Times New Roman" w:hAnsi="Times New Roman" w:eastAsia="宋体" w:cs="Times New Roman"/>
      <w:sz w:val="18"/>
      <w:szCs w:val="18"/>
    </w:rPr>
  </w:style>
  <w:style w:type="paragraph" w:customStyle="1" w:styleId="33">
    <w:name w:val="样式2"/>
    <w:basedOn w:val="1"/>
    <w:qFormat/>
    <w:uiPriority w:val="0"/>
    <w:pPr>
      <w:adjustRightInd w:val="0"/>
      <w:spacing w:line="410" w:lineRule="atLeast"/>
      <w:textAlignment w:val="baseline"/>
    </w:pPr>
    <w:rPr>
      <w:kern w:val="0"/>
      <w:sz w:val="24"/>
      <w:szCs w:val="20"/>
    </w:rPr>
  </w:style>
  <w:style w:type="paragraph" w:customStyle="1" w:styleId="34">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5">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6">
    <w:name w:val="无间隔1"/>
    <w:link w:val="5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9">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2">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3">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7">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8">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0">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2">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3">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4">
    <w:name w:val="无间隔 Char"/>
    <w:basedOn w:val="19"/>
    <w:link w:val="36"/>
    <w:qFormat/>
    <w:uiPriority w:val="1"/>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日期 字符"/>
    <w:basedOn w:val="19"/>
    <w:link w:val="8"/>
    <w:semiHidden/>
    <w:qFormat/>
    <w:uiPriority w:val="99"/>
    <w:rPr>
      <w:rFonts w:ascii="Times New Roman" w:hAnsi="Times New Roman" w:eastAsia="宋体" w:cs="Times New Roman"/>
      <w:szCs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BF2D6-8286-450C-ABFF-9DDCCFAFC70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1164</Words>
  <Characters>6639</Characters>
  <Lines>55</Lines>
  <Paragraphs>15</Paragraphs>
  <TotalTime>10</TotalTime>
  <ScaleCrop>false</ScaleCrop>
  <LinksUpToDate>false</LinksUpToDate>
  <CharactersWithSpaces>7788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2023-10-07T01:47:00Z</dcterms:created>
  <dc:creator>杨倩</dc:creator>
  <cp:lastModifiedBy>quanli</cp:lastModifiedBy>
  <cp:lastPrinted>2024-02-23T01:24:17Z</cp:lastPrinted>
  <dcterms:modified xsi:type="dcterms:W3CDTF">2024-02-23T01:30:34Z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9334FD3976C84506993714F46CA3E9B4</vt:lpwstr>
  </property>
</Properties>
</file>